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仿石材漆行业企业战略风险管理报告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76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_Toc11765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22" w:history="1">
        <w:r>
          <w:rPr>
            <w:rFonts w:ascii="仿宋" w:eastAsia="仿宋" w:hAnsi="仿宋" w:cs="仿宋" w:hint="eastAsia"/>
            <w:lang w:eastAsia="zh-CN"/>
          </w:rPr>
          <w:t>一、职业安全与劳动卫生</w:t>
        </w:r>
        <w:r>
          <w:tab/>
        </w:r>
        <w:r>
          <w:fldChar w:fldCharType="begin"/>
        </w:r>
        <w:r>
          <w:instrText xml:space="preserve"> PAGEREF _Toc4322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4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_Toc30554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71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_Toc4971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5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_Toc6465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7" w:history="1">
        <w:r>
          <w:rPr>
            <w:rFonts w:ascii="仿宋" w:eastAsia="仿宋" w:hAnsi="仿宋" w:cs="仿宋" w:hint="eastAsia"/>
            <w:lang w:eastAsia="zh-CN"/>
          </w:rPr>
          <w:t>(四)、安全标志使用要求</w:t>
        </w:r>
        <w:r>
          <w:tab/>
        </w:r>
        <w:r>
          <w:fldChar w:fldCharType="begin"/>
        </w:r>
        <w:r>
          <w:instrText xml:space="preserve"> PAGEREF _Toc24657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19" w:history="1">
        <w:r>
          <w:rPr>
            <w:rFonts w:ascii="仿宋" w:eastAsia="仿宋" w:hAnsi="仿宋" w:cs="仿宋" w:hint="eastAsia"/>
            <w:lang w:eastAsia="zh-CN"/>
          </w:rPr>
          <w:t>(五)、电气安全保障措施</w:t>
        </w:r>
        <w:r>
          <w:tab/>
        </w:r>
        <w:r>
          <w:fldChar w:fldCharType="begin"/>
        </w:r>
        <w:r>
          <w:instrText xml:space="preserve"> PAGEREF _Toc3419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5" w:history="1">
        <w:r>
          <w:rPr>
            <w:rFonts w:ascii="仿宋" w:eastAsia="仿宋" w:hAnsi="仿宋" w:cs="仿宋" w:hint="eastAsia"/>
            <w:lang w:eastAsia="zh-CN"/>
          </w:rPr>
          <w:t>(六)、防尘防毒措施</w:t>
        </w:r>
        <w:r>
          <w:tab/>
        </w:r>
        <w:r>
          <w:fldChar w:fldCharType="begin"/>
        </w:r>
        <w:r>
          <w:instrText xml:space="preserve"> PAGEREF _Toc7105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6" w:history="1">
        <w:r>
          <w:rPr>
            <w:rFonts w:ascii="仿宋" w:eastAsia="仿宋" w:hAnsi="仿宋" w:cs="仿宋" w:hint="eastAsia"/>
            <w:lang w:eastAsia="zh-CN"/>
          </w:rPr>
          <w:t>(七)、防静电、触电、防护及防雷措施</w:t>
        </w:r>
        <w:r>
          <w:tab/>
        </w:r>
        <w:r>
          <w:fldChar w:fldCharType="begin"/>
        </w:r>
        <w:r>
          <w:instrText xml:space="preserve"> PAGEREF _Toc7026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0" w:history="1">
        <w:r>
          <w:rPr>
            <w:rFonts w:ascii="仿宋" w:eastAsia="仿宋" w:hAnsi="仿宋" w:cs="仿宋" w:hint="eastAsia"/>
            <w:lang w:eastAsia="zh-CN"/>
          </w:rPr>
          <w:t>(八)、机械设备安全保障措施</w:t>
        </w:r>
        <w:r>
          <w:tab/>
        </w:r>
        <w:r>
          <w:fldChar w:fldCharType="begin"/>
        </w:r>
        <w:r>
          <w:instrText xml:space="preserve"> PAGEREF _Toc6500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28" w:history="1">
        <w:r>
          <w:rPr>
            <w:rFonts w:ascii="仿宋" w:eastAsia="仿宋" w:hAnsi="仿宋" w:cs="仿宋" w:hint="eastAsia"/>
            <w:lang w:eastAsia="zh-CN"/>
          </w:rPr>
          <w:t>(九)、劳动安全保障措施</w:t>
        </w:r>
        <w:r>
          <w:tab/>
        </w:r>
        <w:r>
          <w:fldChar w:fldCharType="begin"/>
        </w:r>
        <w:r>
          <w:instrText xml:space="preserve"> PAGEREF _Toc28528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0" w:history="1">
        <w:r>
          <w:rPr>
            <w:rFonts w:ascii="仿宋" w:eastAsia="仿宋" w:hAnsi="仿宋" w:cs="仿宋" w:hint="eastAsia"/>
            <w:lang w:eastAsia="zh-CN"/>
          </w:rPr>
          <w:t>(十)、劳动安全卫生机构设置及教育制度</w:t>
        </w:r>
        <w:r>
          <w:tab/>
        </w:r>
        <w:r>
          <w:fldChar w:fldCharType="begin"/>
        </w:r>
        <w:r>
          <w:instrText xml:space="preserve"> PAGEREF _Toc26840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" w:history="1">
        <w:r>
          <w:rPr>
            <w:rFonts w:ascii="仿宋" w:eastAsia="仿宋" w:hAnsi="仿宋" w:cs="仿宋" w:hint="eastAsia"/>
            <w:lang w:eastAsia="zh-CN"/>
          </w:rPr>
          <w:t>(十一)、劳动安全预期效果评价</w:t>
        </w:r>
        <w:r>
          <w:tab/>
        </w:r>
        <w:r>
          <w:fldChar w:fldCharType="begin"/>
        </w:r>
        <w:r>
          <w:instrText xml:space="preserve"> PAGEREF _Toc2154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07" w:history="1">
        <w:r>
          <w:rPr>
            <w:rFonts w:ascii="仿宋" w:eastAsia="仿宋" w:hAnsi="仿宋" w:cs="仿宋" w:hint="eastAsia"/>
            <w:lang w:eastAsia="zh-CN"/>
          </w:rPr>
          <w:t>二、风险应对评估</w:t>
        </w:r>
        <w:r>
          <w:tab/>
        </w:r>
        <w:r>
          <w:fldChar w:fldCharType="begin"/>
        </w:r>
        <w:r>
          <w:instrText xml:space="preserve"> PAGEREF _Toc19207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_Toc4390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38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_Toc32538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8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_Toc30138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_Toc3096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1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_Toc26418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7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_Toc5237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65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_Toc17765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9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_Toc27419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12" w:history="1">
        <w:r>
          <w:rPr>
            <w:rFonts w:ascii="仿宋" w:eastAsia="仿宋" w:hAnsi="仿宋" w:cs="仿宋" w:hint="eastAsia"/>
            <w:lang w:eastAsia="zh-CN"/>
          </w:rPr>
          <w:t>三、发展规划产业政策和行业准入分析</w:t>
        </w:r>
        <w:r>
          <w:tab/>
        </w:r>
        <w:r>
          <w:fldChar w:fldCharType="begin"/>
        </w:r>
        <w:r>
          <w:instrText xml:space="preserve"> PAGEREF _Toc26712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0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_Toc7602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_Toc19943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_Toc1584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15" w:history="1">
        <w:r>
          <w:rPr>
            <w:rFonts w:ascii="仿宋" w:eastAsia="仿宋" w:hAnsi="仿宋" w:cs="仿宋" w:hint="eastAsia"/>
            <w:lang w:eastAsia="zh-CN"/>
          </w:rPr>
          <w:t>四、建筑技术方案说明</w:t>
        </w:r>
        <w:r>
          <w:tab/>
        </w:r>
        <w:r>
          <w:fldChar w:fldCharType="begin"/>
        </w:r>
        <w:r>
          <w:instrText xml:space="preserve"> PAGEREF _Toc5515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2" w:history="1">
        <w:r>
          <w:rPr>
            <w:rFonts w:ascii="仿宋" w:eastAsia="仿宋" w:hAnsi="仿宋" w:cs="仿宋" w:hint="eastAsia"/>
            <w:lang w:eastAsia="zh-CN"/>
          </w:rPr>
          <w:t>(一)、仿石材漆项目工程设计总体要求</w:t>
        </w:r>
        <w:r>
          <w:tab/>
        </w:r>
        <w:r>
          <w:fldChar w:fldCharType="begin"/>
        </w:r>
        <w:r>
          <w:instrText xml:space="preserve"> PAGEREF _Toc17922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9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_Toc17269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7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_Toc24387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98" w:history="1">
        <w:r>
          <w:rPr>
            <w:rFonts w:ascii="仿宋" w:eastAsia="仿宋" w:hAnsi="仿宋" w:cs="仿宋" w:hint="eastAsia"/>
            <w:lang w:eastAsia="zh-CN"/>
          </w:rPr>
          <w:t>五、建设规划</w:t>
        </w:r>
        <w:r>
          <w:tab/>
        </w:r>
        <w:r>
          <w:fldChar w:fldCharType="begin"/>
        </w:r>
        <w:r>
          <w:instrText xml:space="preserve"> PAGEREF _Toc19798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2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_Toc1242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5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_Toc18055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15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_Toc16515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2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_Toc28282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1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_Toc17921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5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_Toc15252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85" w:history="1">
        <w:r>
          <w:rPr>
            <w:rFonts w:ascii="仿宋" w:eastAsia="仿宋" w:hAnsi="仿宋" w:cs="仿宋" w:hint="eastAsia"/>
            <w:lang w:eastAsia="zh-CN"/>
          </w:rPr>
          <w:t>七、宏观环境分析</w:t>
        </w:r>
        <w:r>
          <w:tab/>
        </w:r>
        <w:r>
          <w:fldChar w:fldCharType="begin"/>
        </w:r>
        <w:r>
          <w:instrText xml:space="preserve"> PAGEREF _Toc17685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5" w:history="1">
        <w:r>
          <w:rPr>
            <w:rFonts w:ascii="仿宋" w:eastAsia="仿宋" w:hAnsi="仿宋" w:cs="仿宋" w:hint="eastAsia"/>
            <w:lang w:eastAsia="zh-CN"/>
          </w:rPr>
          <w:t>(一)、产业背景分析</w:t>
        </w:r>
        <w:r>
          <w:tab/>
        </w:r>
        <w:r>
          <w:fldChar w:fldCharType="begin"/>
        </w:r>
        <w:r>
          <w:instrText xml:space="preserve"> PAGEREF _Toc3545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04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_Toc22504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0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_Toc20508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049" w:history="1">
        <w:r>
          <w:rPr>
            <w:rFonts w:ascii="仿宋" w:eastAsia="仿宋" w:hAnsi="仿宋" w:cs="仿宋" w:hint="eastAsia"/>
            <w:lang w:eastAsia="zh-CN"/>
          </w:rPr>
          <w:t>(四)、仿石材漆项目必要性分析</w:t>
        </w:r>
        <w:r>
          <w:tab/>
        </w:r>
        <w:r>
          <w:fldChar w:fldCharType="begin"/>
        </w:r>
        <w:r>
          <w:instrText xml:space="preserve"> PAGEREF _Toc23049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98" w:history="1">
        <w:r>
          <w:rPr>
            <w:rFonts w:ascii="仿宋" w:eastAsia="仿宋" w:hAnsi="仿宋" w:cs="仿宋" w:hint="eastAsia"/>
            <w:lang w:eastAsia="zh-CN"/>
          </w:rPr>
          <w:t>八、劳动安全生产分析</w:t>
        </w:r>
        <w:r>
          <w:tab/>
        </w:r>
        <w:r>
          <w:fldChar w:fldCharType="begin"/>
        </w:r>
        <w:r>
          <w:instrText xml:space="preserve"> PAGEREF _Toc17298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7" w:history="1">
        <w:r>
          <w:rPr>
            <w:rFonts w:ascii="仿宋" w:eastAsia="仿宋" w:hAnsi="仿宋" w:cs="仿宋" w:hint="eastAsia"/>
            <w:lang w:eastAsia="zh-CN"/>
          </w:rPr>
          <w:t>(一)、安全法规与依据</w:t>
        </w:r>
        <w:r>
          <w:tab/>
        </w:r>
        <w:r>
          <w:fldChar w:fldCharType="begin"/>
        </w:r>
        <w:r>
          <w:instrText xml:space="preserve"> PAGEREF _Toc5177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16" w:history="1">
        <w:r>
          <w:rPr>
            <w:rFonts w:ascii="仿宋" w:eastAsia="仿宋" w:hAnsi="仿宋" w:cs="仿宋" w:hint="eastAsia"/>
            <w:lang w:eastAsia="zh-CN"/>
          </w:rPr>
          <w:t>(二)、安全措施与效果预估</w:t>
        </w:r>
        <w:r>
          <w:tab/>
        </w:r>
        <w:r>
          <w:fldChar w:fldCharType="begin"/>
        </w:r>
        <w:r>
          <w:instrText xml:space="preserve"> PAGEREF _Toc20716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41" w:history="1">
        <w:r>
          <w:rPr>
            <w:rFonts w:ascii="仿宋" w:eastAsia="仿宋" w:hAnsi="仿宋" w:cs="仿宋" w:hint="eastAsia"/>
            <w:lang w:eastAsia="zh-CN"/>
          </w:rPr>
          <w:t>九、质量管理体系</w:t>
        </w:r>
        <w:r>
          <w:tab/>
        </w:r>
        <w:r>
          <w:fldChar w:fldCharType="begin"/>
        </w:r>
        <w:r>
          <w:instrText xml:space="preserve"> PAGEREF _Toc19341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8" w:history="1">
        <w:r>
          <w:rPr>
            <w:rFonts w:ascii="仿宋" w:eastAsia="仿宋" w:hAnsi="仿宋" w:cs="仿宋" w:hint="eastAsia"/>
            <w:lang w:eastAsia="zh-CN"/>
          </w:rPr>
          <w:t>(一)、项目质量管理体系建立</w:t>
        </w:r>
        <w:r>
          <w:tab/>
        </w:r>
        <w:r>
          <w:fldChar w:fldCharType="begin"/>
        </w:r>
        <w:r>
          <w:instrText xml:space="preserve"> PAGEREF _Toc21358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86" w:history="1">
        <w:r>
          <w:rPr>
            <w:rFonts w:ascii="仿宋" w:eastAsia="仿宋" w:hAnsi="仿宋" w:cs="仿宋" w:hint="eastAsia"/>
            <w:lang w:eastAsia="zh-CN"/>
          </w:rPr>
          <w:t>(二)、质量管理计划</w:t>
        </w:r>
        <w:r>
          <w:tab/>
        </w:r>
        <w:r>
          <w:fldChar w:fldCharType="begin"/>
        </w:r>
        <w:r>
          <w:instrText xml:space="preserve"> PAGEREF _Toc30386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6" w:history="1">
        <w:r>
          <w:rPr>
            <w:rFonts w:ascii="仿宋" w:eastAsia="仿宋" w:hAnsi="仿宋" w:cs="仿宋" w:hint="eastAsia"/>
            <w:lang w:eastAsia="zh-CN"/>
          </w:rPr>
          <w:t>(三)、质量检测与监控</w:t>
        </w:r>
        <w:r>
          <w:tab/>
        </w:r>
        <w:r>
          <w:fldChar w:fldCharType="begin"/>
        </w:r>
        <w:r>
          <w:instrText xml:space="preserve"> PAGEREF _Toc13726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6" w:history="1">
        <w:r>
          <w:rPr>
            <w:rFonts w:ascii="仿宋" w:eastAsia="仿宋" w:hAnsi="仿宋" w:cs="仿宋" w:hint="eastAsia"/>
            <w:lang w:eastAsia="zh-CN"/>
          </w:rPr>
          <w:t>(四)、问题处理与纠正措施</w:t>
        </w:r>
        <w:r>
          <w:tab/>
        </w:r>
        <w:r>
          <w:fldChar w:fldCharType="begin"/>
        </w:r>
        <w:r>
          <w:instrText xml:space="preserve"> PAGEREF _Toc12896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35" w:history="1">
        <w:r>
          <w:rPr>
            <w:rFonts w:ascii="仿宋" w:eastAsia="仿宋" w:hAnsi="仿宋" w:cs="仿宋" w:hint="eastAsia"/>
            <w:lang w:eastAsia="zh-CN"/>
          </w:rPr>
          <w:t>(五)、验收与评价</w:t>
        </w:r>
        <w:r>
          <w:tab/>
        </w:r>
        <w:r>
          <w:fldChar w:fldCharType="begin"/>
        </w:r>
        <w:r>
          <w:instrText xml:space="preserve"> PAGEREF _Toc13435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84" w:history="1">
        <w:r>
          <w:rPr>
            <w:rFonts w:ascii="仿宋" w:eastAsia="仿宋" w:hAnsi="仿宋" w:cs="仿宋" w:hint="eastAsia"/>
            <w:lang w:eastAsia="zh-CN"/>
          </w:rPr>
          <w:t>十、客户关系管理与市场拓展</w:t>
        </w:r>
        <w:r>
          <w:tab/>
        </w:r>
        <w:r>
          <w:fldChar w:fldCharType="begin"/>
        </w:r>
        <w:r>
          <w:instrText xml:space="preserve"> PAGEREF _Toc5684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_Toc1375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8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_Toc21898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50" w:history="1">
        <w:r>
          <w:rPr>
            <w:rFonts w:ascii="仿宋" w:eastAsia="仿宋" w:hAnsi="仿宋" w:cs="仿宋" w:hint="eastAsia"/>
            <w:lang w:eastAsia="zh-CN"/>
          </w:rPr>
          <w:t>十一、环境风险评估</w:t>
        </w:r>
        <w:r>
          <w:tab/>
        </w:r>
        <w:r>
          <w:fldChar w:fldCharType="begin"/>
        </w:r>
        <w:r>
          <w:instrText xml:space="preserve"> PAGEREF _Toc15350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5" w:history="1">
        <w:r>
          <w:rPr>
            <w:rFonts w:ascii="仿宋" w:eastAsia="仿宋" w:hAnsi="仿宋" w:cs="仿宋" w:hint="eastAsia"/>
            <w:lang w:eastAsia="zh-CN"/>
          </w:rPr>
          <w:t>(一)、环境风险评估概述</w:t>
        </w:r>
        <w:r>
          <w:tab/>
        </w:r>
        <w:r>
          <w:fldChar w:fldCharType="begin"/>
        </w:r>
        <w:r>
          <w:instrText xml:space="preserve"> PAGEREF _Toc13335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5" w:history="1">
        <w:r>
          <w:rPr>
            <w:rFonts w:ascii="仿宋" w:eastAsia="仿宋" w:hAnsi="仿宋" w:cs="仿宋" w:hint="eastAsia"/>
            <w:lang w:eastAsia="zh-CN"/>
          </w:rPr>
          <w:t>(二)、评价仿石材漆项目风险分析</w:t>
        </w:r>
        <w:r>
          <w:tab/>
        </w:r>
        <w:r>
          <w:fldChar w:fldCharType="begin"/>
        </w:r>
        <w:r>
          <w:instrText xml:space="preserve"> PAGEREF _Toc30965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9" w:history="1">
        <w:r>
          <w:rPr>
            <w:rFonts w:ascii="仿宋" w:eastAsia="仿宋" w:hAnsi="仿宋" w:cs="仿宋" w:hint="eastAsia"/>
            <w:lang w:eastAsia="zh-CN"/>
          </w:rPr>
          <w:t>(三)、风险应急预案</w:t>
        </w:r>
        <w:r>
          <w:tab/>
        </w:r>
        <w:r>
          <w:fldChar w:fldCharType="begin"/>
        </w:r>
        <w:r>
          <w:instrText xml:space="preserve"> PAGEREF _Toc21579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26" w:history="1">
        <w:r>
          <w:rPr>
            <w:rFonts w:ascii="仿宋" w:eastAsia="仿宋" w:hAnsi="仿宋" w:cs="仿宋" w:hint="eastAsia"/>
            <w:lang w:eastAsia="zh-CN"/>
          </w:rPr>
          <w:t>十二、节能情况分析</w:t>
        </w:r>
        <w:r>
          <w:tab/>
        </w:r>
        <w:r>
          <w:fldChar w:fldCharType="begin"/>
        </w:r>
        <w:r>
          <w:instrText xml:space="preserve"> PAGEREF _Toc28526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3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_Toc21953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6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_Toc32256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45" w:history="1">
        <w:r>
          <w:rPr>
            <w:rFonts w:ascii="仿宋" w:eastAsia="仿宋" w:hAnsi="仿宋" w:cs="仿宋" w:hint="eastAsia"/>
            <w:lang w:eastAsia="zh-CN"/>
          </w:rPr>
          <w:t>(三)、仿石材漆项目地能源消耗与供应状况</w:t>
        </w:r>
        <w:r>
          <w:tab/>
        </w:r>
        <w:r>
          <w:fldChar w:fldCharType="begin"/>
        </w:r>
        <w:r>
          <w:instrText xml:space="preserve"> PAGEREF _Toc11345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5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_Toc16935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7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_Toc7287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9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_Toc32639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7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_Toc28717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29" w:history="1">
        <w:r>
          <w:rPr>
            <w:rFonts w:ascii="仿宋" w:eastAsia="仿宋" w:hAnsi="仿宋" w:cs="仿宋" w:hint="eastAsia"/>
            <w:lang w:eastAsia="zh-CN"/>
          </w:rPr>
          <w:t>十三、融资及使用计划</w:t>
        </w:r>
        <w:r>
          <w:tab/>
        </w:r>
        <w:r>
          <w:fldChar w:fldCharType="begin"/>
        </w:r>
        <w:r>
          <w:instrText xml:space="preserve"> PAGEREF _Toc16829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8" w:history="1">
        <w:r>
          <w:rPr>
            <w:rFonts w:ascii="仿宋" w:eastAsia="仿宋" w:hAnsi="仿宋" w:cs="仿宋" w:hint="eastAsia"/>
            <w:lang w:eastAsia="zh-CN"/>
          </w:rPr>
          <w:t>(一)、融资说明</w:t>
        </w:r>
        <w:r>
          <w:tab/>
        </w:r>
        <w:r>
          <w:fldChar w:fldCharType="begin"/>
        </w:r>
        <w:r>
          <w:instrText xml:space="preserve"> PAGEREF _Toc20338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9" w:history="1">
        <w:r>
          <w:rPr>
            <w:rFonts w:ascii="仿宋" w:eastAsia="仿宋" w:hAnsi="仿宋" w:cs="仿宋" w:hint="eastAsia"/>
            <w:lang w:eastAsia="zh-CN"/>
          </w:rPr>
          <w:t>(二)、资金使用计划</w:t>
        </w:r>
        <w:r>
          <w:tab/>
        </w:r>
        <w:r>
          <w:fldChar w:fldCharType="begin"/>
        </w:r>
        <w:r>
          <w:instrText xml:space="preserve"> PAGEREF _Toc6039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04" w:history="1">
        <w:r>
          <w:rPr>
            <w:rFonts w:ascii="仿宋" w:eastAsia="仿宋" w:hAnsi="仿宋" w:cs="仿宋" w:hint="eastAsia"/>
            <w:lang w:eastAsia="zh-CN"/>
          </w:rPr>
          <w:t>十四、仿石材漆项目背景、必要性</w:t>
        </w:r>
        <w:r>
          <w:tab/>
        </w:r>
        <w:r>
          <w:fldChar w:fldCharType="begin"/>
        </w:r>
        <w:r>
          <w:instrText xml:space="preserve"> PAGEREF _Toc16904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7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_Toc30217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0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_Toc19510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28" w:history="1">
        <w:r>
          <w:rPr>
            <w:rFonts w:ascii="仿宋" w:eastAsia="仿宋" w:hAnsi="仿宋" w:cs="仿宋" w:hint="eastAsia"/>
            <w:lang w:eastAsia="zh-CN"/>
          </w:rPr>
          <w:t>十五、创新投资策略</w:t>
        </w:r>
        <w:r>
          <w:tab/>
        </w:r>
        <w:r>
          <w:fldChar w:fldCharType="begin"/>
        </w:r>
        <w:r>
          <w:instrText xml:space="preserve"> PAGEREF _Toc3728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58" w:history="1">
        <w:r>
          <w:rPr>
            <w:rFonts w:ascii="仿宋" w:eastAsia="仿宋" w:hAnsi="仿宋" w:cs="仿宋" w:hint="eastAsia"/>
            <w:lang w:eastAsia="zh-CN"/>
          </w:rPr>
          <w:t>(一)、创新投资的定义</w:t>
        </w:r>
        <w:r>
          <w:tab/>
        </w:r>
        <w:r>
          <w:fldChar w:fldCharType="begin"/>
        </w:r>
        <w:r>
          <w:instrText xml:space="preserve"> PAGEREF _Toc26258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2" w:history="1">
        <w:r>
          <w:rPr>
            <w:rFonts w:ascii="仿宋" w:eastAsia="仿宋" w:hAnsi="仿宋" w:cs="仿宋" w:hint="eastAsia"/>
            <w:lang w:eastAsia="zh-CN"/>
          </w:rPr>
          <w:t>(二)、创新投资与企业战略的关系</w:t>
        </w:r>
        <w:r>
          <w:tab/>
        </w:r>
        <w:r>
          <w:fldChar w:fldCharType="begin"/>
        </w:r>
        <w:r>
          <w:instrText xml:space="preserve"> PAGEREF _Toc30792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7" w:history="1">
        <w:r>
          <w:rPr>
            <w:rFonts w:ascii="仿宋" w:eastAsia="仿宋" w:hAnsi="仿宋" w:cs="仿宋" w:hint="eastAsia"/>
            <w:lang w:eastAsia="zh-CN"/>
          </w:rPr>
          <w:t>(三)、创新投资决策过程</w:t>
        </w:r>
        <w:r>
          <w:tab/>
        </w:r>
        <w:r>
          <w:fldChar w:fldCharType="begin"/>
        </w:r>
        <w:r>
          <w:instrText xml:space="preserve"> PAGEREF _Toc20767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3" w:history="1">
        <w:r>
          <w:rPr>
            <w:rFonts w:ascii="仿宋" w:eastAsia="仿宋" w:hAnsi="仿宋" w:cs="仿宋" w:hint="eastAsia"/>
            <w:lang w:eastAsia="zh-CN"/>
          </w:rPr>
          <w:t>(四)、创新投资的风险管理</w:t>
        </w:r>
        <w:r>
          <w:tab/>
        </w:r>
        <w:r>
          <w:fldChar w:fldCharType="begin"/>
        </w:r>
        <w:r>
          <w:instrText xml:space="preserve"> PAGEREF _Toc19233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4" w:history="1">
        <w:r>
          <w:rPr>
            <w:rFonts w:ascii="仿宋" w:eastAsia="仿宋" w:hAnsi="仿宋" w:cs="仿宋" w:hint="eastAsia"/>
            <w:lang w:eastAsia="zh-CN"/>
          </w:rPr>
          <w:t>十六、市场扩展计划</w:t>
        </w:r>
        <w:r>
          <w:tab/>
        </w:r>
        <w:r>
          <w:fldChar w:fldCharType="begin"/>
        </w:r>
        <w:r>
          <w:instrText xml:space="preserve"> PAGEREF _Toc1084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2" w:history="1">
        <w:r>
          <w:rPr>
            <w:rFonts w:ascii="仿宋" w:eastAsia="仿宋" w:hAnsi="仿宋" w:cs="仿宋" w:hint="eastAsia"/>
            <w:lang w:eastAsia="zh-CN"/>
          </w:rPr>
          <w:t>(一)、国内市场拓展</w:t>
        </w:r>
        <w:r>
          <w:tab/>
        </w:r>
        <w:r>
          <w:fldChar w:fldCharType="begin"/>
        </w:r>
        <w:r>
          <w:instrText xml:space="preserve"> PAGEREF _Toc1402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7" w:history="1">
        <w:r>
          <w:rPr>
            <w:rFonts w:ascii="仿宋" w:eastAsia="仿宋" w:hAnsi="仿宋" w:cs="仿宋" w:hint="eastAsia"/>
            <w:lang w:eastAsia="zh-CN"/>
          </w:rPr>
          <w:t>(二)、国际市场进入策略</w:t>
        </w:r>
        <w:r>
          <w:tab/>
        </w:r>
        <w:r>
          <w:fldChar w:fldCharType="begin"/>
        </w:r>
        <w:r>
          <w:instrText xml:space="preserve"> PAGEREF _Toc22077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5" w:history="1">
        <w:r>
          <w:rPr>
            <w:rFonts w:ascii="仿宋" w:eastAsia="仿宋" w:hAnsi="仿宋" w:cs="仿宋" w:hint="eastAsia"/>
            <w:lang w:eastAsia="zh-CN"/>
          </w:rPr>
          <w:t>(三)、合作伙伴关系和分销渠道</w:t>
        </w:r>
        <w:r>
          <w:tab/>
        </w:r>
        <w:r>
          <w:fldChar w:fldCharType="begin"/>
        </w:r>
        <w:r>
          <w:instrText xml:space="preserve"> PAGEREF _Toc6125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5" w:history="1">
        <w:r>
          <w:rPr>
            <w:rFonts w:ascii="仿宋" w:eastAsia="仿宋" w:hAnsi="仿宋" w:cs="仿宋" w:hint="eastAsia"/>
            <w:lang w:eastAsia="zh-CN"/>
          </w:rPr>
          <w:t>(四)、市场多元化和新业务机会</w:t>
        </w:r>
        <w:r>
          <w:tab/>
        </w:r>
        <w:r>
          <w:fldChar w:fldCharType="begin"/>
        </w:r>
        <w:r>
          <w:instrText xml:space="preserve"> PAGEREF _Toc25255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5" w:history="1">
        <w:r>
          <w:rPr>
            <w:rFonts w:ascii="仿宋" w:eastAsia="仿宋" w:hAnsi="仿宋" w:cs="仿宋" w:hint="eastAsia"/>
            <w:lang w:eastAsia="zh-CN"/>
          </w:rPr>
          <w:t>(五)、市场扩展风险评估</w:t>
        </w:r>
        <w:r>
          <w:tab/>
        </w:r>
        <w:r>
          <w:fldChar w:fldCharType="begin"/>
        </w:r>
        <w:r>
          <w:instrText xml:space="preserve"> PAGEREF _Toc4105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22" w:history="1">
        <w:r>
          <w:rPr>
            <w:rFonts w:ascii="仿宋" w:eastAsia="仿宋" w:hAnsi="仿宋" w:cs="仿宋" w:hint="eastAsia"/>
            <w:lang w:eastAsia="zh-CN"/>
          </w:rPr>
          <w:t>十七、市场营销策略</w:t>
        </w:r>
        <w:r>
          <w:tab/>
        </w:r>
        <w:r>
          <w:fldChar w:fldCharType="begin"/>
        </w:r>
        <w:r>
          <w:instrText xml:space="preserve"> PAGEREF _Toc26722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5" w:history="1">
        <w:r>
          <w:rPr>
            <w:rFonts w:ascii="仿宋" w:eastAsia="仿宋" w:hAnsi="仿宋" w:cs="仿宋" w:hint="eastAsia"/>
            <w:lang w:eastAsia="zh-CN"/>
          </w:rPr>
          <w:t>(一)、市场定位与目标客户</w:t>
        </w:r>
        <w:r>
          <w:tab/>
        </w:r>
        <w:r>
          <w:fldChar w:fldCharType="begin"/>
        </w:r>
        <w:r>
          <w:instrText xml:space="preserve"> PAGEREF _Toc25165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5964" w:history="1">
        <w:r>
          <w:rPr>
            <w:rFonts w:ascii="仿宋" w:eastAsia="仿宋" w:hAnsi="仿宋" w:cs="仿宋" w:hint="eastAsia"/>
            <w:lang w:eastAsia="zh-CN"/>
          </w:rPr>
          <w:t>(二)、产品定位及差异化策略</w:t>
        </w:r>
        <w:r>
          <w:tab/>
        </w:r>
        <w:r>
          <w:fldChar w:fldCharType="begin"/>
        </w:r>
        <w:r>
          <w:instrText xml:space="preserve"> PAGEREF _Toc15964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1" w:history="1">
        <w:r>
          <w:rPr>
            <w:rFonts w:ascii="仿宋" w:eastAsia="仿宋" w:hAnsi="仿宋" w:cs="仿宋" w:hint="eastAsia"/>
            <w:lang w:eastAsia="zh-CN"/>
          </w:rPr>
          <w:t>(三)、价格策略</w:t>
        </w:r>
        <w:r>
          <w:tab/>
        </w:r>
        <w:r>
          <w:fldChar w:fldCharType="begin"/>
        </w:r>
        <w:r>
          <w:instrText xml:space="preserve"> PAGEREF _Toc5291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8" w:history="1">
        <w:r>
          <w:rPr>
            <w:rFonts w:ascii="仿宋" w:eastAsia="仿宋" w:hAnsi="仿宋" w:cs="仿宋" w:hint="eastAsia"/>
            <w:lang w:eastAsia="zh-CN"/>
          </w:rPr>
          <w:t>(四)、销售渠道与推广</w:t>
        </w:r>
        <w:r>
          <w:tab/>
        </w:r>
        <w:r>
          <w:fldChar w:fldCharType="begin"/>
        </w:r>
        <w:r>
          <w:instrText xml:space="preserve"> PAGEREF _Toc14968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6" w:history="1">
        <w:r>
          <w:rPr>
            <w:rFonts w:ascii="仿宋" w:eastAsia="仿宋" w:hAnsi="仿宋" w:cs="仿宋" w:hint="eastAsia"/>
            <w:lang w:eastAsia="zh-CN"/>
          </w:rPr>
          <w:t>(五)、市场营销风险与对策</w:t>
        </w:r>
        <w:r>
          <w:tab/>
        </w:r>
        <w:r>
          <w:fldChar w:fldCharType="begin"/>
        </w:r>
        <w:r>
          <w:instrText xml:space="preserve"> PAGEREF _Toc22096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3" w:history="1">
        <w:r>
          <w:rPr>
            <w:rFonts w:ascii="仿宋" w:eastAsia="仿宋" w:hAnsi="仿宋" w:cs="仿宋" w:hint="eastAsia"/>
            <w:lang w:eastAsia="zh-CN"/>
          </w:rPr>
          <w:t>十八、技术支持与维护</w:t>
        </w:r>
        <w:r>
          <w:tab/>
        </w:r>
        <w:r>
          <w:fldChar w:fldCharType="begin"/>
        </w:r>
        <w:r>
          <w:instrText xml:space="preserve"> PAGEREF _Toc1213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1" w:history="1">
        <w:r>
          <w:rPr>
            <w:rFonts w:ascii="仿宋" w:eastAsia="仿宋" w:hAnsi="仿宋" w:cs="仿宋" w:hint="eastAsia"/>
            <w:lang w:eastAsia="zh-CN"/>
          </w:rPr>
          <w:t>(一)、技术支持计划</w:t>
        </w:r>
        <w:r>
          <w:tab/>
        </w:r>
        <w:r>
          <w:fldChar w:fldCharType="begin"/>
        </w:r>
        <w:r>
          <w:instrText xml:space="preserve"> PAGEREF _Toc13961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6" w:history="1">
        <w:r>
          <w:rPr>
            <w:rFonts w:ascii="仿宋" w:eastAsia="仿宋" w:hAnsi="仿宋" w:cs="仿宋" w:hint="eastAsia"/>
            <w:lang w:eastAsia="zh-CN"/>
          </w:rPr>
          <w:t>(二)、设备维护与保养</w:t>
        </w:r>
        <w:r>
          <w:tab/>
        </w:r>
        <w:r>
          <w:fldChar w:fldCharType="begin"/>
        </w:r>
        <w:r>
          <w:instrText xml:space="preserve"> PAGEREF _Toc24856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4" w:history="1">
        <w:r>
          <w:rPr>
            <w:rFonts w:ascii="仿宋" w:eastAsia="仿宋" w:hAnsi="仿宋" w:cs="仿宋" w:hint="eastAsia"/>
            <w:lang w:eastAsia="zh-CN"/>
          </w:rPr>
          <w:t>(三)、系统更新与升级</w:t>
        </w:r>
        <w:r>
          <w:tab/>
        </w:r>
        <w:r>
          <w:fldChar w:fldCharType="begin"/>
        </w:r>
        <w:r>
          <w:instrText xml:space="preserve"> PAGEREF _Toc31744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" w:history="1">
        <w:r>
          <w:rPr>
            <w:rFonts w:ascii="仿宋" w:eastAsia="仿宋" w:hAnsi="仿宋" w:cs="仿宋" w:hint="eastAsia"/>
            <w:lang w:eastAsia="zh-CN"/>
          </w:rPr>
          <w:t>(四)、故障排除与紧急修复</w:t>
        </w:r>
        <w:r>
          <w:tab/>
        </w:r>
        <w:r>
          <w:fldChar w:fldCharType="begin"/>
        </w:r>
        <w:r>
          <w:instrText xml:space="preserve"> PAGEREF _Toc3132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73" w:history="1">
        <w:r>
          <w:rPr>
            <w:rFonts w:ascii="仿宋" w:eastAsia="仿宋" w:hAnsi="仿宋" w:cs="仿宋" w:hint="eastAsia"/>
            <w:lang w:eastAsia="zh-CN"/>
          </w:rPr>
          <w:t>十九、合作与交流机制建立</w:t>
        </w:r>
        <w:r>
          <w:tab/>
        </w:r>
        <w:r>
          <w:fldChar w:fldCharType="begin"/>
        </w:r>
        <w:r>
          <w:instrText xml:space="preserve"> PAGEREF _Toc26273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7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_Toc27737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23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_Toc14823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70" w:history="1">
        <w:r>
          <w:rPr>
            <w:rFonts w:ascii="仿宋" w:eastAsia="仿宋" w:hAnsi="仿宋" w:cs="仿宋" w:hint="eastAsia"/>
            <w:lang w:eastAsia="zh-CN"/>
          </w:rPr>
          <w:t>二十、员工管理与发展</w:t>
        </w:r>
        <w:r>
          <w:tab/>
        </w:r>
        <w:r>
          <w:fldChar w:fldCharType="begin"/>
        </w:r>
        <w:r>
          <w:instrText xml:space="preserve"> PAGEREF _Toc7370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1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_Toc6761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78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_Toc21478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6" w:history="1">
        <w:r>
          <w:rPr>
            <w:rFonts w:ascii="仿宋" w:eastAsia="仿宋" w:hAnsi="仿宋" w:cs="仿宋" w:hint="eastAsia"/>
            <w:lang w:eastAsia="zh-CN"/>
          </w:rPr>
          <w:t>(三)、绩效管理与激励计划</w:t>
        </w:r>
        <w:r>
          <w:tab/>
        </w:r>
        <w:r>
          <w:fldChar w:fldCharType="begin"/>
        </w:r>
        <w:r>
          <w:instrText xml:space="preserve"> PAGEREF _Toc24786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98" w:history="1">
        <w:r>
          <w:rPr>
            <w:rFonts w:ascii="仿宋" w:eastAsia="仿宋" w:hAnsi="仿宋" w:cs="仿宋" w:hint="eastAsia"/>
            <w:lang w:eastAsia="zh-CN"/>
          </w:rPr>
          <w:t>二十一、 环境保护可行性</w:t>
        </w:r>
        <w:r>
          <w:tab/>
        </w:r>
        <w:r>
          <w:fldChar w:fldCharType="begin"/>
        </w:r>
        <w:r>
          <w:instrText xml:space="preserve"> PAGEREF _Toc23698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_Toc21941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4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_Toc26964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9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_Toc9429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8" w:history="1">
        <w:r>
          <w:rPr>
            <w:rFonts w:ascii="仿宋" w:eastAsia="仿宋" w:hAnsi="仿宋" w:cs="仿宋" w:hint="eastAsia"/>
            <w:lang w:eastAsia="zh-CN"/>
          </w:rPr>
          <w:t>(四)、仿石材漆项目建设对区域经济的影响</w:t>
        </w:r>
        <w:r>
          <w:tab/>
        </w:r>
        <w:r>
          <w:fldChar w:fldCharType="begin"/>
        </w:r>
        <w:r>
          <w:instrText xml:space="preserve"> PAGEREF _Toc29928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_Toc3034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6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_Toc17586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7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_Toc10127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2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_Toc892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76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322"/>
      <w:r>
        <w:rPr>
          <w:rFonts w:ascii="仿宋" w:eastAsia="仿宋" w:hAnsi="仿宋" w:cs="仿宋" w:hint="eastAsia"/>
          <w:sz w:val="28"/>
          <w:lang w:eastAsia="zh-CN"/>
        </w:rPr>
        <w:t>一、职业安全与劳动卫生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554"/>
      <w:r>
        <w:rPr>
          <w:rFonts w:ascii="仿宋" w:eastAsia="仿宋" w:hAnsi="仿宋" w:cs="仿宋" w:hint="eastAsia"/>
          <w:lang w:eastAsia="zh-CN"/>
        </w:rPr>
        <w:t>(一)、消防安全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消防安全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消防设计原则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在仿石材漆项目建设中，承办单位应全部采用阻燃性建筑材料，坚持"预防为主"的原则，明确定义重点消防对象，并采取适当的安全消防措施，以确保在火灾发生时能够迅速扑灭火源、安全疏散相关人员，将损失降至最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实施巡检制度，及时发现和处理异常情况，确保安全生产。在可能产生爆炸危险的场所，应采取正压或自然通风措施，以防止爆炸危险环境的形成。在设计中，要严格遵守国家标准、行业规范和强制性标准，确保建筑结构和设备在生产过程中的质量和安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消防设计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https://d.book118.com/857016002123006045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仿石材漆行业企业战略风险管理报告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仿石材漆行业企业战略风险管理报告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仿石材漆行业企业战略风险管理报告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仿石材漆行业企业战略风险管理报告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仿石材漆行业企业战略风险管理报告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E4476"/>
    <w:rsid w:val="124E4476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57016002123006045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2024-02-25T21:09:00Z</dcterms:created>
  <dcterms:modified xsi:type="dcterms:W3CDTF">2024-02-25T21:09:37Z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622D7562E3344F6F98A76C5A60681A60_11</vt:lpwstr>
  </property>
  <property fmtid="{D5CDD505-2E9C-101B-9397-08002B2CF9AE}" pid="3" name="KSOProductBuildVer">
    <vt:lpwstr>2052-12.1.0.16250</vt:lpwstr>
  </property>
</Properties>
</file>