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_GB2312" w:eastAsia="仿宋_GB2312" w:hAnsi="仿宋_GB2312" w:cs="仿宋_GB2312"/>
          <w:color w:val="auto"/>
          <w:sz w:val="36"/>
          <w:szCs w:val="36"/>
        </w:rPr>
      </w:pPr>
      <w:bookmarkStart w:id="0" w:name="_Hlk57883707"/>
    </w:p>
    <w:p>
      <w:pPr>
        <w:rPr>
          <w:rFonts w:ascii="仿宋_GB2312" w:eastAsia="仿宋_GB2312" w:hAnsi="仿宋_GB2312" w:cs="仿宋_GB2312"/>
          <w:color w:val="auto"/>
          <w:sz w:val="36"/>
          <w:szCs w:val="36"/>
        </w:rPr>
      </w:pPr>
    </w:p>
    <w:p>
      <w:pPr>
        <w:pStyle w:val="Heading2"/>
        <w:rPr>
          <w:color w:val="auto"/>
        </w:rPr>
      </w:pPr>
    </w:p>
    <w:p>
      <w:pPr>
        <w:pStyle w:val="Heading2"/>
        <w:rPr>
          <w:color w:val="auto"/>
        </w:rPr>
      </w:pPr>
    </w:p>
    <w:bookmarkEnd w:id="0"/>
    <w:p>
      <w:pPr>
        <w:adjustRightInd w:val="0"/>
        <w:snapToGrid w:val="0"/>
        <w:jc w:val="center"/>
        <w:outlineLvl w:val="0"/>
        <w:rPr>
          <w:rFonts w:ascii="方正小标宋_GBK" w:eastAsia="方正小标宋_GBK" w:hint="eastAsia"/>
          <w:bCs/>
          <w:color w:val="auto"/>
          <w:sz w:val="72"/>
          <w:szCs w:val="72"/>
        </w:rPr>
      </w:pPr>
      <w:r>
        <w:rPr>
          <w:rFonts w:ascii="方正小标宋_GBK" w:eastAsia="方正小标宋_GBK" w:hint="eastAsia"/>
          <w:bCs/>
          <w:color w:val="auto"/>
          <w:sz w:val="72"/>
          <w:szCs w:val="72"/>
        </w:rPr>
        <w:t>建设项目环境影响报告表</w:t>
      </w:r>
    </w:p>
    <w:p>
      <w:pPr>
        <w:adjustRightInd w:val="0"/>
        <w:snapToGrid w:val="0"/>
        <w:spacing w:before="250" w:beforeLines="80"/>
        <w:jc w:val="center"/>
        <w:rPr>
          <w:rFonts w:ascii="Times New Roman" w:eastAsia="楷体_GB2312" w:hAnsi="Times New Roman" w:cs="Times New Roman" w:hint="default"/>
          <w:bCs/>
          <w:color w:val="auto"/>
          <w:sz w:val="48"/>
          <w:szCs w:val="48"/>
        </w:rPr>
      </w:pPr>
      <w:r>
        <w:rPr>
          <w:rFonts w:ascii="楷体_GB2312" w:eastAsia="楷体_GB2312" w:hint="eastAsia"/>
          <w:bCs/>
          <w:color w:val="auto"/>
          <w:sz w:val="48"/>
          <w:szCs w:val="48"/>
        </w:rPr>
        <w:t>（</w:t>
      </w:r>
      <w:r>
        <w:rPr>
          <w:rFonts w:ascii="楷体_GB2312" w:eastAsia="楷体_GB2312" w:hint="eastAsia"/>
          <w:bCs/>
          <w:color w:val="auto"/>
          <w:kern w:val="21"/>
          <w:sz w:val="48"/>
          <w:szCs w:val="48"/>
        </w:rPr>
        <w:t>污染影响类</w:t>
      </w:r>
      <w:r>
        <w:rPr>
          <w:rFonts w:ascii="楷体_GB2312" w:eastAsia="楷体_GB2312" w:hint="eastAsia"/>
          <w:bCs/>
          <w:color w:val="auto"/>
          <w:sz w:val="48"/>
          <w:szCs w:val="48"/>
        </w:rPr>
        <w:t>）</w:t>
      </w:r>
    </w:p>
    <w:p>
      <w:pPr>
        <w:adjustRightInd w:val="0"/>
        <w:snapToGrid w:val="0"/>
        <w:spacing w:line="288" w:lineRule="auto"/>
        <w:jc w:val="center"/>
        <w:outlineLvl w:val="0"/>
        <w:rPr>
          <w:rFonts w:ascii="Times New Roman" w:eastAsia="华文仿宋" w:hAnsi="Times New Roman" w:cs="Times New Roman" w:hint="default"/>
          <w:color w:val="auto"/>
          <w:kern w:val="44"/>
          <w:sz w:val="44"/>
          <w:szCs w:val="44"/>
        </w:rPr>
      </w:pPr>
      <w:bookmarkStart w:id="1" w:name="_Hlk57883728"/>
    </w:p>
    <w:p>
      <w:pPr>
        <w:jc w:val="center"/>
        <w:rPr>
          <w:rFonts w:ascii="Times New Roman" w:eastAsia="仿宋" w:hAnsi="Times New Roman" w:cs="Times New Roman" w:hint="default"/>
          <w:color w:val="auto"/>
          <w:sz w:val="52"/>
          <w:szCs w:val="52"/>
        </w:rPr>
      </w:pPr>
    </w:p>
    <w:p>
      <w:pPr>
        <w:ind w:firstLine="1040"/>
        <w:rPr>
          <w:rFonts w:ascii="Times New Roman" w:eastAsia="仿宋" w:hAnsi="Times New Roman" w:cs="Times New Roman" w:hint="default"/>
          <w:color w:val="auto"/>
          <w:sz w:val="44"/>
          <w:szCs w:val="44"/>
        </w:rPr>
      </w:pPr>
    </w:p>
    <w:p>
      <w:pPr>
        <w:pStyle w:val="Heading2"/>
        <w:rPr>
          <w:rFonts w:hint="default"/>
          <w:color w:val="auto"/>
        </w:rPr>
      </w:pPr>
    </w:p>
    <w:bookmarkEnd w:id="1"/>
    <w:p>
      <w:pPr>
        <w:adjustRightInd w:val="0"/>
        <w:snapToGrid w:val="0"/>
        <w:spacing w:line="288" w:lineRule="auto"/>
        <w:ind w:firstLine="1040"/>
        <w:jc w:val="center"/>
        <w:rPr>
          <w:rFonts w:ascii="Times New Roman" w:eastAsia="仿宋_GB2312" w:hAnsi="Times New Roman" w:cs="Times New Roman" w:hint="eastAsia"/>
          <w:color w:val="auto"/>
          <w:sz w:val="32"/>
          <w:szCs w:val="32"/>
        </w:rPr>
      </w:pPr>
      <w:r>
        <w:rPr>
          <w:rFonts w:ascii="Times New Roman" w:eastAsia="仿宋_GB2312" w:hAnsi="Times New Roman" w:cs="Times New Roman" w:hint="default"/>
          <w:color w:val="auto"/>
          <w:sz w:val="32"/>
          <w:szCs w:val="32"/>
        </w:rPr>
        <w:pict>
          <v:line id="直接连接符 95" o:spid="_x0000_s1025" style="mso-height-relative:page;mso-width-relative:page;position:absolute;z-index:251660288" from="140.05pt,19.75pt" to="422.15pt,19.8pt" coordsize="21600,21600" stroked="t" strokecolor="black">
            <v:stroke joinstyle="round"/>
            <o:lock v:ext="edit" aspectratio="f"/>
          </v:line>
        </w:pict>
      </w:r>
      <w:r>
        <w:rPr>
          <w:rFonts w:ascii="Times New Roman" w:eastAsia="仿宋_GB2312" w:hAnsi="Times New Roman" w:cs="Times New Roman" w:hint="default"/>
          <w:color w:val="auto"/>
          <w:sz w:val="32"/>
          <w:szCs w:val="32"/>
        </w:rPr>
        <w:t xml:space="preserve">项目名称： </w:t>
      </w:r>
      <w:r>
        <w:rPr>
          <w:rFonts w:ascii="Times New Roman" w:eastAsia="仿宋_GB2312" w:hAnsi="Times New Roman" w:cs="Times New Roman" w:hint="eastAsia"/>
          <w:color w:val="auto"/>
          <w:sz w:val="32"/>
          <w:szCs w:val="32"/>
          <w:lang w:eastAsia="zh-CN"/>
        </w:rPr>
        <w:t>蒲城富瑞年产900万套新型环保模压制品</w:t>
      </w:r>
    </w:p>
    <w:p>
      <w:pPr>
        <w:adjustRightInd w:val="0"/>
        <w:snapToGrid w:val="0"/>
        <w:spacing w:line="288" w:lineRule="auto"/>
        <w:ind w:firstLine="2880" w:firstLineChars="900"/>
        <w:jc w:val="both"/>
        <w:rPr>
          <w:rFonts w:ascii="Times New Roman" w:eastAsia="仿宋_GB2312" w:hAnsi="Times New Roman" w:cs="Times New Roman" w:hint="default"/>
          <w:color w:val="auto"/>
          <w:sz w:val="32"/>
          <w:szCs w:val="32"/>
        </w:rPr>
      </w:pPr>
      <w:r>
        <w:rPr>
          <w:rFonts w:ascii="Times New Roman" w:eastAsia="仿宋_GB2312" w:hAnsi="Times New Roman" w:cs="Times New Roman" w:hint="eastAsia"/>
          <w:color w:val="auto"/>
          <w:sz w:val="32"/>
          <w:szCs w:val="32"/>
          <w:u w:val="single"/>
          <w:lang w:val="en-US" w:eastAsia="zh-CN"/>
        </w:rPr>
        <w:t xml:space="preserve">             生</w:t>
      </w:r>
      <w:r>
        <w:rPr>
          <w:rFonts w:ascii="Times New Roman" w:eastAsia="仿宋_GB2312" w:hAnsi="Times New Roman" w:cs="Times New Roman" w:hint="eastAsia"/>
          <w:color w:val="auto"/>
          <w:sz w:val="32"/>
          <w:szCs w:val="32"/>
          <w:u w:val="single"/>
          <w:lang w:eastAsia="zh-CN"/>
        </w:rPr>
        <w:t>产线建设项目</w:t>
      </w:r>
      <w:r>
        <w:rPr>
          <w:rFonts w:ascii="Times New Roman" w:eastAsia="仿宋_GB2312" w:hAnsi="Times New Roman" w:cs="Times New Roman" w:hint="eastAsia"/>
          <w:color w:val="auto"/>
          <w:sz w:val="32"/>
          <w:szCs w:val="32"/>
          <w:u w:val="single"/>
          <w:lang w:val="en-US" w:eastAsia="zh-CN"/>
        </w:rPr>
        <w:t xml:space="preserve">        </w:t>
      </w:r>
      <w:r>
        <w:rPr>
          <w:rFonts w:ascii="Times New Roman" w:eastAsia="仿宋_GB2312" w:hAnsi="Times New Roman" w:cs="Times New Roman" w:hint="eastAsia"/>
          <w:color w:val="auto"/>
          <w:sz w:val="32"/>
          <w:szCs w:val="32"/>
          <w:lang w:val="en-US" w:eastAsia="zh-CN"/>
        </w:rPr>
        <w:t xml:space="preserve"> </w:t>
      </w:r>
      <w:r>
        <w:rPr>
          <w:rFonts w:eastAsia="仿宋_GB2312" w:cs="Times New Roman" w:hint="eastAsia"/>
          <w:color w:val="auto"/>
          <w:sz w:val="32"/>
          <w:szCs w:val="32"/>
          <w:u w:val="none"/>
          <w:lang w:val="en-US" w:eastAsia="zh-CN"/>
        </w:rPr>
        <w:t xml:space="preserve">      </w:t>
      </w:r>
    </w:p>
    <w:p>
      <w:pPr>
        <w:adjustRightInd w:val="0"/>
        <w:snapToGrid w:val="0"/>
        <w:spacing w:line="288" w:lineRule="auto"/>
        <w:ind w:firstLine="1040"/>
        <w:rPr>
          <w:rFonts w:ascii="Times New Roman" w:eastAsia="仿宋_GB2312" w:hAnsi="Times New Roman" w:cs="Times New Roman" w:hint="default"/>
          <w:color w:val="auto"/>
          <w:sz w:val="32"/>
          <w:szCs w:val="32"/>
          <w:u w:val="none"/>
        </w:rPr>
      </w:pPr>
      <w:r>
        <w:rPr>
          <w:rFonts w:ascii="Times New Roman" w:hAnsi="Times New Roman" w:cs="Times New Roman" w:hint="default"/>
          <w:color w:val="auto"/>
          <w:sz w:val="32"/>
          <w:szCs w:val="32"/>
        </w:rPr>
        <w:pict>
          <v:line id="直接连接符 101" o:spid="_x0000_s1026" style="mso-height-relative:page;mso-width-relative:page;position:absolute;z-index:251659264" from="198.15pt,18.6pt" to="421.55pt,18.65pt" coordsize="21600,21600" stroked="t" strokecolor="black">
            <v:stroke joinstyle="round"/>
            <o:lock v:ext="edit" aspectratio="f"/>
          </v:line>
        </w:pict>
      </w:r>
      <w:r>
        <w:rPr>
          <w:rFonts w:ascii="Times New Roman" w:eastAsia="仿宋_GB2312" w:hAnsi="Times New Roman" w:cs="Times New Roman" w:hint="default"/>
          <w:color w:val="auto"/>
          <w:sz w:val="32"/>
          <w:szCs w:val="32"/>
        </w:rPr>
        <w:t>建设单位（盖章）：</w:t>
      </w:r>
      <w:r>
        <w:rPr>
          <w:rFonts w:ascii="Times New Roman" w:eastAsia="仿宋_GB2312" w:hAnsi="Times New Roman" w:cs="Times New Roman" w:hint="default"/>
          <w:color w:val="auto"/>
          <w:sz w:val="32"/>
          <w:szCs w:val="32"/>
          <w:u w:val="none"/>
        </w:rPr>
        <w:t xml:space="preserve"> </w:t>
      </w:r>
      <w:r>
        <w:rPr>
          <w:rFonts w:eastAsia="仿宋_GB2312" w:cs="Times New Roman" w:hint="eastAsia"/>
          <w:color w:val="auto"/>
          <w:sz w:val="32"/>
          <w:szCs w:val="32"/>
          <w:lang w:eastAsia="zh-CN"/>
        </w:rPr>
        <w:t>蒲城县富瑞再生纸业</w:t>
      </w:r>
      <w:r>
        <w:rPr>
          <w:rFonts w:ascii="Times New Roman" w:eastAsia="仿宋_GB2312" w:hAnsi="Times New Roman" w:cs="Times New Roman" w:hint="eastAsia"/>
          <w:color w:val="auto"/>
          <w:sz w:val="32"/>
          <w:szCs w:val="32"/>
          <w:lang w:eastAsia="zh-CN"/>
        </w:rPr>
        <w:t>有限公司</w:t>
      </w:r>
      <w:r>
        <w:rPr>
          <w:rFonts w:ascii="Times New Roman" w:eastAsia="仿宋_GB2312" w:hAnsi="Times New Roman" w:cs="Times New Roman" w:hint="default"/>
          <w:color w:val="auto"/>
          <w:sz w:val="32"/>
          <w:szCs w:val="32"/>
          <w:u w:val="none"/>
        </w:rPr>
        <w:t xml:space="preserve">  </w:t>
      </w:r>
    </w:p>
    <w:p>
      <w:pPr>
        <w:adjustRightInd w:val="0"/>
        <w:snapToGrid w:val="0"/>
        <w:spacing w:line="288" w:lineRule="auto"/>
        <w:ind w:firstLine="1040"/>
        <w:rPr>
          <w:rFonts w:ascii="Times New Roman" w:eastAsia="仿宋_GB2312" w:hAnsi="Times New Roman" w:cs="Times New Roman" w:hint="default"/>
          <w:color w:val="auto"/>
          <w:sz w:val="30"/>
          <w:szCs w:val="30"/>
          <w:u w:val="single"/>
        </w:rPr>
      </w:pPr>
      <w:r>
        <w:rPr>
          <w:rFonts w:ascii="Times New Roman" w:hAnsi="Times New Roman" w:cs="Times New Roman" w:hint="default"/>
          <w:color w:val="auto"/>
          <w:sz w:val="32"/>
          <w:szCs w:val="32"/>
        </w:rPr>
        <w:pict>
          <v:line id="直接连接符 100" o:spid="_x0000_s1027" style="mso-height-relative:page;mso-width-relative:page;position:absolute;z-index:251658240" from="141.05pt,21.4pt" to="421.55pt,21.45pt" coordsize="21600,21600" stroked="t" strokecolor="black">
            <v:stroke joinstyle="round"/>
            <o:lock v:ext="edit" aspectratio="f"/>
          </v:line>
        </w:pict>
      </w:r>
      <w:r>
        <w:rPr>
          <w:rFonts w:ascii="Times New Roman" w:eastAsia="仿宋_GB2312" w:hAnsi="Times New Roman" w:cs="Times New Roman" w:hint="default"/>
          <w:color w:val="auto"/>
          <w:sz w:val="32"/>
          <w:szCs w:val="32"/>
        </w:rPr>
        <w:t>编制日期：</w:t>
      </w:r>
      <w:r>
        <w:rPr>
          <w:rFonts w:ascii="Times New Roman" w:eastAsia="仿宋_GB2312" w:hAnsi="Times New Roman" w:cs="Times New Roman" w:hint="default"/>
          <w:color w:val="auto"/>
          <w:sz w:val="32"/>
          <w:szCs w:val="32"/>
          <w:u w:val="none"/>
        </w:rPr>
        <w:t xml:space="preserve"> </w:t>
      </w:r>
      <w:r>
        <w:rPr>
          <w:rFonts w:ascii="Times New Roman" w:eastAsia="仿宋_GB2312" w:hAnsi="Times New Roman" w:cs="Times New Roman" w:hint="default"/>
          <w:color w:val="auto"/>
          <w:sz w:val="32"/>
          <w:szCs w:val="32"/>
          <w:u w:val="none"/>
          <w:lang w:val="en-US" w:eastAsia="zh-CN"/>
        </w:rPr>
        <w:t xml:space="preserve">        </w:t>
      </w:r>
      <w:r>
        <w:rPr>
          <w:rFonts w:ascii="Times New Roman" w:eastAsia="仿宋_GB2312" w:hAnsi="Times New Roman" w:cs="Times New Roman" w:hint="default"/>
          <w:color w:val="auto"/>
          <w:sz w:val="32"/>
          <w:szCs w:val="32"/>
          <w:u w:val="none"/>
        </w:rPr>
        <w:t xml:space="preserve">  二〇二一年</w:t>
      </w:r>
      <w:r>
        <w:rPr>
          <w:rFonts w:ascii="Times New Roman" w:eastAsia="仿宋_GB2312" w:hAnsi="Times New Roman" w:cs="Times New Roman" w:hint="eastAsia"/>
          <w:color w:val="auto"/>
          <w:sz w:val="32"/>
          <w:szCs w:val="32"/>
          <w:u w:val="none"/>
          <w:lang w:eastAsia="zh-CN"/>
        </w:rPr>
        <w:t>九</w:t>
      </w:r>
      <w:r>
        <w:rPr>
          <w:rFonts w:ascii="Times New Roman" w:eastAsia="仿宋_GB2312" w:hAnsi="Times New Roman" w:cs="Times New Roman" w:hint="default"/>
          <w:color w:val="auto"/>
          <w:sz w:val="32"/>
          <w:szCs w:val="32"/>
          <w:u w:val="none"/>
        </w:rPr>
        <w:t>月</w:t>
      </w:r>
      <w:r>
        <w:rPr>
          <w:rFonts w:ascii="Times New Roman" w:eastAsia="仿宋_GB2312" w:hAnsi="Times New Roman" w:cs="Times New Roman" w:hint="default"/>
          <w:color w:val="auto"/>
          <w:sz w:val="32"/>
          <w:szCs w:val="32"/>
          <w:u w:val="none"/>
          <w:lang w:val="en-US" w:eastAsia="zh-CN"/>
        </w:rPr>
        <w:t xml:space="preserve"> </w:t>
      </w:r>
    </w:p>
    <w:p>
      <w:pPr>
        <w:pStyle w:val="BodyTextFirstIndent2"/>
        <w:rPr>
          <w:rFonts w:ascii="Times New Roman" w:hAnsi="Times New Roman" w:hint="default"/>
          <w:color w:val="auto"/>
          <w:sz w:val="30"/>
          <w:szCs w:val="30"/>
        </w:rPr>
      </w:pPr>
    </w:p>
    <w:p>
      <w:pPr>
        <w:pStyle w:val="BodyTextFirstIndent"/>
        <w:rPr>
          <w:rFonts w:cs="Times New Roman" w:hint="default"/>
          <w:color w:val="auto"/>
        </w:rPr>
      </w:pPr>
    </w:p>
    <w:p>
      <w:pPr>
        <w:adjustRightInd w:val="0"/>
        <w:snapToGrid w:val="0"/>
        <w:spacing w:line="288" w:lineRule="auto"/>
        <w:ind w:firstLine="1040"/>
        <w:rPr>
          <w:rFonts w:ascii="Times New Roman" w:eastAsia="仿宋_GB2312" w:hAnsi="Times New Roman" w:cs="Times New Roman" w:hint="default"/>
          <w:color w:val="auto"/>
          <w:sz w:val="36"/>
          <w:szCs w:val="36"/>
        </w:rPr>
      </w:pPr>
    </w:p>
    <w:p>
      <w:pPr>
        <w:pStyle w:val="a"/>
        <w:rPr>
          <w:rFonts w:hint="default"/>
          <w:color w:val="auto"/>
        </w:rPr>
        <w:sectPr>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1"/>
          <w:cols w:num="1" w:space="425"/>
          <w:docGrid w:type="lines" w:linePitch="312" w:charSpace="0"/>
        </w:sectPr>
      </w:pPr>
    </w:p>
    <w:p>
      <w:pPr>
        <w:adjustRightInd w:val="0"/>
        <w:snapToGrid w:val="0"/>
        <w:spacing w:line="288" w:lineRule="auto"/>
        <w:ind w:firstLine="1040"/>
        <w:rPr>
          <w:rFonts w:ascii="Times New Roman" w:eastAsia="仿宋_GB2312" w:hAnsi="Times New Roman" w:cs="Times New Roman" w:hint="default"/>
          <w:color w:val="auto"/>
          <w:sz w:val="36"/>
          <w:szCs w:val="36"/>
        </w:rPr>
      </w:pPr>
    </w:p>
    <w:p>
      <w:pPr>
        <w:adjustRightInd w:val="0"/>
        <w:snapToGrid w:val="0"/>
        <w:spacing w:line="288" w:lineRule="auto"/>
        <w:ind w:firstLine="1040"/>
        <w:rPr>
          <w:rFonts w:ascii="Times New Roman" w:eastAsia="仿宋_GB2312" w:hAnsi="Times New Roman" w:cs="Times New Roman" w:hint="default"/>
          <w:color w:val="auto"/>
          <w:sz w:val="36"/>
          <w:szCs w:val="36"/>
        </w:rPr>
      </w:pPr>
    </w:p>
    <w:p>
      <w:pPr>
        <w:widowControl/>
        <w:spacing w:line="240" w:lineRule="auto"/>
        <w:jc w:val="center"/>
        <w:rPr>
          <w:rFonts w:ascii="Times New Roman" w:eastAsia="楷体_GB2312" w:hAnsi="Times New Roman" w:cs="Times New Roman" w:hint="default"/>
          <w:color w:val="auto"/>
          <w:sz w:val="36"/>
          <w:szCs w:val="36"/>
        </w:rPr>
      </w:pPr>
      <w:r>
        <w:rPr>
          <w:rFonts w:ascii="Times New Roman" w:eastAsia="楷体_GB2312" w:hAnsi="Times New Roman" w:cs="Times New Roman" w:hint="default"/>
          <w:color w:val="auto"/>
          <w:sz w:val="36"/>
          <w:szCs w:val="36"/>
        </w:rPr>
        <w:t>中华人民共和国生态环境部制</w:t>
      </w:r>
    </w:p>
    <w:p>
      <w:pPr>
        <w:pStyle w:val="NormalWeb"/>
        <w:spacing w:before="100" w:after="100"/>
        <w:jc w:val="center"/>
        <w:outlineLvl w:val="0"/>
        <w:rPr>
          <w:rFonts w:ascii="Times New Roman" w:eastAsia="黑体" w:hAnsi="Times New Roman" w:hint="default"/>
          <w:snapToGrid w:val="0"/>
          <w:color w:val="auto"/>
          <w:sz w:val="30"/>
          <w:szCs w:val="30"/>
        </w:rPr>
      </w:pPr>
    </w:p>
    <w:p>
      <w:pPr>
        <w:pStyle w:val="NormalWeb"/>
        <w:spacing w:before="100" w:after="100"/>
        <w:jc w:val="center"/>
        <w:outlineLvl w:val="0"/>
        <w:rPr>
          <w:rFonts w:ascii="Times New Roman" w:eastAsia="黑体" w:hAnsi="Times New Roman" w:hint="default"/>
          <w:snapToGrid w:val="0"/>
          <w:color w:val="auto"/>
          <w:sz w:val="30"/>
          <w:szCs w:val="30"/>
        </w:rPr>
        <w:sectPr>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2"/>
          <w:cols w:num="1" w:space="425"/>
          <w:titlePg w:val="0"/>
          <w:docGrid w:type="lines" w:linePitch="312" w:charSpace="0"/>
        </w:sectPr>
      </w:pPr>
    </w:p>
    <w:p>
      <w:pPr>
        <w:pStyle w:val="NormalWeb"/>
        <w:spacing w:before="100" w:after="100"/>
        <w:jc w:val="center"/>
        <w:outlineLvl w:val="0"/>
        <w:rPr>
          <w:rFonts w:ascii="Times New Roman" w:eastAsia="黑体" w:hAnsi="Times New Roman" w:hint="default"/>
          <w:color w:val="auto"/>
          <w:sz w:val="30"/>
          <w:szCs w:val="30"/>
        </w:rPr>
      </w:pPr>
      <w:r>
        <w:rPr>
          <w:rFonts w:ascii="Times New Roman" w:eastAsia="黑体" w:hAnsi="Times New Roman" w:hint="default"/>
          <w:snapToGrid w:val="0"/>
          <w:color w:val="auto"/>
          <w:sz w:val="30"/>
          <w:szCs w:val="30"/>
        </w:rPr>
        <w:t>一、建设项目基本情况</w:t>
      </w: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2240"/>
        <w:gridCol w:w="1820"/>
        <w:gridCol w:w="335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497"/>
          <w:jc w:val="center"/>
        </w:trPr>
        <w:tc>
          <w:tcPr>
            <w:tcW w:w="1453" w:type="dxa"/>
            <w:tcBorders>
              <w:top w:val="single" w:sz="8"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建设项目名称</w:t>
            </w:r>
          </w:p>
        </w:tc>
        <w:tc>
          <w:tcPr>
            <w:tcW w:w="7417" w:type="dxa"/>
            <w:gridSpan w:val="3"/>
            <w:tcBorders>
              <w:top w:val="single" w:sz="8"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蒲城富瑞</w:t>
            </w:r>
            <w:bookmarkStart w:id="2" w:name="_GoBack"/>
            <w:r>
              <w:rPr>
                <w:rFonts w:ascii="Times New Roman" w:hAnsi="Times New Roman" w:cs="Times New Roman" w:hint="default"/>
                <w:color w:val="auto"/>
                <w:sz w:val="21"/>
                <w:szCs w:val="21"/>
              </w:rPr>
              <w:t>年产900万套新型环保模压制品生产线建设项目</w:t>
            </w:r>
            <w:bookmarkEnd w:id="2"/>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项目代码</w:t>
            </w:r>
          </w:p>
        </w:tc>
        <w:tc>
          <w:tcPr>
            <w:tcW w:w="7417" w:type="dxa"/>
            <w:gridSpan w:val="3"/>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2105-610526-04-01-652824</w:t>
            </w: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建设单位联系人</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联系方式</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建设地点</w:t>
            </w:r>
          </w:p>
        </w:tc>
        <w:tc>
          <w:tcPr>
            <w:tcW w:w="7417" w:type="dxa"/>
            <w:gridSpan w:val="3"/>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u w:val="single"/>
              </w:rPr>
              <w:t>陕西</w:t>
            </w:r>
            <w:r>
              <w:rPr>
                <w:rFonts w:ascii="Times New Roman" w:hAnsi="Times New Roman" w:cs="Times New Roman" w:hint="default"/>
                <w:color w:val="auto"/>
                <w:sz w:val="21"/>
                <w:szCs w:val="21"/>
                <w:u w:val="none"/>
              </w:rPr>
              <w:t>省（</w:t>
            </w:r>
            <w:r>
              <w:rPr>
                <w:rFonts w:ascii="Times New Roman" w:hAnsi="Times New Roman" w:cs="Times New Roman" w:hint="default"/>
                <w:color w:val="auto"/>
                <w:sz w:val="21"/>
                <w:szCs w:val="21"/>
              </w:rPr>
              <w:t>自治区）</w:t>
            </w:r>
            <w:r>
              <w:rPr>
                <w:rFonts w:ascii="Times New Roman" w:hAnsi="Times New Roman" w:cs="Times New Roman" w:hint="default"/>
                <w:color w:val="auto"/>
                <w:sz w:val="21"/>
                <w:szCs w:val="21"/>
                <w:u w:val="single"/>
              </w:rPr>
              <w:t>渭南</w:t>
            </w:r>
            <w:r>
              <w:rPr>
                <w:rFonts w:ascii="Times New Roman" w:hAnsi="Times New Roman" w:cs="Times New Roman" w:hint="default"/>
                <w:color w:val="auto"/>
                <w:sz w:val="21"/>
                <w:szCs w:val="21"/>
              </w:rPr>
              <w:t>市</w:t>
            </w:r>
            <w:r>
              <w:rPr>
                <w:rFonts w:ascii="Times New Roman" w:hAnsi="Times New Roman" w:cs="Times New Roman" w:hint="default"/>
                <w:color w:val="auto"/>
                <w:sz w:val="21"/>
                <w:szCs w:val="21"/>
                <w:u w:val="single"/>
              </w:rPr>
              <w:t>蒲城</w:t>
            </w:r>
            <w:r>
              <w:rPr>
                <w:rFonts w:ascii="Times New Roman" w:hAnsi="Times New Roman" w:cs="Times New Roman" w:hint="default"/>
                <w:color w:val="auto"/>
                <w:sz w:val="21"/>
                <w:szCs w:val="21"/>
              </w:rPr>
              <w:t>县（区）</w:t>
            </w:r>
            <w:r>
              <w:rPr>
                <w:rFonts w:ascii="Times New Roman" w:hAnsi="Times New Roman" w:cs="Times New Roman" w:hint="default"/>
                <w:color w:val="auto"/>
                <w:sz w:val="21"/>
                <w:szCs w:val="21"/>
                <w:u w:val="single"/>
              </w:rPr>
              <w:t>兴镇</w:t>
            </w:r>
            <w:r>
              <w:rPr>
                <w:rFonts w:ascii="Times New Roman" w:hAnsi="Times New Roman" w:cs="Times New Roman" w:hint="default"/>
                <w:color w:val="auto"/>
                <w:sz w:val="21"/>
                <w:szCs w:val="21"/>
              </w:rPr>
              <w:t>（街道）</w:t>
            </w:r>
            <w:r>
              <w:rPr>
                <w:rFonts w:ascii="Times New Roman" w:hAnsi="Times New Roman" w:cs="Times New Roman" w:hint="default"/>
                <w:color w:val="auto"/>
                <w:sz w:val="21"/>
                <w:szCs w:val="21"/>
                <w:u w:val="single"/>
              </w:rPr>
              <w:t>兴罕路（</w:t>
            </w:r>
            <w:r>
              <w:rPr>
                <w:rFonts w:ascii="Times New Roman" w:hAnsi="Times New Roman" w:cs="Times New Roman" w:hint="default"/>
                <w:color w:val="auto"/>
                <w:sz w:val="21"/>
                <w:szCs w:val="21"/>
              </w:rPr>
              <w:t>具体地址）</w:t>
            </w: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地理坐标</w:t>
            </w:r>
          </w:p>
        </w:tc>
        <w:tc>
          <w:tcPr>
            <w:tcW w:w="7417" w:type="dxa"/>
            <w:gridSpan w:val="3"/>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（东经：109°27'10.012",北纬：34°56'44.814"）</w:t>
            </w:r>
          </w:p>
        </w:tc>
      </w:tr>
      <w:tr>
        <w:tblPrEx>
          <w:tblW w:w="8870" w:type="dxa"/>
          <w:jc w:val="center"/>
          <w:tblLayout w:type="fixed"/>
          <w:tblCellMar>
            <w:top w:w="0" w:type="dxa"/>
            <w:left w:w="0" w:type="dxa"/>
            <w:bottom w:w="0" w:type="dxa"/>
            <w:right w:w="0" w:type="dxa"/>
          </w:tblCellMar>
        </w:tblPrEx>
        <w:trPr>
          <w:trHeight w:val="56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国民经济</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行业类别</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both"/>
              <w:rPr>
                <w:rFonts w:ascii="Times New Roman" w:hAnsi="Times New Roman" w:cs="Times New Roman" w:hint="eastAsia"/>
                <w:color w:val="auto"/>
                <w:szCs w:val="21"/>
              </w:rPr>
            </w:pPr>
            <w:r>
              <w:rPr>
                <w:rFonts w:ascii="Times New Roman" w:hAnsi="Times New Roman" w:cs="Times New Roman" w:hint="eastAsia"/>
                <w:color w:val="auto"/>
                <w:sz w:val="21"/>
                <w:szCs w:val="21"/>
                <w:lang w:val="en-US" w:eastAsia="zh-CN"/>
              </w:rPr>
              <w:t>C4220非金属废料和碎屑加工处理</w:t>
            </w:r>
          </w:p>
          <w:p>
            <w:pPr>
              <w:autoSpaceDE w:val="0"/>
              <w:autoSpaceDN w:val="0"/>
              <w:adjustRightInd w:val="0"/>
              <w:snapToGrid w:val="0"/>
              <w:jc w:val="both"/>
              <w:rPr>
                <w:rFonts w:ascii="Times New Roman" w:hAnsi="Times New Roman" w:cs="Times New Roman" w:hint="eastAsia"/>
                <w:color w:val="auto"/>
                <w:szCs w:val="21"/>
              </w:rPr>
            </w:pPr>
            <w:r>
              <w:rPr>
                <w:rFonts w:ascii="Times New Roman" w:hAnsi="Times New Roman" w:cs="Times New Roman" w:hint="eastAsia"/>
                <w:color w:val="auto"/>
                <w:sz w:val="21"/>
                <w:szCs w:val="21"/>
              </w:rPr>
              <w:t>D4430热力生产和供应</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bookmarkStart w:id="3" w:name="_Hlk49843745"/>
            <w:r>
              <w:rPr>
                <w:rFonts w:ascii="Times New Roman" w:hAnsi="Times New Roman" w:cs="Times New Roman" w:hint="default"/>
                <w:color w:val="auto"/>
                <w:sz w:val="21"/>
                <w:szCs w:val="21"/>
              </w:rPr>
              <w:t>建设项目</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行业类别</w:t>
            </w:r>
            <w:bookmarkEnd w:id="3"/>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left"/>
              <w:rPr>
                <w:rFonts w:ascii="Times New Roman" w:hAnsi="Times New Roman" w:cs="Times New Roman" w:hint="default"/>
                <w:color w:val="auto"/>
                <w:szCs w:val="21"/>
              </w:rPr>
            </w:pPr>
            <w:r>
              <w:rPr>
                <w:rFonts w:ascii="Times New Roman" w:hAnsi="Times New Roman" w:cs="Times New Roman" w:hint="eastAsia"/>
                <w:color w:val="auto"/>
                <w:sz w:val="21"/>
                <w:szCs w:val="21"/>
                <w:lang w:val="en-US" w:eastAsia="zh-CN"/>
              </w:rPr>
              <w:t>四十一、电力、热力生产和供应业；97、热力生产和供应工程；燃煤、燃油锅炉总容量65吨/小时（45.5兆瓦）及以下的；天然气锅炉总容量1吨/小时（0.7兆瓦）以上的；使用其他高污染燃料的（高污染燃料指国环规大气〔2017〕2号《高污染燃料目录》中规定的燃料）</w:t>
            </w:r>
          </w:p>
        </w:tc>
      </w:tr>
      <w:tr>
        <w:tblPrEx>
          <w:tblW w:w="8870" w:type="dxa"/>
          <w:jc w:val="center"/>
          <w:tblLayout w:type="fixed"/>
          <w:tblCellMar>
            <w:top w:w="0" w:type="dxa"/>
            <w:left w:w="0" w:type="dxa"/>
            <w:bottom w:w="0" w:type="dxa"/>
            <w:right w:w="0" w:type="dxa"/>
          </w:tblCellMar>
        </w:tblPrEx>
        <w:trPr>
          <w:trHeight w:val="1219"/>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建设性质</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both"/>
              <w:rPr>
                <w:rFonts w:ascii="Times New Roman" w:hAnsi="Times New Roman" w:cs="Times New Roman" w:hint="default"/>
                <w:color w:val="auto"/>
                <w:szCs w:val="21"/>
              </w:rPr>
            </w:pPr>
            <w:r>
              <w:rPr>
                <w:rFonts w:ascii="Wingdings 2" w:hAnsi="Wingdings 2" w:cs="Times New Roman"/>
                <w:color w:val="auto"/>
                <w:sz w:val="21"/>
                <w:szCs w:val="21"/>
              </w:rPr>
              <w:sym w:font="Wingdings 2" w:char="F0A3"/>
            </w:r>
            <w:r>
              <w:rPr>
                <w:rFonts w:ascii="Times New Roman" w:hAnsi="Times New Roman" w:cs="Times New Roman" w:hint="default"/>
                <w:color w:val="auto"/>
                <w:sz w:val="21"/>
                <w:szCs w:val="21"/>
              </w:rPr>
              <w:t>新建（迁建）</w:t>
            </w:r>
          </w:p>
          <w:p>
            <w:pPr>
              <w:autoSpaceDE w:val="0"/>
              <w:autoSpaceDN w:val="0"/>
              <w:adjustRightInd w:val="0"/>
              <w:snapToGrid w:val="0"/>
              <w:jc w:val="both"/>
              <w:rPr>
                <w:rFonts w:ascii="Times New Roman" w:hAnsi="Times New Roman" w:cs="Times New Roman" w:hint="default"/>
                <w:color w:val="auto"/>
                <w:szCs w:val="21"/>
              </w:rPr>
            </w:pPr>
            <w:r>
              <w:rPr>
                <w:rFonts w:ascii="Wingdings 2" w:hAnsi="Wingdings 2" w:cs="Times New Roman"/>
                <w:color w:val="auto"/>
                <w:sz w:val="21"/>
                <w:szCs w:val="21"/>
              </w:rPr>
              <w:sym w:font="Wingdings 2" w:char="F052"/>
            </w:r>
            <w:r>
              <w:rPr>
                <w:rFonts w:ascii="Times New Roman" w:hAnsi="Times New Roman" w:cs="Times New Roman" w:hint="default"/>
                <w:color w:val="auto"/>
                <w:sz w:val="21"/>
                <w:szCs w:val="21"/>
              </w:rPr>
              <w:t>改建</w:t>
            </w:r>
          </w:p>
          <w:p>
            <w:pPr>
              <w:autoSpaceDE w:val="0"/>
              <w:autoSpaceDN w:val="0"/>
              <w:adjustRightInd w:val="0"/>
              <w:snapToGrid w:val="0"/>
              <w:jc w:val="both"/>
              <w:rPr>
                <w:rFonts w:ascii="Times New Roman" w:hAnsi="Times New Roman" w:cs="Times New Roman" w:hint="default"/>
                <w:color w:val="auto"/>
                <w:szCs w:val="21"/>
              </w:rPr>
            </w:pPr>
            <w:r>
              <w:rPr>
                <w:rFonts w:ascii="Times New Roman" w:hAnsi="Times New Roman" w:cs="Times New Roman" w:hint="default"/>
                <w:color w:val="auto"/>
                <w:sz w:val="21"/>
                <w:szCs w:val="21"/>
              </w:rPr>
              <w:t>□扩建</w:t>
            </w:r>
          </w:p>
          <w:p>
            <w:pPr>
              <w:autoSpaceDE w:val="0"/>
              <w:autoSpaceDN w:val="0"/>
              <w:adjustRightInd w:val="0"/>
              <w:snapToGrid w:val="0"/>
              <w:jc w:val="both"/>
              <w:rPr>
                <w:rFonts w:ascii="Times New Roman" w:hAnsi="Times New Roman" w:cs="Times New Roman" w:hint="default"/>
                <w:color w:val="auto"/>
                <w:szCs w:val="21"/>
              </w:rPr>
            </w:pPr>
            <w:r>
              <w:rPr>
                <w:rFonts w:ascii="Times New Roman" w:hAnsi="Times New Roman" w:cs="Times New Roman" w:hint="default"/>
                <w:color w:val="auto"/>
                <w:sz w:val="21"/>
                <w:szCs w:val="21"/>
              </w:rPr>
              <w:t>□技术改造</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建设项目</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申报情形</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both"/>
              <w:rPr>
                <w:rFonts w:ascii="Times New Roman" w:hAnsi="Times New Roman" w:cs="Times New Roman" w:hint="default"/>
                <w:color w:val="auto"/>
                <w:szCs w:val="21"/>
              </w:rPr>
            </w:pPr>
            <w:r>
              <w:rPr>
                <w:rFonts w:ascii="Wingdings 2" w:hAnsi="Wingdings 2" w:cs="Times New Roman"/>
                <w:color w:val="auto"/>
                <w:sz w:val="21"/>
                <w:szCs w:val="21"/>
              </w:rPr>
              <w:sym w:font="Wingdings 2" w:char="F052"/>
            </w:r>
            <w:r>
              <w:rPr>
                <w:rFonts w:ascii="Times New Roman" w:hAnsi="Times New Roman" w:cs="Times New Roman" w:hint="default"/>
                <w:color w:val="auto"/>
                <w:sz w:val="21"/>
                <w:szCs w:val="21"/>
              </w:rPr>
              <w:t xml:space="preserve">首次申报项目             </w:t>
            </w:r>
          </w:p>
          <w:p>
            <w:pPr>
              <w:autoSpaceDE w:val="0"/>
              <w:autoSpaceDN w:val="0"/>
              <w:adjustRightInd w:val="0"/>
              <w:snapToGrid w:val="0"/>
              <w:jc w:val="both"/>
              <w:rPr>
                <w:rFonts w:ascii="Times New Roman" w:hAnsi="Times New Roman" w:cs="Times New Roman" w:hint="default"/>
                <w:color w:val="auto"/>
                <w:szCs w:val="21"/>
              </w:rPr>
            </w:pPr>
            <w:r>
              <w:rPr>
                <w:rFonts w:ascii="Wingdings 2" w:hAnsi="Wingdings 2" w:cs="Times New Roman"/>
                <w:color w:val="auto"/>
                <w:sz w:val="21"/>
                <w:szCs w:val="21"/>
              </w:rPr>
              <w:sym w:font="Wingdings 2" w:char="F0A3"/>
            </w:r>
            <w:r>
              <w:rPr>
                <w:rFonts w:ascii="Times New Roman" w:hAnsi="Times New Roman" w:cs="Times New Roman" w:hint="default"/>
                <w:color w:val="auto"/>
                <w:sz w:val="21"/>
                <w:szCs w:val="21"/>
              </w:rPr>
              <w:t>不予批准后再次申报项目</w:t>
            </w:r>
          </w:p>
          <w:p>
            <w:pPr>
              <w:autoSpaceDE w:val="0"/>
              <w:autoSpaceDN w:val="0"/>
              <w:adjustRightInd w:val="0"/>
              <w:snapToGrid w:val="0"/>
              <w:jc w:val="both"/>
              <w:rPr>
                <w:rFonts w:ascii="Times New Roman" w:hAnsi="Times New Roman" w:cs="Times New Roman" w:hint="default"/>
                <w:color w:val="auto"/>
                <w:szCs w:val="21"/>
              </w:rPr>
            </w:pPr>
            <w:r>
              <w:rPr>
                <w:rFonts w:ascii="Wingdings 2" w:hAnsi="Wingdings 2" w:cs="Times New Roman"/>
                <w:color w:val="auto"/>
                <w:sz w:val="21"/>
                <w:szCs w:val="21"/>
              </w:rPr>
              <w:sym w:font="Wingdings 2" w:char="F0A3"/>
            </w:r>
            <w:r>
              <w:rPr>
                <w:rFonts w:ascii="Times New Roman" w:hAnsi="Times New Roman" w:cs="Times New Roman" w:hint="default"/>
                <w:color w:val="auto"/>
                <w:sz w:val="21"/>
                <w:szCs w:val="21"/>
              </w:rPr>
              <w:t xml:space="preserve">超五年重新审核项目     </w:t>
            </w:r>
          </w:p>
          <w:p>
            <w:pPr>
              <w:autoSpaceDE w:val="0"/>
              <w:autoSpaceDN w:val="0"/>
              <w:adjustRightInd w:val="0"/>
              <w:snapToGrid w:val="0"/>
              <w:jc w:val="both"/>
              <w:rPr>
                <w:rFonts w:ascii="Times New Roman" w:hAnsi="Times New Roman" w:cs="Times New Roman" w:hint="default"/>
                <w:color w:val="auto"/>
                <w:szCs w:val="21"/>
              </w:rPr>
            </w:pPr>
            <w:r>
              <w:rPr>
                <w:rFonts w:ascii="Times New Roman" w:hAnsi="Times New Roman" w:cs="Times New Roman" w:hint="default"/>
                <w:color w:val="auto"/>
                <w:sz w:val="21"/>
                <w:szCs w:val="21"/>
              </w:rPr>
              <w:t>□重大变动重新报批项目</w:t>
            </w:r>
          </w:p>
        </w:tc>
      </w:tr>
      <w:tr>
        <w:tblPrEx>
          <w:tblW w:w="8870" w:type="dxa"/>
          <w:jc w:val="center"/>
          <w:tblLayout w:type="fixed"/>
          <w:tblCellMar>
            <w:top w:w="0" w:type="dxa"/>
            <w:left w:w="0" w:type="dxa"/>
            <w:bottom w:w="0" w:type="dxa"/>
            <w:right w:w="0" w:type="dxa"/>
          </w:tblCellMar>
        </w:tblPrEx>
        <w:trPr>
          <w:trHeight w:val="85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项目审批（核准/</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备案）部门（选填）</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蒲城县发展和改革局</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项目审批（核准/</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备案）文号（选填）</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w:t>
            </w: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总投资（万元）</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300</w:t>
            </w:r>
          </w:p>
        </w:tc>
        <w:tc>
          <w:tcPr>
            <w:tcW w:w="1820" w:type="dxa"/>
            <w:tcBorders>
              <w:top w:val="single" w:sz="4" w:space="0" w:color="auto"/>
              <w:left w:val="single" w:sz="4"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环保投资（万元）</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30</w:t>
            </w: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环保投资占比（%）</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10</w:t>
            </w:r>
          </w:p>
        </w:tc>
        <w:tc>
          <w:tcPr>
            <w:tcW w:w="1820" w:type="dxa"/>
            <w:tcBorders>
              <w:top w:val="single" w:sz="4" w:space="0" w:color="auto"/>
              <w:left w:val="single" w:sz="4"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施工工期</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3个月</w:t>
            </w:r>
          </w:p>
        </w:tc>
      </w:tr>
      <w:tr>
        <w:tblPrEx>
          <w:tblW w:w="8870" w:type="dxa"/>
          <w:jc w:val="center"/>
          <w:tblLayout w:type="fixed"/>
          <w:tblCellMar>
            <w:top w:w="0" w:type="dxa"/>
            <w:left w:w="0" w:type="dxa"/>
            <w:bottom w:w="0" w:type="dxa"/>
            <w:right w:w="0" w:type="dxa"/>
          </w:tblCellMar>
        </w:tblPrEx>
        <w:trPr>
          <w:trHeight w:val="497"/>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是否开工建设</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Wingdings 2" w:hAnsi="Wingdings 2" w:cs="Times New Roman"/>
                <w:color w:val="auto"/>
                <w:sz w:val="21"/>
                <w:szCs w:val="21"/>
              </w:rPr>
              <w:sym w:font="Wingdings 2" w:char="F052"/>
            </w:r>
            <w:r>
              <w:rPr>
                <w:rFonts w:ascii="Times New Roman" w:hAnsi="Times New Roman" w:cs="Times New Roman" w:hint="default"/>
                <w:color w:val="auto"/>
                <w:sz w:val="21"/>
                <w:szCs w:val="21"/>
              </w:rPr>
              <w:t>否</w:t>
            </w:r>
          </w:p>
          <w:p>
            <w:pPr>
              <w:autoSpaceDE w:val="0"/>
              <w:autoSpaceDN w:val="0"/>
              <w:adjustRightInd w:val="0"/>
              <w:snapToGrid w:val="0"/>
              <w:jc w:val="center"/>
              <w:rPr>
                <w:rFonts w:ascii="Times New Roman" w:hAnsi="Times New Roman" w:cs="Times New Roman" w:hint="default"/>
                <w:color w:val="auto"/>
                <w:szCs w:val="21"/>
              </w:rPr>
            </w:pPr>
            <w:r>
              <w:rPr>
                <w:rFonts w:ascii="Wingdings 2" w:hAnsi="Wingdings 2" w:cs="Times New Roman"/>
                <w:color w:val="auto"/>
                <w:sz w:val="21"/>
                <w:szCs w:val="21"/>
              </w:rPr>
              <w:sym w:font="Wingdings 2" w:char="F0A3"/>
            </w:r>
            <w:r>
              <w:rPr>
                <w:rFonts w:ascii="Times New Roman" w:hAnsi="Times New Roman" w:cs="Times New Roman" w:hint="default"/>
                <w:color w:val="auto"/>
                <w:sz w:val="21"/>
                <w:szCs w:val="21"/>
              </w:rPr>
              <w:t xml:space="preserve">是：             </w:t>
            </w:r>
          </w:p>
        </w:tc>
        <w:tc>
          <w:tcPr>
            <w:tcW w:w="1820" w:type="dxa"/>
            <w:tcBorders>
              <w:top w:val="single" w:sz="4" w:space="0" w:color="auto"/>
              <w:left w:val="single" w:sz="4" w:space="0" w:color="auto"/>
              <w:bottom w:val="single" w:sz="4" w:space="0" w:color="auto"/>
              <w:right w:val="single" w:sz="4" w:space="0" w:color="auto"/>
            </w:tcBorders>
            <w:shd w:val="clear" w:color="auto" w:fill="auto"/>
            <w:tcMar>
              <w:top w:w="16" w:type="dxa"/>
              <w:left w:w="16" w:type="dxa"/>
              <w:right w:w="16"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用地（用海）</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面积（m</w:t>
            </w:r>
            <w:r>
              <w:rPr>
                <w:rFonts w:ascii="Times New Roman" w:hAnsi="Times New Roman" w:cs="Times New Roman" w:hint="default"/>
                <w:color w:val="auto"/>
                <w:sz w:val="21"/>
                <w:szCs w:val="21"/>
                <w:vertAlign w:val="superscript"/>
              </w:rPr>
              <w:t>2</w:t>
            </w:r>
            <w:r>
              <w:rPr>
                <w:rFonts w:ascii="Times New Roman" w:hAnsi="Times New Roman" w:cs="Times New Roman" w:hint="default"/>
                <w:color w:val="auto"/>
                <w:sz w:val="21"/>
                <w:szCs w:val="21"/>
              </w:rPr>
              <w:t>）</w:t>
            </w:r>
          </w:p>
        </w:tc>
        <w:tc>
          <w:tcPr>
            <w:tcW w:w="3357" w:type="dxa"/>
            <w:tcBorders>
              <w:top w:val="single" w:sz="4" w:space="0" w:color="auto"/>
              <w:left w:val="single" w:sz="4" w:space="0" w:color="auto"/>
              <w:bottom w:val="single" w:sz="4" w:space="0" w:color="auto"/>
              <w:right w:val="single" w:sz="8" w:space="0" w:color="auto"/>
            </w:tcBorders>
            <w:shd w:val="clear" w:color="auto" w:fill="auto"/>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6640</w:t>
            </w:r>
          </w:p>
        </w:tc>
      </w:tr>
      <w:tr>
        <w:tblPrEx>
          <w:tblW w:w="8870" w:type="dxa"/>
          <w:jc w:val="center"/>
          <w:tblLayout w:type="fixed"/>
          <w:tblCellMar>
            <w:top w:w="0" w:type="dxa"/>
            <w:left w:w="0" w:type="dxa"/>
            <w:bottom w:w="0" w:type="dxa"/>
            <w:right w:w="0" w:type="dxa"/>
          </w:tblCellMar>
        </w:tblPrEx>
        <w:trPr>
          <w:trHeight w:val="102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eastAsia="宋体" w:hAnsi="Times New Roman" w:cs="Times New Roman" w:hint="default"/>
                <w:color w:val="auto"/>
                <w:kern w:val="0"/>
                <w:szCs w:val="21"/>
              </w:rPr>
            </w:pPr>
            <w:r>
              <w:rPr>
                <w:rFonts w:ascii="Times New Roman" w:hAnsi="Times New Roman" w:cs="Times New Roman" w:hint="default"/>
                <w:color w:val="auto"/>
                <w:sz w:val="21"/>
                <w:szCs w:val="21"/>
              </w:rPr>
              <w:t>专项评价设置情况</w:t>
            </w:r>
          </w:p>
        </w:tc>
        <w:tc>
          <w:tcPr>
            <w:tcW w:w="7417" w:type="dxa"/>
            <w:gridSpan w:val="3"/>
            <w:tcBorders>
              <w:top w:val="single" w:sz="4" w:space="0" w:color="auto"/>
              <w:left w:val="single" w:sz="4" w:space="0" w:color="auto"/>
              <w:bottom w:val="single" w:sz="4" w:space="0" w:color="auto"/>
              <w:right w:val="single" w:sz="8" w:space="0" w:color="auto"/>
            </w:tcBorders>
            <w:shd w:val="clear" w:color="auto" w:fill="auto"/>
            <w:tcMar>
              <w:left w:w="108" w:type="dxa"/>
              <w:right w:w="108" w:type="dxa"/>
            </w:tcMar>
            <w:vAlign w:val="center"/>
          </w:tcPr>
          <w:p>
            <w:pPr>
              <w:pStyle w:val="a0"/>
              <w:ind w:firstLine="480"/>
              <w:rPr>
                <w:rFonts w:ascii="Times New Roman" w:eastAsia="宋体" w:hAnsi="Times New Roman" w:cs="Times New Roman" w:hint="default"/>
                <w:color w:val="auto"/>
                <w:sz w:val="21"/>
                <w:szCs w:val="21"/>
              </w:rPr>
            </w:pPr>
            <w:r>
              <w:rPr>
                <w:rFonts w:ascii="Times New Roman" w:eastAsia="宋体" w:hAnsi="Times New Roman" w:cs="Times New Roman" w:hint="default"/>
                <w:color w:val="auto"/>
                <w:kern w:val="2"/>
                <w:sz w:val="21"/>
                <w:szCs w:val="21"/>
                <w:lang w:val="en-US" w:eastAsia="zh-CN" w:bidi="ar-SA"/>
              </w:rPr>
              <w:t>项目不设专项评价，具体判定依据见表1-1。</w:t>
            </w:r>
          </w:p>
          <w:p>
            <w:pPr>
              <w:pStyle w:val="a11"/>
              <w:rPr>
                <w:rFonts w:cs="Times New Roman" w:hint="default"/>
                <w:bCs/>
                <w:color w:val="auto"/>
                <w:sz w:val="21"/>
              </w:rPr>
            </w:pPr>
            <w:r>
              <w:rPr>
                <w:rFonts w:ascii="Times New Roman" w:hAnsi="Times New Roman" w:cs="Times New Roman" w:hint="default"/>
                <w:bCs/>
                <w:color w:val="auto"/>
                <w:sz w:val="21"/>
                <w:szCs w:val="21"/>
                <w:lang w:val="zh-CN"/>
              </w:rPr>
              <w:t>表</w:t>
            </w:r>
            <w:r>
              <w:rPr>
                <w:rFonts w:ascii="Times New Roman" w:hAnsi="Times New Roman" w:cs="Times New Roman" w:hint="default"/>
                <w:bCs/>
                <w:color w:val="auto"/>
                <w:sz w:val="21"/>
                <w:szCs w:val="21"/>
              </w:rPr>
              <w:t>1-1  专项评价设置对照一览表</w:t>
            </w:r>
          </w:p>
        </w:tc>
      </w:tr>
    </w:tbl>
    <w:p>
      <w:pPr>
        <w:sectPr>
          <w:footerReference w:type="default" r:id="rId5"/>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1"/>
          <w:cols w:num="1" w:space="425"/>
          <w:docGrid w:type="lines" w:linePitch="312" w:charSpace="0"/>
        </w:sectPr>
      </w:pP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741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102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left w:w="108" w:type="dxa"/>
              <w:right w:w="108" w:type="dxa"/>
            </w:tcMar>
            <w:vAlign w:val="center"/>
          </w:tcPr>
          <w:p/>
        </w:tc>
        <w:tc>
          <w:tcPr>
            <w:tcW w:w="7417" w:type="dxa"/>
            <w:tcBorders>
              <w:top w:val="single" w:sz="4" w:space="0" w:color="auto"/>
              <w:left w:val="single" w:sz="4" w:space="0" w:color="auto"/>
              <w:bottom w:val="single" w:sz="4" w:space="0" w:color="auto"/>
              <w:right w:val="single" w:sz="8" w:space="0" w:color="auto"/>
            </w:tcBorders>
            <w:shd w:val="clear" w:color="auto" w:fill="auto"/>
            <w:tcMar>
              <w:left w:w="108" w:type="dxa"/>
              <w:right w:w="108" w:type="dxa"/>
            </w:tcMar>
            <w:vAlign w:val="center"/>
          </w:tcPr>
          <w:tbl>
            <w:tblPr>
              <w:tblStyle w:val="TableGrid0"/>
              <w:tblW w:w="70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142"/>
              <w:gridCol w:w="3174"/>
              <w:gridCol w:w="2771"/>
            </w:tblGrid>
            <w:tr>
              <w:tblPrEx>
                <w:tblW w:w="70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1142" w:type="dxa"/>
                  <w:tcBorders>
                    <w:tl2br w:val="nil"/>
                    <w:tr2bl w:val="nil"/>
                  </w:tcBorders>
                  <w:noWrap/>
                  <w:vAlign w:val="center"/>
                </w:tcPr>
                <w:p>
                  <w:pPr>
                    <w:widowControl/>
                    <w:adjustRightInd w:val="0"/>
                    <w:jc w:val="center"/>
                    <w:rPr>
                      <w:rFonts w:ascii="Times New Roman" w:eastAsia="宋体" w:hAnsi="Times New Roman" w:cs="Times New Roman" w:hint="default"/>
                      <w:b/>
                      <w:bCs/>
                      <w:color w:val="auto"/>
                      <w:szCs w:val="21"/>
                    </w:rPr>
                  </w:pPr>
                  <w:r>
                    <w:rPr>
                      <w:rFonts w:ascii="Times New Roman" w:eastAsia="宋体" w:hAnsi="Times New Roman" w:cs="Times New Roman" w:hint="default"/>
                      <w:b/>
                      <w:bCs/>
                      <w:color w:val="auto"/>
                      <w:kern w:val="0"/>
                      <w:sz w:val="21"/>
                      <w:szCs w:val="21"/>
                    </w:rPr>
                    <w:t>专项评价的类别</w:t>
                  </w:r>
                </w:p>
              </w:tc>
              <w:tc>
                <w:tcPr>
                  <w:tcW w:w="3174" w:type="dxa"/>
                  <w:tcBorders>
                    <w:tl2br w:val="nil"/>
                    <w:tr2bl w:val="nil"/>
                  </w:tcBorders>
                  <w:noWrap/>
                  <w:vAlign w:val="center"/>
                </w:tcPr>
                <w:p>
                  <w:pPr>
                    <w:widowControl/>
                    <w:adjustRightInd w:val="0"/>
                    <w:jc w:val="center"/>
                    <w:rPr>
                      <w:rFonts w:ascii="Times New Roman" w:eastAsia="宋体" w:hAnsi="Times New Roman" w:cs="Times New Roman" w:hint="default"/>
                      <w:b/>
                      <w:bCs/>
                      <w:color w:val="auto"/>
                      <w:szCs w:val="21"/>
                    </w:rPr>
                  </w:pPr>
                  <w:r>
                    <w:rPr>
                      <w:rFonts w:ascii="Times New Roman" w:eastAsia="宋体" w:hAnsi="Times New Roman" w:cs="Times New Roman" w:hint="default"/>
                      <w:b/>
                      <w:bCs/>
                      <w:color w:val="auto"/>
                      <w:kern w:val="0"/>
                      <w:sz w:val="21"/>
                      <w:szCs w:val="21"/>
                    </w:rPr>
                    <w:t>专项评价的类别涉及项目类别</w:t>
                  </w:r>
                </w:p>
              </w:tc>
              <w:tc>
                <w:tcPr>
                  <w:tcW w:w="2771" w:type="dxa"/>
                  <w:tcBorders>
                    <w:tl2br w:val="nil"/>
                    <w:tr2bl w:val="nil"/>
                  </w:tcBorders>
                  <w:noWrap/>
                  <w:vAlign w:val="center"/>
                </w:tcPr>
                <w:p>
                  <w:pPr>
                    <w:pStyle w:val="BodyTextFirstIndent2"/>
                    <w:adjustRightInd w:val="0"/>
                    <w:ind w:firstLine="422" w:leftChars="0"/>
                    <w:jc w:val="center"/>
                    <w:rPr>
                      <w:rFonts w:ascii="Times New Roman" w:hAnsi="Times New Roman" w:hint="default"/>
                      <w:b/>
                      <w:bCs/>
                      <w:color w:val="auto"/>
                      <w:sz w:val="21"/>
                      <w:szCs w:val="21"/>
                    </w:rPr>
                  </w:pPr>
                  <w:r>
                    <w:rPr>
                      <w:rFonts w:ascii="Times New Roman" w:hAnsi="Times New Roman" w:cs="Times New Roman" w:hint="default"/>
                      <w:b/>
                      <w:bCs/>
                      <w:color w:val="auto"/>
                      <w:sz w:val="21"/>
                      <w:szCs w:val="21"/>
                    </w:rPr>
                    <w:t>本项目</w:t>
                  </w:r>
                </w:p>
              </w:tc>
            </w:tr>
            <w:tr>
              <w:tblPrEx>
                <w:tblW w:w="7087" w:type="dxa"/>
                <w:jc w:val="center"/>
                <w:tblLayout w:type="fixed"/>
                <w:tblCellMar>
                  <w:top w:w="0" w:type="dxa"/>
                  <w:left w:w="108" w:type="dxa"/>
                  <w:bottom w:w="0" w:type="dxa"/>
                  <w:right w:w="108" w:type="dxa"/>
                </w:tblCellMar>
              </w:tblPrEx>
              <w:trPr>
                <w:jc w:val="center"/>
              </w:trPr>
              <w:tc>
                <w:tcPr>
                  <w:tcW w:w="1142"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大气</w:t>
                  </w:r>
                </w:p>
              </w:tc>
              <w:tc>
                <w:tcPr>
                  <w:tcW w:w="3174" w:type="dxa"/>
                  <w:tcBorders>
                    <w:tl2br w:val="nil"/>
                    <w:tr2bl w:val="nil"/>
                  </w:tcBorders>
                  <w:noWrap/>
                  <w:vAlign w:val="center"/>
                </w:tcPr>
                <w:p>
                  <w:pPr>
                    <w:widowControl/>
                    <w:adjustRightInd w:val="0"/>
                    <w:jc w:val="center"/>
                    <w:rPr>
                      <w:rFonts w:ascii="Times New Roman" w:eastAsia="宋体" w:hAnsi="Times New Roman" w:cs="Times New Roman" w:hint="default"/>
                      <w:color w:val="auto"/>
                      <w:kern w:val="0"/>
                      <w:szCs w:val="21"/>
                    </w:rPr>
                  </w:pPr>
                  <w:r>
                    <w:rPr>
                      <w:rFonts w:ascii="Times New Roman" w:eastAsia="宋体" w:hAnsi="Times New Roman" w:cs="Times New Roman" w:hint="default"/>
                      <w:color w:val="auto"/>
                      <w:sz w:val="21"/>
                      <w:szCs w:val="21"/>
                    </w:rPr>
                    <w:t>排放废气含有毒有害污染物 1、二噁英、苯并[a]芘、氰化物、氯气且厂界外 500 米范围内有环境空气保护目标</w:t>
                  </w:r>
                  <w:r>
                    <w:rPr>
                      <w:rFonts w:ascii="Times New Roman" w:hAnsi="Times New Roman" w:cs="Times New Roman" w:hint="default"/>
                      <w:color w:val="auto"/>
                      <w:sz w:val="21"/>
                      <w:szCs w:val="21"/>
                      <w:vertAlign w:val="superscript"/>
                    </w:rPr>
                    <w:t>2</w:t>
                  </w:r>
                  <w:r>
                    <w:rPr>
                      <w:rFonts w:ascii="Times New Roman" w:eastAsia="宋体" w:hAnsi="Times New Roman" w:cs="Times New Roman" w:hint="default"/>
                      <w:color w:val="auto"/>
                      <w:sz w:val="21"/>
                      <w:szCs w:val="21"/>
                    </w:rPr>
                    <w:t>的建设项目</w:t>
                  </w:r>
                </w:p>
              </w:tc>
              <w:tc>
                <w:tcPr>
                  <w:tcW w:w="2771"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kern w:val="0"/>
                      <w:sz w:val="21"/>
                      <w:szCs w:val="21"/>
                    </w:rPr>
                  </w:pPr>
                  <w:r>
                    <w:rPr>
                      <w:rFonts w:ascii="Times New Roman" w:hAnsi="Times New Roman" w:cs="Times New Roman" w:hint="default"/>
                      <w:color w:val="auto"/>
                      <w:sz w:val="21"/>
                      <w:szCs w:val="21"/>
                    </w:rPr>
                    <w:t>本项</w:t>
                  </w:r>
                  <w:r>
                    <w:rPr>
                      <w:rFonts w:ascii="Times New Roman" w:hAnsi="Times New Roman" w:cs="Times New Roman" w:hint="default"/>
                      <w:color w:val="auto"/>
                      <w:sz w:val="21"/>
                      <w:szCs w:val="21"/>
                      <w:lang w:eastAsia="zh-CN"/>
                    </w:rPr>
                    <w:t>目</w:t>
                  </w:r>
                  <w:r>
                    <w:rPr>
                      <w:rFonts w:ascii="Times New Roman" w:hAnsi="Times New Roman" w:cs="Times New Roman" w:hint="default"/>
                      <w:color w:val="auto"/>
                      <w:sz w:val="21"/>
                      <w:szCs w:val="21"/>
                    </w:rPr>
                    <w:t>不涉及以上污染物，因此项目不设大气专项评价</w:t>
                  </w:r>
                </w:p>
              </w:tc>
            </w:tr>
            <w:tr>
              <w:tblPrEx>
                <w:tblW w:w="7087" w:type="dxa"/>
                <w:jc w:val="center"/>
                <w:tblLayout w:type="fixed"/>
                <w:tblCellMar>
                  <w:top w:w="0" w:type="dxa"/>
                  <w:left w:w="108" w:type="dxa"/>
                  <w:bottom w:w="0" w:type="dxa"/>
                  <w:right w:w="108" w:type="dxa"/>
                </w:tblCellMar>
              </w:tblPrEx>
              <w:trPr>
                <w:jc w:val="center"/>
              </w:trPr>
              <w:tc>
                <w:tcPr>
                  <w:tcW w:w="1142"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地表水</w:t>
                  </w:r>
                </w:p>
              </w:tc>
              <w:tc>
                <w:tcPr>
                  <w:tcW w:w="3174" w:type="dxa"/>
                  <w:tcBorders>
                    <w:tl2br w:val="nil"/>
                    <w:tr2bl w:val="nil"/>
                  </w:tcBorders>
                  <w:noWrap/>
                  <w:vAlign w:val="center"/>
                </w:tcPr>
                <w:p>
                  <w:pPr>
                    <w:widowControl/>
                    <w:adjustRightInd w:val="0"/>
                    <w:jc w:val="center"/>
                    <w:rPr>
                      <w:rFonts w:ascii="Times New Roman" w:eastAsia="宋体" w:hAnsi="Times New Roman" w:cs="Times New Roman" w:hint="default"/>
                      <w:color w:val="auto"/>
                      <w:szCs w:val="21"/>
                    </w:rPr>
                  </w:pPr>
                  <w:r>
                    <w:rPr>
                      <w:rFonts w:ascii="Times New Roman" w:eastAsia="宋体" w:hAnsi="Times New Roman" w:cs="Times New Roman" w:hint="default"/>
                      <w:color w:val="auto"/>
                      <w:kern w:val="0"/>
                      <w:sz w:val="21"/>
                      <w:szCs w:val="21"/>
                    </w:rPr>
                    <w:t>新增工业废水直排建设项目（槽罐车外送污水处理厂的除外）；新增废水直排的污水集中处理厂</w:t>
                  </w:r>
                </w:p>
              </w:tc>
              <w:tc>
                <w:tcPr>
                  <w:tcW w:w="2771" w:type="dxa"/>
                  <w:tcBorders>
                    <w:tl2br w:val="nil"/>
                    <w:tr2bl w:val="nil"/>
                  </w:tcBorders>
                  <w:noWrap/>
                  <w:vAlign w:val="center"/>
                </w:tcPr>
                <w:p>
                  <w:pPr>
                    <w:widowControl/>
                    <w:adjustRightInd w:val="0"/>
                    <w:rPr>
                      <w:rFonts w:ascii="Times New Roman" w:eastAsia="宋体" w:hAnsi="Times New Roman" w:cs="Times New Roman" w:hint="default"/>
                      <w:color w:val="auto"/>
                      <w:szCs w:val="21"/>
                    </w:rPr>
                  </w:pPr>
                  <w:r>
                    <w:rPr>
                      <w:rFonts w:ascii="Times New Roman" w:eastAsia="宋体" w:hAnsi="Times New Roman" w:cs="Times New Roman" w:hint="default"/>
                      <w:color w:val="auto"/>
                      <w:kern w:val="0"/>
                      <w:sz w:val="21"/>
                      <w:szCs w:val="21"/>
                    </w:rPr>
                    <w:t>本项目为无生产废水不外排；生活污水拉运处置，因此不设地表水专项评价</w:t>
                  </w:r>
                </w:p>
              </w:tc>
            </w:tr>
            <w:tr>
              <w:tblPrEx>
                <w:tblW w:w="7087" w:type="dxa"/>
                <w:jc w:val="center"/>
                <w:tblLayout w:type="fixed"/>
                <w:tblCellMar>
                  <w:top w:w="0" w:type="dxa"/>
                  <w:left w:w="108" w:type="dxa"/>
                  <w:bottom w:w="0" w:type="dxa"/>
                  <w:right w:w="108" w:type="dxa"/>
                </w:tblCellMar>
              </w:tblPrEx>
              <w:trPr>
                <w:jc w:val="center"/>
              </w:trPr>
              <w:tc>
                <w:tcPr>
                  <w:tcW w:w="1142"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环境风险</w:t>
                  </w:r>
                </w:p>
              </w:tc>
              <w:tc>
                <w:tcPr>
                  <w:tcW w:w="3174"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有毒有害和易燃易爆危险物质存储量超过临界量 3的建设项目</w:t>
                  </w:r>
                </w:p>
              </w:tc>
              <w:tc>
                <w:tcPr>
                  <w:tcW w:w="2771"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本项目</w:t>
                  </w:r>
                  <w:r>
                    <w:rPr>
                      <w:rFonts w:ascii="Times New Roman" w:hAnsi="Times New Roman" w:cs="Times New Roman" w:hint="default"/>
                      <w:color w:val="auto"/>
                      <w:sz w:val="21"/>
                      <w:szCs w:val="21"/>
                      <w:lang w:eastAsia="zh-CN"/>
                    </w:rPr>
                    <w:t>不</w:t>
                  </w:r>
                  <w:r>
                    <w:rPr>
                      <w:rFonts w:ascii="Times New Roman" w:hAnsi="Times New Roman" w:cs="Times New Roman" w:hint="default"/>
                      <w:color w:val="auto"/>
                      <w:sz w:val="21"/>
                      <w:szCs w:val="21"/>
                    </w:rPr>
                    <w:t>涉及</w:t>
                  </w:r>
                  <w:r>
                    <w:rPr>
                      <w:rFonts w:ascii="Times New Roman" w:hAnsi="Times New Roman" w:cs="Times New Roman" w:hint="default"/>
                      <w:color w:val="auto"/>
                      <w:sz w:val="21"/>
                      <w:szCs w:val="21"/>
                      <w:lang w:eastAsia="zh-CN"/>
                    </w:rPr>
                    <w:t>以上物质</w:t>
                  </w:r>
                  <w:r>
                    <w:rPr>
                      <w:rFonts w:ascii="Times New Roman" w:hAnsi="Times New Roman" w:cs="Times New Roman" w:hint="default"/>
                      <w:color w:val="auto"/>
                      <w:sz w:val="21"/>
                      <w:szCs w:val="21"/>
                    </w:rPr>
                    <w:t>，因此</w:t>
                  </w:r>
                  <w:r>
                    <w:rPr>
                      <w:rFonts w:ascii="Times New Roman" w:hAnsi="Times New Roman" w:cs="Times New Roman" w:hint="default"/>
                      <w:color w:val="auto"/>
                      <w:sz w:val="21"/>
                      <w:szCs w:val="21"/>
                      <w:lang w:eastAsia="zh-CN"/>
                    </w:rPr>
                    <w:t>不</w:t>
                  </w:r>
                  <w:r>
                    <w:rPr>
                      <w:rFonts w:ascii="Times New Roman" w:hAnsi="Times New Roman" w:cs="Times New Roman" w:hint="default"/>
                      <w:color w:val="auto"/>
                      <w:sz w:val="21"/>
                      <w:szCs w:val="21"/>
                    </w:rPr>
                    <w:t>设环境风险专项评价</w:t>
                  </w:r>
                </w:p>
              </w:tc>
            </w:tr>
            <w:tr>
              <w:tblPrEx>
                <w:tblW w:w="7087" w:type="dxa"/>
                <w:jc w:val="center"/>
                <w:tblLayout w:type="fixed"/>
                <w:tblCellMar>
                  <w:top w:w="0" w:type="dxa"/>
                  <w:left w:w="108" w:type="dxa"/>
                  <w:bottom w:w="0" w:type="dxa"/>
                  <w:right w:w="108" w:type="dxa"/>
                </w:tblCellMar>
              </w:tblPrEx>
              <w:trPr>
                <w:trHeight w:val="1256"/>
                <w:jc w:val="center"/>
              </w:trPr>
              <w:tc>
                <w:tcPr>
                  <w:tcW w:w="1142"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生态</w:t>
                  </w:r>
                </w:p>
              </w:tc>
              <w:tc>
                <w:tcPr>
                  <w:tcW w:w="3174" w:type="dxa"/>
                  <w:tcBorders>
                    <w:tl2br w:val="nil"/>
                    <w:tr2bl w:val="nil"/>
                  </w:tcBorders>
                  <w:noWrap/>
                  <w:vAlign w:val="center"/>
                </w:tcPr>
                <w:p>
                  <w:pPr>
                    <w:widowControl/>
                    <w:adjustRightInd w:val="0"/>
                    <w:rPr>
                      <w:rFonts w:ascii="Times New Roman" w:eastAsia="宋体" w:hAnsi="Times New Roman" w:cs="Times New Roman" w:hint="default"/>
                      <w:color w:val="auto"/>
                      <w:szCs w:val="21"/>
                    </w:rPr>
                  </w:pPr>
                  <w:r>
                    <w:rPr>
                      <w:rFonts w:ascii="Times New Roman" w:eastAsia="宋体" w:hAnsi="Times New Roman" w:cs="Times New Roman" w:hint="default"/>
                      <w:color w:val="auto"/>
                      <w:sz w:val="21"/>
                      <w:szCs w:val="21"/>
                    </w:rPr>
                    <w:t>取水口下游 500 米范围内有重要水生生物的自然产卵场、索饵场、越冬场和 洄游通道的新增河道取水的污染类建设项目</w:t>
                  </w:r>
                </w:p>
              </w:tc>
              <w:tc>
                <w:tcPr>
                  <w:tcW w:w="2771"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本项目不涉及以上污染物，因此项目不设生态专项评价</w:t>
                  </w:r>
                </w:p>
              </w:tc>
            </w:tr>
            <w:tr>
              <w:tblPrEx>
                <w:tblW w:w="7087" w:type="dxa"/>
                <w:jc w:val="center"/>
                <w:tblLayout w:type="fixed"/>
                <w:tblCellMar>
                  <w:top w:w="0" w:type="dxa"/>
                  <w:left w:w="108" w:type="dxa"/>
                  <w:bottom w:w="0" w:type="dxa"/>
                  <w:right w:w="108" w:type="dxa"/>
                </w:tblCellMar>
              </w:tblPrEx>
              <w:trPr>
                <w:jc w:val="center"/>
              </w:trPr>
              <w:tc>
                <w:tcPr>
                  <w:tcW w:w="1142"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海洋</w:t>
                  </w:r>
                </w:p>
              </w:tc>
              <w:tc>
                <w:tcPr>
                  <w:tcW w:w="3174"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直接向海排放污染物的海洋工程建设项目</w:t>
                  </w:r>
                </w:p>
              </w:tc>
              <w:tc>
                <w:tcPr>
                  <w:tcW w:w="2771" w:type="dxa"/>
                  <w:tcBorders>
                    <w:tl2br w:val="nil"/>
                    <w:tr2bl w:val="nil"/>
                  </w:tcBorders>
                  <w:noWrap/>
                  <w:vAlign w:val="center"/>
                </w:tcPr>
                <w:p>
                  <w:pPr>
                    <w:pStyle w:val="BodyTextFirstIndent2"/>
                    <w:adjustRightInd w:val="0"/>
                    <w:ind w:firstLine="0" w:leftChars="0" w:firstLineChars="0"/>
                    <w:rPr>
                      <w:rFonts w:ascii="Times New Roman" w:hAnsi="Times New Roman" w:hint="default"/>
                      <w:color w:val="auto"/>
                      <w:sz w:val="21"/>
                      <w:szCs w:val="21"/>
                    </w:rPr>
                  </w:pPr>
                  <w:r>
                    <w:rPr>
                      <w:rFonts w:ascii="Times New Roman" w:hAnsi="Times New Roman" w:cs="Times New Roman" w:hint="default"/>
                      <w:color w:val="auto"/>
                      <w:sz w:val="21"/>
                      <w:szCs w:val="21"/>
                    </w:rPr>
                    <w:t>项目不属于海洋项目，不设海洋专项评价</w:t>
                  </w:r>
                </w:p>
              </w:tc>
            </w:tr>
          </w:tbl>
          <w:p>
            <w:pPr>
              <w:autoSpaceDE w:val="0"/>
              <w:autoSpaceDN w:val="0"/>
              <w:adjustRightInd w:val="0"/>
              <w:snapToGrid w:val="0"/>
              <w:jc w:val="left"/>
              <w:rPr>
                <w:rFonts w:ascii="Times New Roman" w:eastAsia="宋体" w:hAnsi="Times New Roman" w:cs="Times New Roman" w:hint="default"/>
                <w:color w:val="auto"/>
                <w:szCs w:val="21"/>
              </w:rPr>
            </w:pPr>
            <w:r>
              <w:rPr>
                <w:rFonts w:ascii="Times New Roman" w:hAnsi="Times New Roman" w:cs="Times New Roman" w:hint="default"/>
                <w:color w:val="auto"/>
                <w:sz w:val="21"/>
                <w:szCs w:val="21"/>
              </w:rPr>
              <w:t>注：</w:t>
            </w:r>
            <w:r>
              <w:rPr>
                <w:rFonts w:ascii="Times New Roman" w:eastAsia="宋体" w:hAnsi="Times New Roman" w:cs="Times New Roman" w:hint="default"/>
                <w:color w:val="auto"/>
                <w:sz w:val="21"/>
                <w:szCs w:val="21"/>
              </w:rPr>
              <w:t xml:space="preserve">1.废气中有毒有害污染物指纳入《有毒有害大气污染物名录》的污染物（不包括无排放标准 的污染物）。 </w:t>
            </w:r>
          </w:p>
          <w:p>
            <w:pPr>
              <w:autoSpaceDE w:val="0"/>
              <w:autoSpaceDN w:val="0"/>
              <w:adjustRightInd w:val="0"/>
              <w:snapToGrid w:val="0"/>
              <w:jc w:val="left"/>
              <w:rPr>
                <w:rFonts w:ascii="Times New Roman" w:eastAsia="宋体" w:hAnsi="Times New Roman" w:cs="Times New Roman" w:hint="default"/>
                <w:color w:val="auto"/>
                <w:szCs w:val="21"/>
              </w:rPr>
            </w:pPr>
            <w:r>
              <w:rPr>
                <w:rFonts w:ascii="Times New Roman" w:eastAsia="宋体" w:hAnsi="Times New Roman" w:cs="Times New Roman" w:hint="default"/>
                <w:color w:val="auto"/>
                <w:sz w:val="21"/>
                <w:szCs w:val="21"/>
              </w:rPr>
              <w:t xml:space="preserve">2、环境空气保护目标指自然保护区、风景名胜区、居住区、文化区和农村地区中人群较集中 的区域。 </w:t>
            </w:r>
          </w:p>
          <w:p>
            <w:pPr>
              <w:autoSpaceDE w:val="0"/>
              <w:autoSpaceDN w:val="0"/>
              <w:adjustRightInd w:val="0"/>
              <w:snapToGrid w:val="0"/>
              <w:jc w:val="left"/>
              <w:rPr>
                <w:rFonts w:ascii="Times New Roman" w:hAnsi="Times New Roman" w:cs="Times New Roman" w:hint="default"/>
                <w:color w:val="auto"/>
                <w:szCs w:val="21"/>
              </w:rPr>
            </w:pPr>
            <w:r>
              <w:rPr>
                <w:rFonts w:ascii="Times New Roman" w:eastAsia="宋体" w:hAnsi="Times New Roman" w:cs="Times New Roman" w:hint="default"/>
                <w:color w:val="auto"/>
                <w:sz w:val="21"/>
                <w:szCs w:val="21"/>
              </w:rPr>
              <w:t>3、临界量及其计算方法可参考《建设项目环境风险评价技术导则》（HJ 169）附录 B、附C。</w:t>
            </w:r>
          </w:p>
        </w:tc>
      </w:tr>
      <w:tr>
        <w:tblPrEx>
          <w:tblW w:w="8870" w:type="dxa"/>
          <w:jc w:val="center"/>
          <w:tblLayout w:type="fixed"/>
          <w:tblCellMar>
            <w:top w:w="0" w:type="dxa"/>
            <w:left w:w="0" w:type="dxa"/>
            <w:bottom w:w="0" w:type="dxa"/>
            <w:right w:w="0" w:type="dxa"/>
          </w:tblCellMar>
        </w:tblPrEx>
        <w:trPr>
          <w:trHeight w:val="869"/>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规划情况</w:t>
            </w:r>
          </w:p>
        </w:tc>
        <w:tc>
          <w:tcPr>
            <w:tcW w:w="7417" w:type="dxa"/>
            <w:tcBorders>
              <w:top w:val="single" w:sz="4" w:space="0" w:color="auto"/>
              <w:left w:val="single" w:sz="4" w:space="0" w:color="auto"/>
              <w:bottom w:val="single" w:sz="4" w:space="0" w:color="auto"/>
              <w:right w:val="single" w:sz="8"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无</w:t>
            </w:r>
          </w:p>
        </w:tc>
      </w:tr>
      <w:tr>
        <w:tblPrEx>
          <w:tblW w:w="8870" w:type="dxa"/>
          <w:jc w:val="center"/>
          <w:tblLayout w:type="fixed"/>
          <w:tblCellMar>
            <w:top w:w="0" w:type="dxa"/>
            <w:left w:w="0" w:type="dxa"/>
            <w:bottom w:w="0" w:type="dxa"/>
            <w:right w:w="0" w:type="dxa"/>
          </w:tblCellMar>
        </w:tblPrEx>
        <w:trPr>
          <w:trHeight w:val="102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规划环境影响</w:t>
            </w:r>
          </w:p>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评价情况</w:t>
            </w:r>
          </w:p>
        </w:tc>
        <w:tc>
          <w:tcPr>
            <w:tcW w:w="7417" w:type="dxa"/>
            <w:tcBorders>
              <w:top w:val="single" w:sz="4" w:space="0" w:color="auto"/>
              <w:left w:val="single" w:sz="4" w:space="0" w:color="auto"/>
              <w:bottom w:val="single" w:sz="4" w:space="0" w:color="auto"/>
              <w:right w:val="single" w:sz="8"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无</w:t>
            </w:r>
          </w:p>
        </w:tc>
      </w:tr>
      <w:tr>
        <w:tblPrEx>
          <w:tblW w:w="8870" w:type="dxa"/>
          <w:jc w:val="center"/>
          <w:tblLayout w:type="fixed"/>
          <w:tblCellMar>
            <w:top w:w="0" w:type="dxa"/>
            <w:left w:w="0" w:type="dxa"/>
            <w:bottom w:w="0" w:type="dxa"/>
            <w:right w:w="0" w:type="dxa"/>
          </w:tblCellMar>
        </w:tblPrEx>
        <w:trPr>
          <w:trHeight w:val="1021"/>
          <w:jc w:val="center"/>
        </w:trPr>
        <w:tc>
          <w:tcPr>
            <w:tcW w:w="1453" w:type="dxa"/>
            <w:tcBorders>
              <w:top w:val="single" w:sz="4" w:space="0" w:color="auto"/>
              <w:left w:val="single" w:sz="8" w:space="0" w:color="auto"/>
              <w:bottom w:val="single" w:sz="4" w:space="0" w:color="auto"/>
              <w:right w:val="single" w:sz="4"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规划及规划环境影响评价符合性分析</w:t>
            </w:r>
          </w:p>
        </w:tc>
        <w:tc>
          <w:tcPr>
            <w:tcW w:w="7417" w:type="dxa"/>
            <w:tcBorders>
              <w:top w:val="single" w:sz="4" w:space="0" w:color="auto"/>
              <w:left w:val="single" w:sz="4" w:space="0" w:color="auto"/>
              <w:bottom w:val="single" w:sz="4" w:space="0" w:color="auto"/>
              <w:right w:val="single" w:sz="8"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hAnsi="Times New Roman" w:cs="Times New Roman" w:hint="default"/>
                <w:color w:val="auto"/>
                <w:szCs w:val="21"/>
              </w:rPr>
            </w:pPr>
            <w:r>
              <w:rPr>
                <w:rFonts w:ascii="Times New Roman" w:hAnsi="Times New Roman" w:cs="Times New Roman" w:hint="default"/>
                <w:color w:val="auto"/>
                <w:sz w:val="21"/>
                <w:szCs w:val="21"/>
              </w:rPr>
              <w:t>无</w:t>
            </w:r>
          </w:p>
        </w:tc>
      </w:tr>
    </w:tbl>
    <w:p>
      <w:pPr>
        <w:sectPr>
          <w:footerReference w:type="default" r:id="rId6"/>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2"/>
          <w:cols w:num="1" w:space="425"/>
          <w:titlePg w:val="0"/>
          <w:docGrid w:type="lines" w:linePitch="312" w:charSpace="0"/>
        </w:sectPr>
      </w:pP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741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1672"/>
          <w:jc w:val="center"/>
        </w:trPr>
        <w:tc>
          <w:tcPr>
            <w:tcW w:w="1453" w:type="dxa"/>
            <w:tcBorders>
              <w:top w:val="single" w:sz="4" w:space="0" w:color="auto"/>
              <w:left w:val="single" w:sz="8" w:space="0" w:color="auto"/>
              <w:bottom w:val="single" w:sz="8" w:space="0" w:color="auto"/>
              <w:right w:val="single" w:sz="4" w:space="0" w:color="auto"/>
            </w:tcBorders>
            <w:shd w:val="clear" w:color="auto" w:fill="auto"/>
            <w:tcMar>
              <w:left w:w="108" w:type="dxa"/>
              <w:right w:w="108" w:type="dxa"/>
            </w:tcMar>
            <w:vAlign w:val="center"/>
          </w:tcPr>
          <w:p>
            <w:pPr>
              <w:autoSpaceDE w:val="0"/>
              <w:autoSpaceDN w:val="0"/>
              <w:adjustRightInd w:val="0"/>
              <w:snapToGrid w:val="0"/>
              <w:jc w:val="center"/>
              <w:rPr>
                <w:rFonts w:ascii="Times New Roman" w:eastAsia="宋体" w:hAnsi="Times New Roman" w:cs="Times New Roman" w:hint="default"/>
                <w:color w:val="auto"/>
                <w:kern w:val="0"/>
                <w:szCs w:val="21"/>
              </w:rPr>
            </w:pPr>
            <w:r>
              <w:rPr>
                <w:rFonts w:ascii="Times New Roman" w:hAnsi="Times New Roman" w:cs="Times New Roman" w:hint="default"/>
                <w:color w:val="auto"/>
                <w:sz w:val="21"/>
                <w:szCs w:val="21"/>
              </w:rPr>
              <w:t>其他符合性分析</w:t>
            </w:r>
          </w:p>
        </w:tc>
        <w:tc>
          <w:tcPr>
            <w:tcW w:w="7417" w:type="dxa"/>
            <w:tcBorders>
              <w:top w:val="single" w:sz="4" w:space="0" w:color="auto"/>
              <w:left w:val="single" w:sz="4" w:space="0" w:color="auto"/>
              <w:bottom w:val="single" w:sz="8" w:space="0" w:color="auto"/>
              <w:right w:val="single" w:sz="8" w:space="0" w:color="auto"/>
            </w:tcBorders>
            <w:shd w:val="clear" w:color="auto" w:fill="auto"/>
            <w:tcMar>
              <w:left w:w="108" w:type="dxa"/>
              <w:right w:w="108" w:type="dxa"/>
            </w:tcMar>
            <w:vAlign w:val="center"/>
          </w:tcPr>
          <w:p>
            <w:pPr>
              <w:spacing w:line="360" w:lineRule="auto"/>
              <w:ind w:firstLine="420" w:firstLineChars="200"/>
              <w:rPr>
                <w:rFonts w:ascii="Times New Roman" w:hAnsi="Times New Roman" w:cs="Times New Roman" w:hint="default"/>
                <w:color w:val="auto"/>
                <w:szCs w:val="21"/>
              </w:rPr>
            </w:pPr>
            <w:r>
              <w:rPr>
                <w:rFonts w:ascii="Times New Roman" w:hAnsi="Times New Roman" w:cs="Times New Roman" w:hint="default"/>
                <w:color w:val="auto"/>
                <w:sz w:val="21"/>
                <w:szCs w:val="21"/>
              </w:rPr>
              <w:t>（1）产业政策符合性分析</w:t>
            </w:r>
          </w:p>
          <w:p>
            <w:pPr>
              <w:tabs>
                <w:tab w:val="left" w:pos="615"/>
                <w:tab w:val="left" w:pos="3615"/>
              </w:tabs>
              <w:spacing w:line="360" w:lineRule="auto"/>
              <w:ind w:firstLine="420" w:firstLineChars="200"/>
              <w:rPr>
                <w:rFonts w:ascii="Times New Roman" w:hAnsi="Times New Roman" w:cs="Times New Roman" w:hint="default"/>
                <w:color w:val="auto"/>
                <w:szCs w:val="21"/>
              </w:rPr>
            </w:pPr>
            <w:r>
              <w:rPr>
                <w:rFonts w:ascii="Times New Roman" w:hAnsi="Times New Roman" w:cs="Times New Roman" w:hint="default"/>
                <w:color w:val="auto"/>
                <w:sz w:val="21"/>
                <w:szCs w:val="21"/>
              </w:rPr>
              <w:t>根据《产业结构调整指导目录（2019年本）》，本项目不属于国家限制类和淘汰类项目，该项目建设属于允许类项目，符合国家当前产业政策；本项目所涉及行业不属于国家发展改革委、商务部《市场准入负面清单（2020年版）》之列的禁止或限制许可事项，亦不属于《陕西省限制投资类产业指导目录》（陕发改产业〔2007〕97号）中限制投资产业；项目已</w:t>
            </w:r>
            <w:r>
              <w:rPr>
                <w:rFonts w:ascii="Times New Roman" w:hAnsi="Times New Roman" w:cs="Times New Roman" w:hint="default"/>
                <w:bCs/>
                <w:color w:val="auto"/>
                <w:sz w:val="21"/>
                <w:szCs w:val="21"/>
              </w:rPr>
              <w:t>取得</w:t>
            </w:r>
            <w:r>
              <w:rPr>
                <w:rFonts w:ascii="Times New Roman" w:hAnsi="Times New Roman" w:cs="Times New Roman" w:hint="default"/>
                <w:color w:val="auto"/>
                <w:sz w:val="21"/>
                <w:szCs w:val="21"/>
              </w:rPr>
              <w:t>蒲城县发展和改革局的备案确认书（项目代码：2105-610526-04-01-652824）</w:t>
            </w:r>
            <w:r>
              <w:rPr>
                <w:rFonts w:ascii="Times New Roman" w:hAnsi="Times New Roman" w:cs="Times New Roman" w:hint="default"/>
                <w:bCs/>
                <w:color w:val="auto"/>
                <w:sz w:val="21"/>
                <w:szCs w:val="21"/>
              </w:rPr>
              <w:t>（</w:t>
            </w:r>
            <w:r>
              <w:rPr>
                <w:rFonts w:ascii="Times New Roman" w:hAnsi="Times New Roman" w:cs="Times New Roman" w:hint="default"/>
                <w:color w:val="auto"/>
                <w:sz w:val="21"/>
                <w:szCs w:val="21"/>
              </w:rPr>
              <w:t>见附件2</w:t>
            </w:r>
            <w:r>
              <w:rPr>
                <w:rFonts w:ascii="Times New Roman" w:hAnsi="Times New Roman" w:cs="Times New Roman" w:hint="default"/>
                <w:bCs/>
                <w:color w:val="auto"/>
                <w:sz w:val="21"/>
                <w:szCs w:val="21"/>
              </w:rPr>
              <w:t>）</w:t>
            </w:r>
            <w:r>
              <w:rPr>
                <w:rFonts w:ascii="Times New Roman" w:hAnsi="Times New Roman" w:cs="Times New Roman" w:hint="default"/>
                <w:color w:val="auto"/>
                <w:sz w:val="21"/>
                <w:szCs w:val="21"/>
              </w:rPr>
              <w:t>。</w:t>
            </w:r>
          </w:p>
          <w:p>
            <w:pPr>
              <w:spacing w:line="360" w:lineRule="auto"/>
              <w:ind w:firstLine="420" w:firstLineChars="200"/>
              <w:rPr>
                <w:rFonts w:ascii="Times New Roman" w:hAnsi="Times New Roman" w:cs="Times New Roman" w:hint="default"/>
                <w:color w:val="auto"/>
                <w:szCs w:val="21"/>
              </w:rPr>
            </w:pPr>
            <w:r>
              <w:rPr>
                <w:rFonts w:ascii="Times New Roman" w:hAnsi="Times New Roman" w:cs="Times New Roman" w:hint="default"/>
                <w:color w:val="auto"/>
                <w:sz w:val="21"/>
                <w:szCs w:val="21"/>
              </w:rPr>
              <w:t>综上，本项目符合国家和地方产业政策。</w:t>
            </w:r>
          </w:p>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（2）环境管理政策符合性分析</w:t>
            </w:r>
          </w:p>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本项目与相关的环境管理政策相符性分析见表1-2。</w:t>
            </w:r>
          </w:p>
          <w:p>
            <w:pPr>
              <w:jc w:val="center"/>
              <w:rPr>
                <w:rFonts w:ascii="Times New Roman" w:hAnsi="Times New Roman" w:cs="Times New Roman" w:hint="default"/>
                <w:b/>
                <w:bCs/>
                <w:color w:val="auto"/>
                <w:szCs w:val="21"/>
                <w:lang w:val="zh-CN"/>
              </w:rPr>
            </w:pPr>
          </w:p>
          <w:p>
            <w:pPr>
              <w:jc w:val="center"/>
              <w:rPr>
                <w:rFonts w:ascii="Times New Roman" w:hAnsi="Times New Roman" w:cs="Times New Roman" w:hint="default"/>
                <w:b/>
                <w:bCs/>
                <w:color w:val="auto"/>
                <w:szCs w:val="21"/>
                <w:lang w:val="zh-CN"/>
              </w:rPr>
            </w:pPr>
          </w:p>
          <w:p>
            <w:pPr>
              <w:jc w:val="center"/>
              <w:rPr>
                <w:rFonts w:ascii="Times New Roman" w:hAnsi="Times New Roman" w:cs="Times New Roman" w:hint="default"/>
                <w:b/>
                <w:bCs/>
                <w:color w:val="auto"/>
                <w:szCs w:val="21"/>
                <w:lang w:val="zh-CN"/>
              </w:rPr>
            </w:pPr>
          </w:p>
          <w:p>
            <w:pPr>
              <w:jc w:val="center"/>
              <w:rPr>
                <w:rFonts w:ascii="Times New Roman" w:hAnsi="Times New Roman" w:cs="Times New Roman" w:hint="default"/>
                <w:b/>
                <w:bCs/>
                <w:color w:val="auto"/>
                <w:szCs w:val="21"/>
                <w:lang w:val="zh-CN"/>
              </w:rPr>
            </w:pPr>
          </w:p>
          <w:p>
            <w:pPr>
              <w:jc w:val="center"/>
              <w:rPr>
                <w:rFonts w:ascii="Times New Roman" w:hAnsi="Times New Roman" w:cs="Times New Roman" w:hint="default"/>
                <w:b/>
                <w:bCs/>
                <w:color w:val="auto"/>
                <w:szCs w:val="21"/>
              </w:rPr>
            </w:pPr>
            <w:r>
              <w:rPr>
                <w:rFonts w:ascii="Times New Roman" w:hAnsi="Times New Roman" w:cs="Times New Roman" w:hint="default"/>
                <w:b/>
                <w:bCs/>
                <w:color w:val="auto"/>
                <w:sz w:val="21"/>
                <w:szCs w:val="21"/>
                <w:lang w:val="zh-CN"/>
              </w:rPr>
              <w:t>表</w:t>
            </w:r>
            <w:r>
              <w:rPr>
                <w:rFonts w:ascii="Times New Roman" w:hAnsi="Times New Roman" w:cs="Times New Roman" w:hint="default"/>
                <w:b/>
                <w:bCs/>
                <w:color w:val="auto"/>
                <w:sz w:val="21"/>
                <w:szCs w:val="21"/>
              </w:rPr>
              <w:t>1-2环境管理政策相符性</w:t>
            </w:r>
            <w:r>
              <w:rPr>
                <w:rFonts w:ascii="Times New Roman" w:hAnsi="Times New Roman" w:cs="Times New Roman" w:hint="default"/>
                <w:b/>
                <w:bCs/>
                <w:color w:val="auto"/>
                <w:sz w:val="21"/>
                <w:szCs w:val="21"/>
                <w:lang w:val="zh-CN"/>
              </w:rPr>
              <w:t>分析</w:t>
            </w:r>
          </w:p>
          <w:tbl>
            <w:tblPr>
              <w:tblStyle w:val="TableNorm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433"/>
              <w:gridCol w:w="3204"/>
              <w:gridCol w:w="2107"/>
              <w:gridCol w:w="427"/>
            </w:tblGrid>
            <w:tr>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333"/>
                <w:jc w:val="center"/>
              </w:trPr>
              <w:tc>
                <w:tcPr>
                  <w:tcW w:w="999" w:type="pct"/>
                  <w:tcBorders>
                    <w:tl2br w:val="nil"/>
                    <w:tr2bl w:val="nil"/>
                  </w:tcBorders>
                  <w:vAlign w:val="center"/>
                </w:tcPr>
                <w:p>
                  <w:pPr>
                    <w:jc w:val="center"/>
                    <w:rPr>
                      <w:rFonts w:ascii="Times New Roman" w:hAnsi="Times New Roman" w:cs="Times New Roman" w:hint="default"/>
                      <w:b/>
                      <w:bCs/>
                      <w:color w:val="auto"/>
                      <w:szCs w:val="21"/>
                      <w:lang w:val="zh-CN"/>
                    </w:rPr>
                  </w:pPr>
                  <w:r>
                    <w:rPr>
                      <w:rFonts w:ascii="Times New Roman" w:hAnsi="Times New Roman" w:cs="Times New Roman" w:hint="default"/>
                      <w:b/>
                      <w:bCs/>
                      <w:color w:val="auto"/>
                      <w:sz w:val="21"/>
                      <w:szCs w:val="21"/>
                      <w:lang w:val="zh-CN"/>
                    </w:rPr>
                    <w:t>文件名称</w:t>
                  </w:r>
                </w:p>
              </w:tc>
              <w:tc>
                <w:tcPr>
                  <w:tcW w:w="2233" w:type="pct"/>
                  <w:tcBorders>
                    <w:tl2br w:val="nil"/>
                    <w:tr2bl w:val="nil"/>
                  </w:tcBorders>
                  <w:vAlign w:val="center"/>
                </w:tcPr>
                <w:p>
                  <w:pPr>
                    <w:jc w:val="center"/>
                    <w:rPr>
                      <w:rFonts w:ascii="Times New Roman" w:hAnsi="Times New Roman" w:cs="Times New Roman" w:hint="default"/>
                      <w:b/>
                      <w:bCs/>
                      <w:color w:val="auto"/>
                      <w:szCs w:val="21"/>
                      <w:lang w:val="zh-CN"/>
                    </w:rPr>
                  </w:pPr>
                  <w:r>
                    <w:rPr>
                      <w:rFonts w:ascii="Times New Roman" w:hAnsi="Times New Roman" w:cs="Times New Roman" w:hint="default"/>
                      <w:b/>
                      <w:bCs/>
                      <w:color w:val="auto"/>
                      <w:sz w:val="21"/>
                      <w:szCs w:val="21"/>
                      <w:lang w:val="zh-CN"/>
                    </w:rPr>
                    <w:t>要求内容</w:t>
                  </w:r>
                </w:p>
              </w:tc>
              <w:tc>
                <w:tcPr>
                  <w:tcW w:w="1468" w:type="pct"/>
                  <w:tcBorders>
                    <w:tl2br w:val="nil"/>
                    <w:tr2bl w:val="nil"/>
                  </w:tcBorders>
                  <w:vAlign w:val="center"/>
                </w:tcPr>
                <w:p>
                  <w:pPr>
                    <w:jc w:val="center"/>
                    <w:rPr>
                      <w:rFonts w:ascii="Times New Roman" w:hAnsi="Times New Roman" w:cs="Times New Roman" w:hint="default"/>
                      <w:b/>
                      <w:bCs/>
                      <w:color w:val="auto"/>
                      <w:szCs w:val="21"/>
                      <w:lang w:val="zh-CN"/>
                    </w:rPr>
                  </w:pPr>
                  <w:r>
                    <w:rPr>
                      <w:rFonts w:ascii="Times New Roman" w:hAnsi="Times New Roman" w:cs="Times New Roman" w:hint="default"/>
                      <w:b/>
                      <w:bCs/>
                      <w:color w:val="auto"/>
                      <w:sz w:val="21"/>
                      <w:szCs w:val="21"/>
                      <w:lang w:val="zh-CN"/>
                    </w:rPr>
                    <w:t>本项目情况</w:t>
                  </w:r>
                </w:p>
              </w:tc>
              <w:tc>
                <w:tcPr>
                  <w:tcW w:w="298" w:type="pct"/>
                  <w:tcBorders>
                    <w:tl2br w:val="nil"/>
                    <w:tr2bl w:val="nil"/>
                  </w:tcBorders>
                  <w:vAlign w:val="center"/>
                </w:tcPr>
                <w:p>
                  <w:pPr>
                    <w:jc w:val="center"/>
                    <w:rPr>
                      <w:rFonts w:ascii="Times New Roman" w:hAnsi="Times New Roman" w:cs="Times New Roman" w:hint="default"/>
                      <w:b/>
                      <w:bCs/>
                      <w:color w:val="auto"/>
                      <w:szCs w:val="21"/>
                      <w:lang w:val="zh-CN"/>
                    </w:rPr>
                  </w:pPr>
                  <w:r>
                    <w:rPr>
                      <w:rFonts w:ascii="Times New Roman" w:hAnsi="Times New Roman" w:cs="Times New Roman" w:hint="default"/>
                      <w:b/>
                      <w:bCs/>
                      <w:color w:val="auto"/>
                      <w:sz w:val="21"/>
                      <w:szCs w:val="21"/>
                      <w:lang w:val="zh-CN"/>
                    </w:rPr>
                    <w:t>符合情况</w:t>
                  </w:r>
                </w:p>
              </w:tc>
            </w:tr>
            <w:tr>
              <w:tblPrEx>
                <w:tblW w:w="5000" w:type="pct"/>
                <w:jc w:val="center"/>
                <w:tblLayout w:type="fixed"/>
                <w:tblCellMar>
                  <w:top w:w="0" w:type="dxa"/>
                  <w:left w:w="108" w:type="dxa"/>
                  <w:bottom w:w="0" w:type="dxa"/>
                  <w:right w:w="108" w:type="dxa"/>
                </w:tblCellMar>
              </w:tblPrEx>
              <w:trPr>
                <w:trHeight w:val="1921"/>
                <w:jc w:val="center"/>
              </w:trPr>
              <w:tc>
                <w:tcPr>
                  <w:tcW w:w="999" w:type="pct"/>
                  <w:tcBorders>
                    <w:tl2br w:val="nil"/>
                    <w:tr2bl w:val="nil"/>
                  </w:tcBorders>
                  <w:vAlign w:val="center"/>
                </w:tcPr>
                <w:p>
                  <w:pPr>
                    <w:rPr>
                      <w:rFonts w:ascii="Times New Roman" w:hAnsi="Times New Roman" w:cs="Times New Roman" w:hint="default"/>
                      <w:color w:val="auto"/>
                      <w:szCs w:val="21"/>
                      <w:lang w:val="zh-CN"/>
                    </w:rPr>
                  </w:pPr>
                  <w:r>
                    <w:rPr>
                      <w:rFonts w:ascii="Times New Roman" w:hAnsi="Times New Roman" w:cs="Times New Roman" w:hint="default"/>
                      <w:color w:val="auto"/>
                      <w:sz w:val="21"/>
                      <w:szCs w:val="21"/>
                    </w:rPr>
                    <w:t>《陕西省铁腕治霾打赢蓝天保卫战三年行动方案（2018-2020）修订版》、</w:t>
                  </w:r>
                </w:p>
              </w:tc>
              <w:tc>
                <w:tcPr>
                  <w:tcW w:w="2233" w:type="pct"/>
                  <w:tcBorders>
                    <w:tl2br w:val="nil"/>
                    <w:tr2bl w:val="nil"/>
                  </w:tcBorders>
                  <w:vAlign w:val="center"/>
                </w:tcPr>
                <w:p>
                  <w:pPr>
                    <w:rPr>
                      <w:rFonts w:ascii="Times New Roman" w:hAnsi="Times New Roman" w:cs="Times New Roman" w:hint="default"/>
                      <w:color w:val="auto"/>
                      <w:szCs w:val="21"/>
                      <w:lang w:val="zh-CN"/>
                    </w:rPr>
                  </w:pPr>
                  <w:r>
                    <w:rPr>
                      <w:rFonts w:ascii="Times New Roman" w:hAnsi="Times New Roman" w:cs="Times New Roman" w:hint="default"/>
                      <w:color w:val="auto"/>
                      <w:sz w:val="21"/>
                      <w:szCs w:val="21"/>
                    </w:rPr>
                    <w:t>加强物料堆场扬尘监管。严格落实煤炭、商品混凝土、粉煤灰等工业企业物料堆场抑尘措施，配套建设收尘和密封物料仓库，建设围墙、喷淋、覆盖和围挡等防风抑尘措施。采用密闭输送设备作业的，必须在装卸处配备吸尘、喷淋等防尘设施，并保持防尘设施的正常使用，严禁露天装卸作业和物料干法作业</w:t>
                  </w:r>
                </w:p>
              </w:tc>
              <w:tc>
                <w:tcPr>
                  <w:tcW w:w="1468" w:type="pct"/>
                  <w:tcBorders>
                    <w:tl2br w:val="nil"/>
                    <w:tr2bl w:val="nil"/>
                  </w:tcBorders>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本项目物料全部进入筒仓，运营期间产生的粉尘经布袋除尘器收集后由各自排气筒排放</w:t>
                  </w:r>
                </w:p>
              </w:tc>
              <w:tc>
                <w:tcPr>
                  <w:tcW w:w="298" w:type="pct"/>
                  <w:tcBorders>
                    <w:tl2br w:val="nil"/>
                    <w:tr2bl w:val="nil"/>
                  </w:tcBorders>
                  <w:vAlign w:val="center"/>
                </w:tcPr>
                <w:p>
                  <w:pPr>
                    <w:jc w:val="center"/>
                    <w:rPr>
                      <w:rFonts w:ascii="Times New Roman" w:hAnsi="Times New Roman" w:cs="Times New Roman" w:hint="default"/>
                      <w:color w:val="auto"/>
                      <w:szCs w:val="21"/>
                      <w:lang w:val="zh-CN"/>
                    </w:rPr>
                  </w:pPr>
                  <w:r>
                    <w:rPr>
                      <w:rFonts w:ascii="Times New Roman" w:hAnsi="Times New Roman" w:cs="Times New Roman" w:hint="default"/>
                      <w:color w:val="auto"/>
                      <w:sz w:val="21"/>
                      <w:szCs w:val="21"/>
                      <w:lang w:val="zh-CN"/>
                    </w:rPr>
                    <w:t>符合</w:t>
                  </w:r>
                </w:p>
              </w:tc>
            </w:tr>
          </w:tbl>
          <w:p/>
        </w:tc>
      </w:tr>
    </w:tbl>
    <w:p>
      <w:pPr>
        <w:sectPr>
          <w:footerReference w:type="default" r:id="rId7"/>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3"/>
          <w:cols w:num="1" w:space="425"/>
          <w:titlePg w:val="0"/>
          <w:docGrid w:type="lines" w:linePitch="312" w:charSpace="0"/>
        </w:sectPr>
      </w:pP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741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1672"/>
          <w:jc w:val="center"/>
        </w:trPr>
        <w:tc>
          <w:tcPr>
            <w:tcW w:w="1453" w:type="dxa"/>
            <w:tcBorders>
              <w:top w:val="single" w:sz="4" w:space="0" w:color="auto"/>
              <w:left w:val="single" w:sz="8" w:space="0" w:color="auto"/>
              <w:bottom w:val="single" w:sz="8" w:space="0" w:color="auto"/>
              <w:right w:val="single" w:sz="4" w:space="0" w:color="auto"/>
            </w:tcBorders>
            <w:shd w:val="clear" w:color="auto" w:fill="auto"/>
            <w:tcMar>
              <w:left w:w="108" w:type="dxa"/>
              <w:right w:w="108" w:type="dxa"/>
            </w:tcMar>
            <w:vAlign w:val="center"/>
          </w:tcPr>
          <w:p/>
        </w:tc>
        <w:tc>
          <w:tcPr>
            <w:tcW w:w="7417" w:type="dxa"/>
            <w:tcBorders>
              <w:top w:val="single" w:sz="4" w:space="0" w:color="auto"/>
              <w:left w:val="single" w:sz="4" w:space="0" w:color="auto"/>
              <w:bottom w:val="single" w:sz="8" w:space="0" w:color="auto"/>
              <w:right w:val="single" w:sz="8" w:space="0" w:color="auto"/>
            </w:tcBorders>
            <w:shd w:val="clear" w:color="auto" w:fill="auto"/>
            <w:tcMar>
              <w:left w:w="108" w:type="dxa"/>
              <w:right w:w="108" w:type="dxa"/>
            </w:tcMar>
            <w:vAlign w:val="center"/>
          </w:tcPr>
          <w:tbl>
            <w:tblPr>
              <w:tblStyle w:val="TableNorm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433"/>
              <w:gridCol w:w="3204"/>
              <w:gridCol w:w="2107"/>
              <w:gridCol w:w="427"/>
            </w:tblGrid>
            <w:tr>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3843"/>
                <w:jc w:val="center"/>
              </w:trPr>
              <w:tc>
                <w:tcPr>
                  <w:tcW w:w="999" w:type="pct"/>
                  <w:tcBorders>
                    <w:tl2br w:val="nil"/>
                    <w:tr2bl w:val="nil"/>
                  </w:tcBorders>
                  <w:vAlign w:val="center"/>
                </w:tcPr>
                <w:p>
                  <w:pPr>
                    <w:rPr>
                      <w:rFonts w:ascii="Times New Roman" w:hAnsi="Times New Roman" w:cs="Times New Roman" w:hint="default"/>
                      <w:color w:val="auto"/>
                      <w:szCs w:val="21"/>
                    </w:rPr>
                  </w:pPr>
                </w:p>
              </w:tc>
              <w:tc>
                <w:tcPr>
                  <w:tcW w:w="2233" w:type="pct"/>
                  <w:tcBorders>
                    <w:tl2br w:val="nil"/>
                    <w:tr2bl w:val="nil"/>
                  </w:tcBorders>
                  <w:vAlign w:val="center"/>
                </w:tcPr>
                <w:p>
                  <w:pPr>
                    <w:adjustRightInd w:val="0"/>
                    <w:spacing w:line="360" w:lineRule="exact"/>
                    <w:jc w:val="both"/>
                    <w:rPr>
                      <w:rFonts w:ascii="Times New Roman" w:hAnsi="Times New Roman" w:cs="Times New Roman" w:hint="default"/>
                      <w:color w:val="auto"/>
                      <w:szCs w:val="21"/>
                    </w:rPr>
                  </w:pPr>
                  <w:r>
                    <w:rPr>
                      <w:rFonts w:ascii="Times New Roman" w:hAnsi="Times New Roman" w:cs="Times New Roman" w:hint="default"/>
                      <w:color w:val="auto"/>
                      <w:sz w:val="21"/>
                      <w:szCs w:val="21"/>
                      <w:shd w:val="clear" w:color="auto" w:fill="FFFFFF"/>
                    </w:rPr>
                    <w:t>推进重点行业污染治理升级改造。关中地区二氧化硫、氮氧化物、颗粒物、挥发性有机物（VOCs）全面执行大气污染物特别排放限值</w:t>
                  </w:r>
                </w:p>
              </w:tc>
              <w:tc>
                <w:tcPr>
                  <w:tcW w:w="1468" w:type="pct"/>
                  <w:tcBorders>
                    <w:tl2br w:val="nil"/>
                    <w:tr2bl w:val="nil"/>
                  </w:tcBorders>
                  <w:vAlign w:val="center"/>
                </w:tcPr>
                <w:p>
                  <w:pPr>
                    <w:adjustRightInd w:val="0"/>
                    <w:spacing w:line="360" w:lineRule="exact"/>
                    <w:jc w:val="left"/>
                    <w:rPr>
                      <w:rFonts w:ascii="Times New Roman" w:hAnsi="Times New Roman" w:cs="Times New Roman" w:hint="default"/>
                      <w:color w:val="auto"/>
                      <w:szCs w:val="21"/>
                    </w:rPr>
                  </w:pPr>
                  <w:r>
                    <w:rPr>
                      <w:rFonts w:ascii="Times New Roman" w:hAnsi="Times New Roman" w:cs="Times New Roman" w:hint="default"/>
                      <w:color w:val="auto"/>
                      <w:sz w:val="21"/>
                      <w:szCs w:val="21"/>
                    </w:rPr>
                    <w:t>项目废气执行《大气污染物综合排放标准》（GB16297-1996）中表二中相关标准及陕西省地方标准《锅炉大气污染物排放标准》（DB61/1226-2018）表5生物质锅炉大气污染物排放相关标准</w:t>
                  </w:r>
                </w:p>
              </w:tc>
              <w:tc>
                <w:tcPr>
                  <w:tcW w:w="298" w:type="pct"/>
                  <w:tcBorders>
                    <w:tl2br w:val="nil"/>
                    <w:tr2bl w:val="nil"/>
                  </w:tcBorders>
                  <w:vAlign w:val="center"/>
                </w:tcPr>
                <w:p>
                  <w:pPr>
                    <w:jc w:val="center"/>
                    <w:rPr>
                      <w:rFonts w:ascii="Times New Roman" w:hAnsi="Times New Roman" w:cs="Times New Roman" w:hint="default"/>
                      <w:color w:val="auto"/>
                      <w:szCs w:val="21"/>
                      <w:lang w:val="zh-CN"/>
                    </w:rPr>
                  </w:pPr>
                  <w:r>
                    <w:rPr>
                      <w:rFonts w:ascii="Times New Roman" w:hAnsi="Times New Roman" w:cs="Times New Roman" w:hint="default"/>
                      <w:color w:val="auto"/>
                      <w:sz w:val="21"/>
                      <w:szCs w:val="21"/>
                      <w:lang w:val="zh-CN"/>
                    </w:rPr>
                    <w:t>符合</w:t>
                  </w:r>
                </w:p>
              </w:tc>
            </w:tr>
            <w:tr>
              <w:tblPrEx>
                <w:tblW w:w="5000" w:type="pct"/>
                <w:jc w:val="center"/>
                <w:tblLayout w:type="fixed"/>
                <w:tblCellMar>
                  <w:top w:w="0" w:type="dxa"/>
                  <w:left w:w="108" w:type="dxa"/>
                  <w:bottom w:w="0" w:type="dxa"/>
                  <w:right w:w="108" w:type="dxa"/>
                </w:tblCellMar>
              </w:tblPrEx>
              <w:trPr>
                <w:trHeight w:val="1921"/>
                <w:jc w:val="center"/>
              </w:trPr>
              <w:tc>
                <w:tcPr>
                  <w:tcW w:w="999" w:type="pct"/>
                  <w:tcBorders>
                    <w:tl2br w:val="nil"/>
                    <w:tr2bl w:val="nil"/>
                  </w:tcBorders>
                  <w:vAlign w:val="center"/>
                </w:tcPr>
                <w:p>
                  <w:pPr>
                    <w:pStyle w:val="a12"/>
                    <w:bidi w:val="0"/>
                    <w:ind w:left="0" w:right="0" w:firstLine="0" w:leftChars="0" w:rightChars="0" w:firstLineChars="0"/>
                    <w:rPr>
                      <w:color w:val="auto"/>
                    </w:rPr>
                  </w:pPr>
                  <w:r>
                    <w:rPr>
                      <w:rFonts w:ascii="Times New Roman" w:eastAsia="宋体" w:hAnsi="Times New Roman" w:cs="Times New Roman" w:hint="default"/>
                      <w:color w:val="auto"/>
                      <w:lang w:val="en-US" w:eastAsia="zh-CN"/>
                    </w:rPr>
                    <w:t>《关于印发促进生物质能供热发展指导意见的通知》发改能源</w:t>
                  </w:r>
                  <w:r>
                    <w:rPr>
                      <w:rFonts w:ascii="Times New Roman" w:hAnsi="Times New Roman" w:cs="Times New Roman" w:hint="default"/>
                      <w:color w:val="auto"/>
                      <w:lang w:val="en-US" w:eastAsia="zh-CN"/>
                    </w:rPr>
                    <w:t>〔2017〕2123号</w:t>
                  </w:r>
                  <w:r>
                    <w:rPr>
                      <w:rFonts w:ascii="Times New Roman" w:hAnsi="Times New Roman" w:cs="Times New Roman" w:hint="default"/>
                      <w:color w:val="auto"/>
                      <w:lang w:eastAsia="zh-CN"/>
                    </w:rPr>
                    <w:t>）</w:t>
                  </w:r>
                </w:p>
              </w:tc>
              <w:tc>
                <w:tcPr>
                  <w:tcW w:w="2233" w:type="pct"/>
                  <w:tcBorders>
                    <w:tl2br w:val="nil"/>
                    <w:tr2bl w:val="nil"/>
                  </w:tcBorders>
                  <w:vAlign w:val="center"/>
                </w:tcPr>
                <w:p>
                  <w:pPr>
                    <w:pStyle w:val="a12"/>
                    <w:bidi w:val="0"/>
                    <w:ind w:left="0" w:right="0" w:firstLine="0" w:leftChars="0" w:rightChars="0" w:firstLineChars="0"/>
                    <w:rPr>
                      <w:color w:val="auto"/>
                      <w:shd w:val="clear" w:color="auto" w:fill="FFFFFF"/>
                    </w:rPr>
                  </w:pPr>
                  <w:r>
                    <w:rPr>
                      <w:rFonts w:ascii="Times New Roman" w:hAnsi="Times New Roman" w:cs="Times New Roman" w:hint="default"/>
                      <w:color w:val="auto"/>
                      <w:lang w:val="en-US" w:eastAsia="zh-CN"/>
                    </w:rPr>
                    <w:t>四、加快发展生物质锅炉供热（二）加快推进生物质成型燃料锅炉工业供热。在中小工业园区以及天然气管网覆盖不到的工业区，积极推广生物质成型燃料锅炉供热，重点是建设10蒸吨/小时以上的大型先进低排放生物质锅炉，为工业用户提供清洁经济的工业蒸汽，降低制造业、特别是中小企业用热成本。</w:t>
                  </w:r>
                </w:p>
              </w:tc>
              <w:tc>
                <w:tcPr>
                  <w:tcW w:w="1468" w:type="pct"/>
                  <w:tcBorders>
                    <w:tl2br w:val="nil"/>
                    <w:tr2bl w:val="nil"/>
                  </w:tcBorders>
                  <w:vAlign w:val="center"/>
                </w:tcPr>
                <w:p>
                  <w:pPr>
                    <w:pStyle w:val="a12"/>
                    <w:bidi w:val="0"/>
                    <w:ind w:left="0" w:right="0" w:firstLine="0" w:leftChars="0" w:rightChars="0" w:firstLineChars="0"/>
                    <w:rPr>
                      <w:rFonts w:eastAsiaTheme="minorEastAsia"/>
                      <w:color w:val="auto"/>
                    </w:rPr>
                  </w:pPr>
                  <w:r>
                    <w:rPr>
                      <w:rFonts w:ascii="Times New Roman" w:hAnsi="Times New Roman" w:cs="Times New Roman" w:hint="default"/>
                      <w:color w:val="auto"/>
                      <w:lang w:val="en-US" w:eastAsia="zh-CN"/>
                    </w:rPr>
                    <w:t>本项目位于</w:t>
                  </w:r>
                  <w:r>
                    <w:rPr>
                      <w:rFonts w:ascii="Times New Roman" w:hAnsi="Times New Roman" w:cs="Times New Roman" w:hint="default"/>
                      <w:color w:val="auto"/>
                      <w:sz w:val="21"/>
                      <w:szCs w:val="21"/>
                    </w:rPr>
                    <w:t>蒲城县兴镇兴罕路</w:t>
                  </w:r>
                  <w:r>
                    <w:rPr>
                      <w:rFonts w:ascii="Times New Roman" w:hAnsi="Times New Roman" w:cs="Times New Roman" w:hint="default"/>
                      <w:color w:val="auto"/>
                      <w:lang w:val="en-US" w:eastAsia="zh-CN"/>
                    </w:rPr>
                    <w:t>，属于天然气管网覆盖不到的非城市建成区，项目锅炉使用购买合格的生物质固体成型燃料。</w:t>
                  </w:r>
                </w:p>
              </w:tc>
              <w:tc>
                <w:tcPr>
                  <w:tcW w:w="298" w:type="pct"/>
                  <w:tcBorders>
                    <w:tl2br w:val="nil"/>
                    <w:tr2bl w:val="nil"/>
                  </w:tcBorders>
                  <w:vAlign w:val="center"/>
                </w:tcPr>
                <w:p>
                  <w:pPr>
                    <w:pStyle w:val="a12"/>
                    <w:bidi w:val="0"/>
                    <w:ind w:left="0" w:right="0" w:firstLine="0" w:leftChars="0" w:rightChars="0" w:firstLineChars="0"/>
                    <w:rPr>
                      <w:color w:val="auto"/>
                      <w:lang w:val="zh-CN"/>
                    </w:rPr>
                  </w:pPr>
                  <w:r>
                    <w:rPr>
                      <w:rFonts w:ascii="Times New Roman" w:hAnsi="Times New Roman" w:cs="Times New Roman" w:hint="default"/>
                      <w:color w:val="auto"/>
                      <w:lang w:val="en-US" w:eastAsia="zh-CN"/>
                    </w:rPr>
                    <w:t>符合</w:t>
                  </w:r>
                </w:p>
              </w:tc>
            </w:tr>
            <w:tr>
              <w:tblPrEx>
                <w:tblW w:w="5000" w:type="pct"/>
                <w:jc w:val="center"/>
                <w:tblLayout w:type="fixed"/>
                <w:tblCellMar>
                  <w:top w:w="0" w:type="dxa"/>
                  <w:left w:w="108" w:type="dxa"/>
                  <w:bottom w:w="0" w:type="dxa"/>
                  <w:right w:w="108" w:type="dxa"/>
                </w:tblCellMar>
              </w:tblPrEx>
              <w:trPr>
                <w:trHeight w:val="1921"/>
                <w:jc w:val="center"/>
              </w:trPr>
              <w:tc>
                <w:tcPr>
                  <w:tcW w:w="999" w:type="pct"/>
                  <w:tcBorders>
                    <w:tl2br w:val="nil"/>
                    <w:tr2bl w:val="nil"/>
                  </w:tcBorders>
                  <w:vAlign w:val="center"/>
                </w:tcPr>
                <w:p>
                  <w:pPr>
                    <w:pStyle w:val="a12"/>
                    <w:bidi w:val="0"/>
                    <w:ind w:left="0" w:right="0" w:firstLine="0" w:leftChars="0" w:rightChars="0" w:firstLineChars="0"/>
                    <w:rPr>
                      <w:rFonts w:eastAsia="宋体"/>
                      <w:color w:val="auto"/>
                    </w:rPr>
                  </w:pPr>
                  <w:r>
                    <w:rPr>
                      <w:rFonts w:ascii="Times New Roman" w:hAnsi="Times New Roman" w:cs="Times New Roman" w:hint="default"/>
                      <w:color w:val="auto"/>
                      <w:sz w:val="21"/>
                      <w:szCs w:val="21"/>
                    </w:rPr>
                    <w:t>《渭南市铁腕治霾打赢蓝天保卫战三年行动方案（2018-2020）》</w:t>
                  </w:r>
                </w:p>
              </w:tc>
              <w:tc>
                <w:tcPr>
                  <w:tcW w:w="2233" w:type="pct"/>
                  <w:tcBorders>
                    <w:tl2br w:val="nil"/>
                    <w:tr2bl w:val="nil"/>
                  </w:tcBorders>
                  <w:vAlign w:val="center"/>
                </w:tcPr>
                <w:p>
                  <w:pPr>
                    <w:adjustRightInd w:val="0"/>
                    <w:spacing w:line="360" w:lineRule="exact"/>
                    <w:jc w:val="both"/>
                    <w:rPr>
                      <w:rFonts w:ascii="Times New Roman" w:hAnsi="Times New Roman" w:cs="Times New Roman" w:hint="default"/>
                      <w:color w:val="auto"/>
                    </w:rPr>
                  </w:pPr>
                  <w:r>
                    <w:rPr>
                      <w:rFonts w:ascii="Times New Roman" w:hAnsi="Times New Roman" w:cs="Times New Roman" w:hint="default"/>
                      <w:color w:val="auto"/>
                      <w:sz w:val="21"/>
                      <w:szCs w:val="21"/>
                      <w:shd w:val="clear" w:color="auto" w:fill="FFFFFF"/>
                    </w:rPr>
                    <w:t>（二十二）加快发展清洁能源和新能源。有序发展水电，优化风能、太阳能开发布局，因地制宜发展生物质能、地热能等。在具备资源条件的地方，鼓励发展县域生物质热电联产、生物质成型燃料锅炉及生物天然气。加大可再生能源消纳力度，基本解决弃水、弃风、弃光问题。</w:t>
                  </w:r>
                </w:p>
              </w:tc>
              <w:tc>
                <w:tcPr>
                  <w:tcW w:w="1468" w:type="pct"/>
                  <w:tcBorders>
                    <w:tl2br w:val="nil"/>
                    <w:tr2bl w:val="nil"/>
                  </w:tcBorders>
                  <w:vAlign w:val="center"/>
                </w:tcPr>
                <w:p>
                  <w:pPr>
                    <w:adjustRightInd w:val="0"/>
                    <w:spacing w:line="360" w:lineRule="exact"/>
                    <w:jc w:val="left"/>
                    <w:rPr>
                      <w:rFonts w:ascii="Times New Roman" w:hAnsi="Times New Roman" w:cs="Times New Roman" w:hint="default"/>
                      <w:color w:val="auto"/>
                    </w:rPr>
                  </w:pPr>
                  <w:r>
                    <w:rPr>
                      <w:rFonts w:ascii="Times New Roman" w:hAnsi="Times New Roman" w:cs="Times New Roman" w:hint="eastAsia"/>
                      <w:color w:val="auto"/>
                      <w:sz w:val="21"/>
                      <w:szCs w:val="21"/>
                      <w:shd w:val="clear" w:color="auto" w:fill="FFFFFF"/>
                      <w:lang w:val="en-US" w:eastAsia="zh-CN"/>
                    </w:rPr>
                    <w:t>本项目地处蒲城县，每年果树修剪产生的果木资源丰富，生物质成型燃料供应充足，生物质锅炉的建设符合地方政策鼓励类，同时能有效缓解天然气资源的紧缺问题。</w:t>
                  </w:r>
                </w:p>
              </w:tc>
              <w:tc>
                <w:tcPr>
                  <w:tcW w:w="298" w:type="pct"/>
                  <w:tcBorders>
                    <w:tl2br w:val="nil"/>
                    <w:tr2bl w:val="nil"/>
                  </w:tcBorders>
                  <w:vAlign w:val="center"/>
                </w:tcPr>
                <w:p>
                  <w:pPr>
                    <w:rPr>
                      <w:rFonts w:ascii="Times New Roman" w:hAnsi="Times New Roman" w:cs="Times New Roman" w:hint="default"/>
                      <w:color w:val="auto"/>
                    </w:rPr>
                  </w:pPr>
                  <w:r>
                    <w:rPr>
                      <w:rFonts w:hint="eastAsia"/>
                      <w:color w:val="auto"/>
                      <w:lang w:val="en-US" w:eastAsia="zh-CN"/>
                    </w:rPr>
                    <w:t>符合</w:t>
                  </w:r>
                </w:p>
              </w:tc>
            </w:tr>
            <w:tr>
              <w:tblPrEx>
                <w:tblW w:w="5000" w:type="pct"/>
                <w:jc w:val="center"/>
                <w:tblLayout w:type="fixed"/>
                <w:tblCellMar>
                  <w:top w:w="0" w:type="dxa"/>
                  <w:left w:w="108" w:type="dxa"/>
                  <w:bottom w:w="0" w:type="dxa"/>
                  <w:right w:w="108" w:type="dxa"/>
                </w:tblCellMar>
              </w:tblPrEx>
              <w:trPr>
                <w:trHeight w:val="1921"/>
                <w:jc w:val="center"/>
              </w:trPr>
              <w:tc>
                <w:tcPr>
                  <w:tcW w:w="999" w:type="pct"/>
                  <w:tcBorders>
                    <w:tl2br w:val="nil"/>
                    <w:tr2bl w:val="nil"/>
                  </w:tcBorders>
                  <w:vAlign w:val="center"/>
                </w:tcPr>
                <w:p>
                  <w:pPr>
                    <w:pStyle w:val="a12"/>
                    <w:bidi w:val="0"/>
                    <w:spacing w:after="0"/>
                    <w:ind w:left="0" w:right="0" w:firstLine="0" w:leftChars="0" w:rightChars="0" w:firstLineChars="0"/>
                    <w:rPr>
                      <w:rFonts w:eastAsia="宋体"/>
                      <w:color w:val="auto"/>
                    </w:rPr>
                  </w:pPr>
                  <w:r>
                    <w:rPr>
                      <w:rFonts w:ascii="Times New Roman" w:hAnsi="Times New Roman" w:cs="Times New Roman" w:hint="default"/>
                      <w:color w:val="auto"/>
                    </w:rPr>
                    <w:t>《关于开展生物质成型燃料锅炉供热示范项目建设的通知》(国能新能[2014]295号)</w:t>
                  </w:r>
                  <w:r>
                    <w:rPr>
                      <w:rFonts w:ascii="Times New Roman" w:hAnsi="Times New Roman" w:cs="Times New Roman" w:hint="default"/>
                      <w:color w:val="auto"/>
                      <w:lang w:eastAsia="zh-CN"/>
                    </w:rPr>
                    <w:t>、</w:t>
                  </w:r>
                </w:p>
              </w:tc>
              <w:tc>
                <w:tcPr>
                  <w:tcW w:w="2233" w:type="pct"/>
                  <w:tcBorders>
                    <w:tl2br w:val="nil"/>
                    <w:tr2bl w:val="nil"/>
                  </w:tcBorders>
                  <w:vAlign w:val="center"/>
                </w:tcPr>
                <w:p>
                  <w:pPr>
                    <w:pStyle w:val="a12"/>
                    <w:bidi w:val="0"/>
                    <w:ind w:firstLine="0" w:firstLineChars="0"/>
                    <w:jc w:val="left"/>
                    <w:rPr>
                      <w:color w:val="auto"/>
                    </w:rPr>
                  </w:pPr>
                  <w:r>
                    <w:rPr>
                      <w:rFonts w:ascii="Times New Roman" w:hAnsi="Times New Roman" w:cs="Times New Roman" w:hint="default"/>
                      <w:color w:val="auto"/>
                      <w:lang w:val="en-US" w:eastAsia="zh-CN"/>
                    </w:rPr>
                    <w:t>当前，防治大气污染形势严峻，大量燃煤锅炉供热需用清洁能源替代。生物质成型燃料锅炉供热是低碳环保经济的分布式可再生能源供热方式，是替代燃煤燃重油等化石能源锅炉供热、应对大气污染的重要措施，发展空间和潜力较大。</w:t>
                  </w:r>
                </w:p>
              </w:tc>
              <w:tc>
                <w:tcPr>
                  <w:tcW w:w="1468" w:type="pct"/>
                  <w:tcBorders>
                    <w:tl2br w:val="nil"/>
                    <w:tr2bl w:val="nil"/>
                  </w:tcBorders>
                  <w:vAlign w:val="center"/>
                </w:tcPr>
                <w:p>
                  <w:pPr>
                    <w:pStyle w:val="a12"/>
                    <w:bidi w:val="0"/>
                    <w:ind w:left="0" w:right="0" w:leftChars="0" w:rightChars="0"/>
                    <w:rPr>
                      <w:color w:val="auto"/>
                    </w:rPr>
                  </w:pPr>
                  <w:r>
                    <w:rPr>
                      <w:rFonts w:ascii="Times New Roman" w:eastAsia="宋体" w:hAnsi="Times New Roman" w:cs="Times New Roman" w:hint="default"/>
                      <w:color w:val="auto"/>
                      <w:lang w:val="en-US" w:eastAsia="zh-CN"/>
                    </w:rPr>
                    <w:t>项目使用生物质成型燃料锅炉及</w:t>
                  </w:r>
                  <w:r>
                    <w:rPr>
                      <w:rFonts w:ascii="Times New Roman" w:hAnsi="Times New Roman" w:cs="Times New Roman" w:hint="default"/>
                      <w:color w:val="auto"/>
                      <w:lang w:val="en-US" w:eastAsia="zh-CN"/>
                    </w:rPr>
                    <w:t>生物质固体成型燃料</w:t>
                  </w:r>
                </w:p>
              </w:tc>
              <w:tc>
                <w:tcPr>
                  <w:tcW w:w="298" w:type="pct"/>
                  <w:tcBorders>
                    <w:tl2br w:val="nil"/>
                    <w:tr2bl w:val="nil"/>
                  </w:tcBorders>
                  <w:vAlign w:val="center"/>
                </w:tcPr>
                <w:p>
                  <w:pPr>
                    <w:pStyle w:val="a12"/>
                    <w:bidi w:val="0"/>
                    <w:ind w:left="0" w:right="0" w:firstLine="0" w:leftChars="0" w:rightChars="0" w:firstLineChars="0"/>
                    <w:rPr>
                      <w:color w:val="auto"/>
                    </w:rPr>
                  </w:pPr>
                  <w:r>
                    <w:rPr>
                      <w:rFonts w:ascii="Times New Roman" w:hAnsi="Times New Roman" w:cs="Times New Roman" w:hint="default"/>
                      <w:color w:val="auto"/>
                      <w:lang w:val="en-US" w:eastAsia="zh-CN"/>
                    </w:rPr>
                    <w:t>符合</w:t>
                  </w:r>
                </w:p>
              </w:tc>
            </w:tr>
          </w:tbl>
          <w:p/>
        </w:tc>
      </w:tr>
    </w:tbl>
    <w:p>
      <w:pPr>
        <w:sectPr>
          <w:footerReference w:type="default" r:id="rId8"/>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4"/>
          <w:cols w:num="1" w:space="425"/>
          <w:titlePg w:val="0"/>
          <w:docGrid w:type="lines" w:linePitch="312" w:charSpace="0"/>
        </w:sectPr>
      </w:pP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741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1672"/>
          <w:jc w:val="center"/>
        </w:trPr>
        <w:tc>
          <w:tcPr>
            <w:tcW w:w="1453" w:type="dxa"/>
            <w:tcBorders>
              <w:top w:val="single" w:sz="4" w:space="0" w:color="auto"/>
              <w:left w:val="single" w:sz="8" w:space="0" w:color="auto"/>
              <w:bottom w:val="single" w:sz="8" w:space="0" w:color="auto"/>
              <w:right w:val="single" w:sz="4" w:space="0" w:color="auto"/>
            </w:tcBorders>
            <w:shd w:val="clear" w:color="auto" w:fill="auto"/>
            <w:tcMar>
              <w:left w:w="108" w:type="dxa"/>
              <w:right w:w="108" w:type="dxa"/>
            </w:tcMar>
            <w:vAlign w:val="center"/>
          </w:tcPr>
          <w:p/>
        </w:tc>
        <w:tc>
          <w:tcPr>
            <w:tcW w:w="7417" w:type="dxa"/>
            <w:tcBorders>
              <w:top w:val="single" w:sz="4" w:space="0" w:color="auto"/>
              <w:left w:val="single" w:sz="4" w:space="0" w:color="auto"/>
              <w:bottom w:val="single" w:sz="8" w:space="0" w:color="auto"/>
              <w:right w:val="single" w:sz="8" w:space="0" w:color="auto"/>
            </w:tcBorders>
            <w:shd w:val="clear" w:color="auto" w:fill="auto"/>
            <w:tcMar>
              <w:left w:w="108" w:type="dxa"/>
              <w:right w:w="108" w:type="dxa"/>
            </w:tcMar>
            <w:vAlign w:val="center"/>
          </w:tcPr>
          <w:tbl>
            <w:tblPr>
              <w:tblStyle w:val="TableNormal"/>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433"/>
              <w:gridCol w:w="3204"/>
              <w:gridCol w:w="2107"/>
              <w:gridCol w:w="427"/>
            </w:tblGrid>
            <w:tr>
              <w:tblPrEx>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rPr>
                <w:trHeight w:val="1921"/>
                <w:jc w:val="center"/>
              </w:trPr>
              <w:tc>
                <w:tcPr>
                  <w:tcW w:w="999" w:type="pct"/>
                  <w:vMerge w:val="restart"/>
                  <w:tcBorders>
                    <w:tl2br w:val="nil"/>
                    <w:tr2bl w:val="nil"/>
                  </w:tcBorders>
                  <w:vAlign w:val="center"/>
                </w:tcPr>
                <w:p>
                  <w:pPr>
                    <w:pStyle w:val="a12"/>
                    <w:bidi w:val="0"/>
                    <w:spacing w:before="0"/>
                    <w:ind w:left="0" w:right="0" w:firstLine="0" w:leftChars="0" w:rightChars="0" w:firstLineChars="0"/>
                    <w:rPr>
                      <w:rFonts w:eastAsia="宋体"/>
                      <w:color w:val="auto"/>
                    </w:rPr>
                  </w:pPr>
                  <w:r>
                    <w:rPr>
                      <w:rFonts w:ascii="Times New Roman" w:hAnsi="Times New Roman" w:cs="Times New Roman" w:hint="default"/>
                      <w:color w:val="auto"/>
                    </w:rPr>
                    <w:t>《关于加强生物质成型燃料锅炉供热示范项目建设管理工作有关要求的通知》(国能新能[2014]520号)</w:t>
                  </w:r>
                </w:p>
              </w:tc>
              <w:tc>
                <w:tcPr>
                  <w:tcW w:w="2233" w:type="pct"/>
                  <w:tcBorders>
                    <w:tl2br w:val="nil"/>
                    <w:tr2bl w:val="nil"/>
                  </w:tcBorders>
                  <w:vAlign w:val="center"/>
                </w:tcPr>
                <w:p>
                  <w:pPr>
                    <w:pStyle w:val="a12"/>
                    <w:bidi w:val="0"/>
                    <w:ind w:firstLine="0" w:firstLineChars="0"/>
                    <w:jc w:val="left"/>
                    <w:rPr>
                      <w:color w:val="auto"/>
                    </w:rPr>
                  </w:pPr>
                  <w:r>
                    <w:rPr>
                      <w:rFonts w:ascii="Times New Roman" w:hAnsi="Times New Roman" w:cs="Times New Roman" w:hint="default"/>
                      <w:color w:val="auto"/>
                      <w:lang w:val="en-US" w:eastAsia="zh-CN"/>
                    </w:rPr>
                    <w:t>(一)打造低碳的新型可再生能源热力产业。通过示范建设，打造以低碳为特征的新型分布式可再生能源热力产业。建立生物质原料收集运输、成型燃料生产、生物质锅炉建设和热力服务于一体的产业体系，扩大生物质成型燃料锅炉供热市场，培育一批新型企业，加快发展生物质能供热新型产业。示范项目建成后，新增产值80亿元。</w:t>
                  </w:r>
                </w:p>
                <w:p>
                  <w:pPr>
                    <w:pStyle w:val="a12"/>
                    <w:bidi w:val="0"/>
                    <w:ind w:left="0" w:right="0" w:firstLine="0" w:leftChars="0" w:rightChars="0" w:firstLineChars="0"/>
                    <w:jc w:val="left"/>
                    <w:rPr>
                      <w:color w:val="auto"/>
                    </w:rPr>
                  </w:pPr>
                  <w:r>
                    <w:rPr>
                      <w:rFonts w:ascii="Times New Roman" w:hAnsi="Times New Roman" w:cs="Times New Roman" w:hint="default"/>
                      <w:color w:val="auto"/>
                      <w:lang w:val="en-US" w:eastAsia="zh-CN"/>
                    </w:rPr>
                    <w:t>(二)形成一定的可再生能源供热能力。示范项目建成后，替代化石能源供热120万吨标煤。其中，生物质成型燃料锅炉民用供热面积超过600万平方米，工业供热超过1800蒸吨/小时，减少CO2排放超过500万吨、SO2排放超过5万吨。</w:t>
                  </w:r>
                </w:p>
              </w:tc>
              <w:tc>
                <w:tcPr>
                  <w:tcW w:w="1468" w:type="pct"/>
                  <w:vMerge w:val="restart"/>
                  <w:tcBorders>
                    <w:tl2br w:val="nil"/>
                    <w:tr2bl w:val="nil"/>
                  </w:tcBorders>
                  <w:vAlign w:val="center"/>
                </w:tcPr>
                <w:p/>
              </w:tc>
              <w:tc>
                <w:tcPr>
                  <w:tcW w:w="298" w:type="pct"/>
                  <w:vMerge w:val="restart"/>
                  <w:tcBorders>
                    <w:tl2br w:val="nil"/>
                    <w:tr2bl w:val="nil"/>
                  </w:tcBorders>
                  <w:vAlign w:val="center"/>
                </w:tcPr>
                <w:p/>
              </w:tc>
            </w:tr>
            <w:tr>
              <w:tblPrEx>
                <w:tblW w:w="5000" w:type="pct"/>
                <w:jc w:val="center"/>
                <w:tblLayout w:type="fixed"/>
                <w:tblCellMar>
                  <w:top w:w="0" w:type="dxa"/>
                  <w:left w:w="108" w:type="dxa"/>
                  <w:bottom w:w="0" w:type="dxa"/>
                  <w:right w:w="108" w:type="dxa"/>
                </w:tblCellMar>
              </w:tblPrEx>
              <w:trPr>
                <w:trHeight w:val="2560"/>
                <w:jc w:val="center"/>
              </w:trPr>
              <w:tc>
                <w:tcPr>
                  <w:tcW w:w="999" w:type="pct"/>
                  <w:vMerge/>
                  <w:tcBorders>
                    <w:tl2br w:val="nil"/>
                    <w:tr2bl w:val="nil"/>
                  </w:tcBorders>
                  <w:vAlign w:val="center"/>
                </w:tcPr>
                <w:p>
                  <w:pPr>
                    <w:pStyle w:val="a12"/>
                    <w:bidi w:val="0"/>
                    <w:ind w:left="0" w:right="0" w:firstLine="0" w:leftChars="0" w:rightChars="0" w:firstLineChars="0"/>
                    <w:rPr>
                      <w:rFonts w:eastAsia="宋体"/>
                      <w:color w:val="auto"/>
                    </w:rPr>
                  </w:pPr>
                </w:p>
              </w:tc>
              <w:tc>
                <w:tcPr>
                  <w:tcW w:w="2233" w:type="pct"/>
                  <w:tcBorders>
                    <w:tl2br w:val="nil"/>
                    <w:tr2bl w:val="nil"/>
                  </w:tcBorders>
                  <w:vAlign w:val="center"/>
                </w:tcPr>
                <w:p>
                  <w:pPr>
                    <w:pStyle w:val="a12"/>
                    <w:bidi w:val="0"/>
                    <w:ind w:firstLine="0" w:firstLineChars="0"/>
                    <w:jc w:val="left"/>
                    <w:rPr>
                      <w:color w:val="auto"/>
                    </w:rPr>
                  </w:pPr>
                  <w:r>
                    <w:rPr>
                      <w:rFonts w:ascii="Times New Roman" w:hAnsi="Times New Roman" w:cs="Times New Roman" w:hint="default"/>
                      <w:color w:val="auto"/>
                      <w:lang w:val="en-US" w:eastAsia="zh-CN"/>
                    </w:rPr>
                    <w:t>四、保障措施</w:t>
                  </w:r>
                </w:p>
                <w:p>
                  <w:pPr>
                    <w:pStyle w:val="a12"/>
                    <w:bidi w:val="0"/>
                    <w:ind w:left="0" w:right="0" w:firstLine="0" w:leftChars="0" w:rightChars="0" w:firstLineChars="0"/>
                    <w:jc w:val="left"/>
                    <w:rPr>
                      <w:color w:val="auto"/>
                    </w:rPr>
                  </w:pPr>
                  <w:r>
                    <w:rPr>
                      <w:rFonts w:ascii="Times New Roman" w:hAnsi="Times New Roman" w:cs="Times New Roman" w:hint="default"/>
                      <w:color w:val="auto"/>
                      <w:lang w:val="en-US" w:eastAsia="zh-CN"/>
                    </w:rPr>
                    <w:t>(二)各省(区、市)发展改革委、能源局及各省级环保部门要积极推动生物质成型燃料锅炉供热在化工、机械、医药、食品、饮料、造纸、印染等用热消费大的工业领域以及民用供暖的应用，优先在这些领域开展示范项目建设。</w:t>
                  </w:r>
                </w:p>
              </w:tc>
              <w:tc>
                <w:tcPr>
                  <w:tcW w:w="1468" w:type="pct"/>
                  <w:vMerge/>
                  <w:tcBorders>
                    <w:tl2br w:val="nil"/>
                    <w:tr2bl w:val="nil"/>
                  </w:tcBorders>
                  <w:vAlign w:val="center"/>
                </w:tcPr>
                <w:p>
                  <w:pPr>
                    <w:pStyle w:val="a12"/>
                    <w:bidi w:val="0"/>
                    <w:ind w:left="0" w:right="0" w:firstLine="0" w:leftChars="0" w:rightChars="0" w:firstLineChars="0"/>
                    <w:rPr>
                      <w:color w:val="auto"/>
                    </w:rPr>
                  </w:pPr>
                </w:p>
              </w:tc>
              <w:tc>
                <w:tcPr>
                  <w:tcW w:w="298" w:type="pct"/>
                  <w:vMerge/>
                  <w:tcBorders>
                    <w:tl2br w:val="nil"/>
                    <w:tr2bl w:val="nil"/>
                  </w:tcBorders>
                  <w:vAlign w:val="center"/>
                </w:tcPr>
                <w:p>
                  <w:pPr>
                    <w:pStyle w:val="a12"/>
                    <w:bidi w:val="0"/>
                    <w:ind w:left="0" w:right="0" w:firstLine="0" w:leftChars="0" w:rightChars="0" w:firstLineChars="0"/>
                    <w:rPr>
                      <w:color w:val="auto"/>
                    </w:rPr>
                  </w:pPr>
                </w:p>
              </w:tc>
            </w:tr>
          </w:tbl>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（3）“三线一单”符合性分析</w:t>
            </w:r>
          </w:p>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项目与“三线一单”的符合性对照分析见表1-3。</w:t>
            </w:r>
          </w:p>
          <w:p>
            <w:pPr>
              <w:pStyle w:val="a11"/>
              <w:rPr>
                <w:rFonts w:cs="Times New Roman" w:hint="default"/>
                <w:bCs/>
                <w:color w:val="auto"/>
                <w:sz w:val="21"/>
                <w:lang w:val="zh-CN"/>
              </w:rPr>
            </w:pPr>
          </w:p>
          <w:p>
            <w:pPr>
              <w:pStyle w:val="a11"/>
              <w:rPr>
                <w:rFonts w:cs="Times New Roman" w:hint="default"/>
                <w:bCs/>
                <w:color w:val="auto"/>
                <w:sz w:val="21"/>
                <w:lang w:val="zh-CN"/>
              </w:rPr>
            </w:pPr>
          </w:p>
          <w:p>
            <w:pPr>
              <w:pStyle w:val="a11"/>
              <w:rPr>
                <w:rFonts w:cs="Times New Roman" w:hint="default"/>
                <w:bCs/>
                <w:color w:val="auto"/>
                <w:sz w:val="21"/>
                <w:lang w:val="zh-CN"/>
              </w:rPr>
            </w:pPr>
            <w:r>
              <w:rPr>
                <w:rFonts w:ascii="Times New Roman" w:hAnsi="Times New Roman" w:cs="Times New Roman" w:hint="default"/>
                <w:bCs/>
                <w:color w:val="auto"/>
                <w:sz w:val="21"/>
                <w:szCs w:val="21"/>
                <w:lang w:val="zh-CN"/>
              </w:rPr>
              <w:t>表</w:t>
            </w:r>
            <w:r>
              <w:rPr>
                <w:rFonts w:ascii="Times New Roman" w:hAnsi="Times New Roman" w:cs="Times New Roman" w:hint="default"/>
                <w:bCs/>
                <w:color w:val="auto"/>
                <w:sz w:val="21"/>
                <w:szCs w:val="21"/>
              </w:rPr>
              <w:t xml:space="preserve">1-3  </w:t>
            </w:r>
            <w:r>
              <w:rPr>
                <w:rFonts w:ascii="Times New Roman" w:hAnsi="Times New Roman" w:cs="Times New Roman" w:hint="default"/>
                <w:bCs/>
                <w:color w:val="auto"/>
                <w:sz w:val="21"/>
                <w:szCs w:val="21"/>
                <w:lang w:val="zh-CN"/>
              </w:rPr>
              <w:t>项目与“三线一单”符合性对照一览表</w:t>
            </w:r>
          </w:p>
          <w:tbl>
            <w:tblPr>
              <w:tblStyle w:val="TableNormal"/>
              <w:tblW w:w="7087"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609"/>
              <w:gridCol w:w="5478"/>
            </w:tblGrid>
            <w:tr>
              <w:tblPrEx>
                <w:tblW w:w="7087"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1430"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“三线一单”</w:t>
                  </w:r>
                </w:p>
              </w:tc>
              <w:tc>
                <w:tcPr>
                  <w:tcW w:w="4868"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符合性</w:t>
                  </w:r>
                </w:p>
              </w:tc>
            </w:tr>
            <w:tr>
              <w:tblPrEx>
                <w:tblW w:w="7087" w:type="dxa"/>
                <w:tblInd w:w="0" w:type="dxa"/>
                <w:tblLayout w:type="fixed"/>
                <w:tblCellMar>
                  <w:top w:w="0" w:type="dxa"/>
                  <w:left w:w="108" w:type="dxa"/>
                  <w:bottom w:w="0" w:type="dxa"/>
                  <w:right w:w="108" w:type="dxa"/>
                </w:tblCellMar>
              </w:tblPrEx>
              <w:tc>
                <w:tcPr>
                  <w:tcW w:w="1430"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生态保护红线</w:t>
                  </w:r>
                </w:p>
              </w:tc>
              <w:tc>
                <w:tcPr>
                  <w:tcW w:w="4868"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本项目所在地属于蒲城县兴镇兴罕路，根据项目土地证可知（见附件3），项目用地为工业用地，不触及生态保护红线</w:t>
                  </w:r>
                </w:p>
              </w:tc>
            </w:tr>
          </w:tbl>
          <w:p/>
        </w:tc>
      </w:tr>
    </w:tbl>
    <w:p>
      <w:pPr>
        <w:sectPr>
          <w:footerReference w:type="default" r:id="rId9"/>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5"/>
          <w:cols w:num="1" w:space="425"/>
          <w:titlePg w:val="0"/>
          <w:docGrid w:type="lines" w:linePitch="312" w:charSpace="0"/>
        </w:sectPr>
      </w:pPr>
    </w:p>
    <w:tbl>
      <w:tblPr>
        <w:tblStyle w:val="TableNormal"/>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
      <w:tblGrid>
        <w:gridCol w:w="1453"/>
        <w:gridCol w:w="7417"/>
      </w:tblGrid>
      <w:tr>
        <w:tblPrEx>
          <w:tblW w:w="887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0" w:type="dxa"/>
            <w:bottom w:w="0" w:type="dxa"/>
            <w:right w:w="0" w:type="dxa"/>
          </w:tblCellMar>
        </w:tblPrEx>
        <w:trPr>
          <w:trHeight w:val="1672"/>
          <w:jc w:val="center"/>
        </w:trPr>
        <w:tc>
          <w:tcPr>
            <w:tcW w:w="1453" w:type="dxa"/>
            <w:tcBorders>
              <w:top w:val="single" w:sz="4" w:space="0" w:color="auto"/>
              <w:left w:val="single" w:sz="8" w:space="0" w:color="auto"/>
              <w:bottom w:val="single" w:sz="8" w:space="0" w:color="auto"/>
              <w:right w:val="single" w:sz="4" w:space="0" w:color="auto"/>
            </w:tcBorders>
            <w:shd w:val="clear" w:color="auto" w:fill="auto"/>
            <w:tcMar>
              <w:left w:w="108" w:type="dxa"/>
              <w:right w:w="108" w:type="dxa"/>
            </w:tcMar>
            <w:vAlign w:val="center"/>
          </w:tcPr>
          <w:p/>
        </w:tc>
        <w:tc>
          <w:tcPr>
            <w:tcW w:w="7417" w:type="dxa"/>
            <w:tcBorders>
              <w:top w:val="single" w:sz="4" w:space="0" w:color="auto"/>
              <w:left w:val="single" w:sz="4" w:space="0" w:color="auto"/>
              <w:bottom w:val="single" w:sz="8" w:space="0" w:color="auto"/>
              <w:right w:val="single" w:sz="8" w:space="0" w:color="auto"/>
            </w:tcBorders>
            <w:shd w:val="clear" w:color="auto" w:fill="auto"/>
            <w:tcMar>
              <w:left w:w="108" w:type="dxa"/>
              <w:right w:w="108" w:type="dxa"/>
            </w:tcMar>
            <w:vAlign w:val="center"/>
          </w:tcPr>
          <w:tbl>
            <w:tblPr>
              <w:tblStyle w:val="TableNormal"/>
              <w:tblW w:w="7087"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609"/>
              <w:gridCol w:w="5478"/>
            </w:tblGrid>
            <w:tr>
              <w:tblPrEx>
                <w:tblW w:w="7087" w:type="dxa"/>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Ex>
              <w:tc>
                <w:tcPr>
                  <w:tcW w:w="1430"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环境质量底线</w:t>
                  </w:r>
                </w:p>
              </w:tc>
              <w:tc>
                <w:tcPr>
                  <w:tcW w:w="4868"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本项目周边大气、地下水、声环境质量现状均能达到环境质量目标，区域环境质量现状良好：根据环境影响分析，若能依照本环评要求的措施合理处置各项污染物，则本项目在建设阶段及生产运行阶段，各项污染物对周边的影响较小，不触及环境质量底线</w:t>
                  </w:r>
                </w:p>
              </w:tc>
            </w:tr>
            <w:tr>
              <w:tblPrEx>
                <w:tblW w:w="7087" w:type="dxa"/>
                <w:tblInd w:w="0" w:type="dxa"/>
                <w:tblLayout w:type="fixed"/>
                <w:tblCellMar>
                  <w:top w:w="0" w:type="dxa"/>
                  <w:left w:w="108" w:type="dxa"/>
                  <w:bottom w:w="0" w:type="dxa"/>
                  <w:right w:w="108" w:type="dxa"/>
                </w:tblCellMar>
              </w:tblPrEx>
              <w:tc>
                <w:tcPr>
                  <w:tcW w:w="1430"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资源利用上限</w:t>
                  </w:r>
                </w:p>
              </w:tc>
              <w:tc>
                <w:tcPr>
                  <w:tcW w:w="4868"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本项目原辅材料及能源消耗合理分配，不触及资源利用上线</w:t>
                  </w:r>
                </w:p>
              </w:tc>
            </w:tr>
            <w:tr>
              <w:tblPrEx>
                <w:tblW w:w="7087" w:type="dxa"/>
                <w:tblInd w:w="0" w:type="dxa"/>
                <w:tblLayout w:type="fixed"/>
                <w:tblCellMar>
                  <w:top w:w="0" w:type="dxa"/>
                  <w:left w:w="108" w:type="dxa"/>
                  <w:bottom w:w="0" w:type="dxa"/>
                  <w:right w:w="108" w:type="dxa"/>
                </w:tblCellMar>
              </w:tblPrEx>
              <w:tc>
                <w:tcPr>
                  <w:tcW w:w="1430"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负面清单</w:t>
                  </w:r>
                </w:p>
              </w:tc>
              <w:tc>
                <w:tcPr>
                  <w:tcW w:w="4868" w:type="dxa"/>
                  <w:tcBorders>
                    <w:tl2br w:val="nil"/>
                    <w:tr2bl w:val="nil"/>
                  </w:tcBorders>
                  <w:noWrap/>
                  <w:vAlign w:val="center"/>
                </w:tcPr>
                <w:p>
                  <w:pPr>
                    <w:rPr>
                      <w:rFonts w:ascii="Times New Roman" w:hAnsi="Times New Roman" w:cs="Times New Roman" w:hint="default"/>
                      <w:color w:val="auto"/>
                      <w:szCs w:val="21"/>
                    </w:rPr>
                  </w:pPr>
                  <w:r>
                    <w:rPr>
                      <w:rFonts w:ascii="Times New Roman" w:hAnsi="Times New Roman" w:cs="Times New Roman" w:hint="default"/>
                      <w:color w:val="auto"/>
                      <w:sz w:val="21"/>
                      <w:szCs w:val="21"/>
                    </w:rPr>
                    <w:t>本项目不属于国家限制类和淘汰类项目，该项目建设属于允许类项目，符合国家现行有关产业政策，不属于负面清单内禁止新建、扩建产业</w:t>
                  </w:r>
                </w:p>
              </w:tc>
            </w:tr>
          </w:tbl>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（4）选址符合性</w:t>
            </w:r>
          </w:p>
          <w:p>
            <w:pPr>
              <w:spacing w:line="360" w:lineRule="auto"/>
              <w:ind w:firstLine="482"/>
              <w:rPr>
                <w:rFonts w:ascii="Times New Roman" w:hAnsi="Times New Roman" w:cs="Times New Roman" w:hint="default"/>
                <w:color w:val="auto"/>
                <w:szCs w:val="21"/>
              </w:rPr>
            </w:pPr>
            <w:r>
              <w:rPr>
                <w:rFonts w:ascii="Times New Roman" w:hAnsi="Times New Roman" w:cs="Times New Roman" w:hint="default"/>
                <w:color w:val="auto"/>
                <w:sz w:val="21"/>
                <w:szCs w:val="21"/>
              </w:rPr>
              <w:t>本项目选址位于蒲城县兴镇兴罕路，根据项目土地证可知（见附件3），项目用地为工业用地。本项目所在地电力、供水等基础设施完善，交通便利。本项目所在区域不属于饮用水源保护区、风景名胜区、自然保护区和其他需要特别保护的区域范围内，满足生态功能保护要求。项目在采取环保措施后不会对敏感点及当地的环境质量造成明显的不利影响。因此，本项目选址合理。</w:t>
            </w: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p>
            <w:pPr>
              <w:rPr>
                <w:rFonts w:ascii="Times New Roman" w:hAnsi="Times New Roman" w:cs="Times New Roman" w:hint="default"/>
                <w:color w:val="auto"/>
                <w:szCs w:val="21"/>
              </w:rPr>
            </w:pPr>
          </w:p>
          <w:p>
            <w:pPr>
              <w:pStyle w:val="a"/>
              <w:rPr>
                <w:rFonts w:ascii="Times New Roman" w:hint="default"/>
                <w:color w:val="auto"/>
                <w:sz w:val="21"/>
                <w:szCs w:val="21"/>
              </w:rPr>
            </w:pPr>
          </w:p>
        </w:tc>
      </w:tr>
    </w:tbl>
    <w:p>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0" w:history="1">
        <w:r>
          <w:rPr>
            <w:rFonts w:ascii="SimSun" w:eastAsia="SimSun" w:hAnsi="SimSun" w:cs="SimSun"/>
            <w:b/>
            <w:bCs/>
            <w:color w:val="0000EE"/>
            <w:kern w:val="0"/>
            <w:sz w:val="30"/>
            <w:szCs w:val="30"/>
            <w:u w:val="single" w:color="0000EE"/>
          </w:rPr>
          <w:t>https://d.book118.com/857022004145006054</w:t>
        </w:r>
      </w:hyperlink>
    </w:p>
    <w:p/>
    <w:sectPr>
      <w:footerReference w:type="default" r:id="rId11"/>
      <w:type w:val="nextPage"/>
      <w:pgSz w:w="11906" w:h="16838"/>
      <w:pgMar w:top="1702" w:right="1531" w:bottom="1702" w:left="1531" w:header="851" w:footer="1077" w:gutter="0"/>
      <w:pgBorders>
        <w:top w:val="none" w:sz="0" w:space="0" w:color="auto"/>
        <w:left w:val="none" w:sz="0" w:space="0" w:color="auto"/>
        <w:bottom w:val="none" w:sz="0" w:space="0" w:color="auto"/>
        <w:right w:val="none" w:sz="0" w:space="0" w:color="auto"/>
      </w:pgBorders>
      <w:pgNumType w:start="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auto"/>
    <w:pitch w:val="default"/>
    <w:sig w:usb0="E0002EFF" w:usb1="C000785B" w:usb2="00000009" w:usb3="00000000" w:csb0="4004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1"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汉鼎简老宋">
    <w:altName w:val="宋体"/>
    <w:panose1 w:val="00000000000000000000"/>
    <w:charset w:val="86"/>
    <w:family w:val="moder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7543366"/>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40051988"/>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609"/>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60723"/>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4</w:t>
        </w:r>
        <w:r>
          <w:rPr>
            <w:rFonts w:ascii="Times New Roman" w:hAnsi="Times New Roman" w:cs="Times New Roman"/>
          </w:rPr>
          <w:fldChar w:fldCharType="end"/>
        </w:r>
      </w:p>
    </w:sdtContent>
  </w:sdt>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1592735"/>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5</w:t>
        </w:r>
        <w:r>
          <w:rPr>
            <w:rFonts w:ascii="Times New Roman" w:hAnsi="Times New Roman" w:cs="Times New Roman"/>
          </w:rPr>
          <w:fldChar w:fldCharType="end"/>
        </w:r>
      </w:p>
    </w:sdtContent>
  </w:sdt>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41863945"/>
      <w:richText/>
    </w:sdtPr>
    <w:sdtContent>
      <w:p>
        <w:pPr>
          <w:pStyle w:val="Footer"/>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7</w:t>
        </w:r>
        <w:r>
          <w:rPr>
            <w:rFonts w:ascii="Times New Roman" w:hAnsi="Times New Roman" w:cs="Times New Roman"/>
          </w:rPr>
          <w:fldChar w:fldCharType="end"/>
        </w:r>
      </w:p>
    </w:sdtContent>
  </w:sdt>
  <w:p>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6F9464"/>
    <w:multiLevelType w:val="singleLevel"/>
    <w:tmpl w:val="366F9464"/>
    <w:lvl w:ilvl="0">
      <w:start w:val="1"/>
      <w:numFmt w:val="bullet"/>
      <w:pStyle w:val="ListBullet5"/>
      <w:lvlText w:val=""/>
      <w:lvlJc w:val="left"/>
      <w:pPr>
        <w:tabs>
          <w:tab w:val="left" w:pos="2040"/>
        </w:tabs>
        <w:ind w:left="2040" w:hanging="360"/>
      </w:pPr>
      <w:rPr>
        <w:rFonts w:ascii="Wingdings" w:hAnsi="Wingdings" w:hint="default"/>
      </w:rPr>
    </w:lvl>
  </w:abstractNum>
  <w:abstractNum w:abstractNumId="1">
    <w:nsid w:val="438C1799"/>
    <w:multiLevelType w:val="singleLevel"/>
    <w:tmpl w:val="438C1799"/>
    <w:lvl w:ilvl="0">
      <w:start w:val="1"/>
      <w:numFmt w:val="decimal"/>
      <w:suff w:val="nothing"/>
      <w:lvlText w:val="（%1）"/>
      <w:lvlJc w:val="left"/>
    </w:lvl>
  </w:abstractNum>
  <w:abstractNum w:abstractNumId="2">
    <w:nsid w:val="7892DAC3"/>
    <w:multiLevelType w:val="singleLevel"/>
    <w:tmpl w:val="7892DAC3"/>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A81943"/>
    <w:rsid w:val="00016366"/>
    <w:rsid w:val="00032B34"/>
    <w:rsid w:val="000418C8"/>
    <w:rsid w:val="00115341"/>
    <w:rsid w:val="0012778B"/>
    <w:rsid w:val="00131776"/>
    <w:rsid w:val="00154F12"/>
    <w:rsid w:val="00166CA6"/>
    <w:rsid w:val="00171832"/>
    <w:rsid w:val="00184779"/>
    <w:rsid w:val="001877AC"/>
    <w:rsid w:val="001B4DC9"/>
    <w:rsid w:val="001C40E2"/>
    <w:rsid w:val="001C66B3"/>
    <w:rsid w:val="0021185D"/>
    <w:rsid w:val="00221550"/>
    <w:rsid w:val="0025397D"/>
    <w:rsid w:val="00265DC2"/>
    <w:rsid w:val="002849B9"/>
    <w:rsid w:val="002E5C59"/>
    <w:rsid w:val="0031514D"/>
    <w:rsid w:val="00330371"/>
    <w:rsid w:val="00371218"/>
    <w:rsid w:val="003848CC"/>
    <w:rsid w:val="003943CD"/>
    <w:rsid w:val="003B7FF4"/>
    <w:rsid w:val="003C39FC"/>
    <w:rsid w:val="00402A16"/>
    <w:rsid w:val="004763AC"/>
    <w:rsid w:val="00484078"/>
    <w:rsid w:val="004A2E30"/>
    <w:rsid w:val="004C3AB9"/>
    <w:rsid w:val="0052140F"/>
    <w:rsid w:val="00531130"/>
    <w:rsid w:val="00541E73"/>
    <w:rsid w:val="005832CC"/>
    <w:rsid w:val="00584DC6"/>
    <w:rsid w:val="0058697A"/>
    <w:rsid w:val="005922F3"/>
    <w:rsid w:val="005D57DB"/>
    <w:rsid w:val="00645C0E"/>
    <w:rsid w:val="006A10AF"/>
    <w:rsid w:val="006F1C78"/>
    <w:rsid w:val="006F5046"/>
    <w:rsid w:val="007335B0"/>
    <w:rsid w:val="00734CBA"/>
    <w:rsid w:val="00737BF7"/>
    <w:rsid w:val="007B13D3"/>
    <w:rsid w:val="00860E8C"/>
    <w:rsid w:val="008C6BD1"/>
    <w:rsid w:val="008E2E8F"/>
    <w:rsid w:val="009005B6"/>
    <w:rsid w:val="009148F2"/>
    <w:rsid w:val="00917C9D"/>
    <w:rsid w:val="00937B6C"/>
    <w:rsid w:val="009452A7"/>
    <w:rsid w:val="00995917"/>
    <w:rsid w:val="009A76B0"/>
    <w:rsid w:val="009B2EEA"/>
    <w:rsid w:val="009E0228"/>
    <w:rsid w:val="00A17D5D"/>
    <w:rsid w:val="00A4636D"/>
    <w:rsid w:val="00A508E8"/>
    <w:rsid w:val="00AD438E"/>
    <w:rsid w:val="00B016D9"/>
    <w:rsid w:val="00B15FEC"/>
    <w:rsid w:val="00B440E6"/>
    <w:rsid w:val="00BF75E2"/>
    <w:rsid w:val="00C05C35"/>
    <w:rsid w:val="00C415CE"/>
    <w:rsid w:val="00C81E92"/>
    <w:rsid w:val="00C91F73"/>
    <w:rsid w:val="00CC6778"/>
    <w:rsid w:val="00D3471B"/>
    <w:rsid w:val="00DD4F57"/>
    <w:rsid w:val="00DF222F"/>
    <w:rsid w:val="00E447F9"/>
    <w:rsid w:val="00E71AA8"/>
    <w:rsid w:val="00EF545B"/>
    <w:rsid w:val="00F05613"/>
    <w:rsid w:val="00F27FB5"/>
    <w:rsid w:val="00FC0BA4"/>
    <w:rsid w:val="014848C2"/>
    <w:rsid w:val="016C1C90"/>
    <w:rsid w:val="02311710"/>
    <w:rsid w:val="0295417C"/>
    <w:rsid w:val="02A90C9A"/>
    <w:rsid w:val="02B76285"/>
    <w:rsid w:val="02DB5552"/>
    <w:rsid w:val="03BA78BB"/>
    <w:rsid w:val="03BB60CF"/>
    <w:rsid w:val="03E456FB"/>
    <w:rsid w:val="048C1E8C"/>
    <w:rsid w:val="0503137C"/>
    <w:rsid w:val="058F1F1E"/>
    <w:rsid w:val="05C15ACB"/>
    <w:rsid w:val="05F314B1"/>
    <w:rsid w:val="06C47617"/>
    <w:rsid w:val="06E53939"/>
    <w:rsid w:val="070773B8"/>
    <w:rsid w:val="079820CA"/>
    <w:rsid w:val="07C17FA0"/>
    <w:rsid w:val="08376DC0"/>
    <w:rsid w:val="091B7DAD"/>
    <w:rsid w:val="09345567"/>
    <w:rsid w:val="094217F0"/>
    <w:rsid w:val="09477562"/>
    <w:rsid w:val="09694EF3"/>
    <w:rsid w:val="098117E8"/>
    <w:rsid w:val="09955505"/>
    <w:rsid w:val="09C73363"/>
    <w:rsid w:val="0A06442C"/>
    <w:rsid w:val="0A8A5B99"/>
    <w:rsid w:val="0ABC73DF"/>
    <w:rsid w:val="0ACE4261"/>
    <w:rsid w:val="0AFA4A48"/>
    <w:rsid w:val="0CB63B61"/>
    <w:rsid w:val="0CDF6159"/>
    <w:rsid w:val="0E564718"/>
    <w:rsid w:val="0EFC62AE"/>
    <w:rsid w:val="0F2C2B75"/>
    <w:rsid w:val="0FC0651E"/>
    <w:rsid w:val="0FCD3AA2"/>
    <w:rsid w:val="0FD33755"/>
    <w:rsid w:val="101F5732"/>
    <w:rsid w:val="105F0D2A"/>
    <w:rsid w:val="10C93D5B"/>
    <w:rsid w:val="10ED37DF"/>
    <w:rsid w:val="122C28A6"/>
    <w:rsid w:val="13060CC5"/>
    <w:rsid w:val="136F780F"/>
    <w:rsid w:val="13BB4CF1"/>
    <w:rsid w:val="13BF00AC"/>
    <w:rsid w:val="15FC3418"/>
    <w:rsid w:val="163A626E"/>
    <w:rsid w:val="16A11F30"/>
    <w:rsid w:val="16E32EDE"/>
    <w:rsid w:val="17133788"/>
    <w:rsid w:val="171A73D8"/>
    <w:rsid w:val="173D45CF"/>
    <w:rsid w:val="17C47D4C"/>
    <w:rsid w:val="18133E9F"/>
    <w:rsid w:val="18B55593"/>
    <w:rsid w:val="190467CA"/>
    <w:rsid w:val="192A400C"/>
    <w:rsid w:val="194564C0"/>
    <w:rsid w:val="198B3F04"/>
    <w:rsid w:val="19C0686C"/>
    <w:rsid w:val="19D96307"/>
    <w:rsid w:val="19E64154"/>
    <w:rsid w:val="19F80125"/>
    <w:rsid w:val="1A125A21"/>
    <w:rsid w:val="1A682DEE"/>
    <w:rsid w:val="1AC960C1"/>
    <w:rsid w:val="1B20643B"/>
    <w:rsid w:val="1B8B2B1C"/>
    <w:rsid w:val="1C1F3E11"/>
    <w:rsid w:val="1C3426E8"/>
    <w:rsid w:val="1C9A6DA8"/>
    <w:rsid w:val="1E721AA1"/>
    <w:rsid w:val="1EA559C4"/>
    <w:rsid w:val="1EC46C2D"/>
    <w:rsid w:val="1ECA278D"/>
    <w:rsid w:val="1F4A1CB2"/>
    <w:rsid w:val="1F86513A"/>
    <w:rsid w:val="1FA337BA"/>
    <w:rsid w:val="1FAB69B5"/>
    <w:rsid w:val="201D5A6F"/>
    <w:rsid w:val="202165C8"/>
    <w:rsid w:val="2045473C"/>
    <w:rsid w:val="20E43695"/>
    <w:rsid w:val="20E91D86"/>
    <w:rsid w:val="21177B53"/>
    <w:rsid w:val="21376B26"/>
    <w:rsid w:val="2142523A"/>
    <w:rsid w:val="216E4096"/>
    <w:rsid w:val="21903C77"/>
    <w:rsid w:val="21B30484"/>
    <w:rsid w:val="21D5648D"/>
    <w:rsid w:val="222D212D"/>
    <w:rsid w:val="224963A5"/>
    <w:rsid w:val="226942D4"/>
    <w:rsid w:val="22A94048"/>
    <w:rsid w:val="23405267"/>
    <w:rsid w:val="239C4BD2"/>
    <w:rsid w:val="23B95A74"/>
    <w:rsid w:val="2452662D"/>
    <w:rsid w:val="24552DFB"/>
    <w:rsid w:val="24645C73"/>
    <w:rsid w:val="249833D2"/>
    <w:rsid w:val="24C7517D"/>
    <w:rsid w:val="24E43428"/>
    <w:rsid w:val="259F4276"/>
    <w:rsid w:val="26617572"/>
    <w:rsid w:val="266E0FFB"/>
    <w:rsid w:val="270A51D9"/>
    <w:rsid w:val="27860629"/>
    <w:rsid w:val="27FE2000"/>
    <w:rsid w:val="28C03104"/>
    <w:rsid w:val="28EE4638"/>
    <w:rsid w:val="296777B6"/>
    <w:rsid w:val="29712C52"/>
    <w:rsid w:val="297F543E"/>
    <w:rsid w:val="29926D6B"/>
    <w:rsid w:val="29943098"/>
    <w:rsid w:val="29B17181"/>
    <w:rsid w:val="29BD5D7B"/>
    <w:rsid w:val="2B0B6A81"/>
    <w:rsid w:val="2B640128"/>
    <w:rsid w:val="2BB45536"/>
    <w:rsid w:val="2C4F06D8"/>
    <w:rsid w:val="2D0E0624"/>
    <w:rsid w:val="2D9A2D1D"/>
    <w:rsid w:val="2DB87A55"/>
    <w:rsid w:val="2DCE5FEE"/>
    <w:rsid w:val="2E0B5D0C"/>
    <w:rsid w:val="2E220AB6"/>
    <w:rsid w:val="2E2B5B9F"/>
    <w:rsid w:val="2E2F6507"/>
    <w:rsid w:val="2E5F0A59"/>
    <w:rsid w:val="2ECE094B"/>
    <w:rsid w:val="2F0011EB"/>
    <w:rsid w:val="2FB05B60"/>
    <w:rsid w:val="2FB94215"/>
    <w:rsid w:val="305C23D9"/>
    <w:rsid w:val="30D735CE"/>
    <w:rsid w:val="310B02C6"/>
    <w:rsid w:val="31154AB5"/>
    <w:rsid w:val="31A964EE"/>
    <w:rsid w:val="320E6316"/>
    <w:rsid w:val="321A0F17"/>
    <w:rsid w:val="326322E1"/>
    <w:rsid w:val="32B62487"/>
    <w:rsid w:val="333010BE"/>
    <w:rsid w:val="338C4939"/>
    <w:rsid w:val="34037E31"/>
    <w:rsid w:val="34042F46"/>
    <w:rsid w:val="343914A1"/>
    <w:rsid w:val="345B4037"/>
    <w:rsid w:val="348A1638"/>
    <w:rsid w:val="348F1C75"/>
    <w:rsid w:val="34B368DE"/>
    <w:rsid w:val="352F4964"/>
    <w:rsid w:val="359B4533"/>
    <w:rsid w:val="35CE1807"/>
    <w:rsid w:val="365620C0"/>
    <w:rsid w:val="36693025"/>
    <w:rsid w:val="36A82393"/>
    <w:rsid w:val="36EE259E"/>
    <w:rsid w:val="37A81943"/>
    <w:rsid w:val="37D102BF"/>
    <w:rsid w:val="3812160D"/>
    <w:rsid w:val="39685156"/>
    <w:rsid w:val="399F2F75"/>
    <w:rsid w:val="39AD7D6F"/>
    <w:rsid w:val="39CE36AD"/>
    <w:rsid w:val="39D80646"/>
    <w:rsid w:val="3A4D6BB6"/>
    <w:rsid w:val="3AFF4F9E"/>
    <w:rsid w:val="3B05200F"/>
    <w:rsid w:val="3B547BCB"/>
    <w:rsid w:val="3C3365D4"/>
    <w:rsid w:val="3C820F5F"/>
    <w:rsid w:val="3CDA22FF"/>
    <w:rsid w:val="3CF87EB8"/>
    <w:rsid w:val="3D4D0A2B"/>
    <w:rsid w:val="3D8F6015"/>
    <w:rsid w:val="3DB91B26"/>
    <w:rsid w:val="3DBD218F"/>
    <w:rsid w:val="3DEA53BD"/>
    <w:rsid w:val="3E361104"/>
    <w:rsid w:val="3EE2157A"/>
    <w:rsid w:val="3FB423A5"/>
    <w:rsid w:val="3FC11490"/>
    <w:rsid w:val="40107951"/>
    <w:rsid w:val="40833FCE"/>
    <w:rsid w:val="40972B1C"/>
    <w:rsid w:val="40F40A64"/>
    <w:rsid w:val="414373A6"/>
    <w:rsid w:val="41601377"/>
    <w:rsid w:val="417A7E13"/>
    <w:rsid w:val="420B40AE"/>
    <w:rsid w:val="422F4D01"/>
    <w:rsid w:val="425739E3"/>
    <w:rsid w:val="428A2C87"/>
    <w:rsid w:val="42F51E39"/>
    <w:rsid w:val="445A5FD6"/>
    <w:rsid w:val="44897D24"/>
    <w:rsid w:val="44AB3DE1"/>
    <w:rsid w:val="44BF7AE2"/>
    <w:rsid w:val="45312278"/>
    <w:rsid w:val="45481B3B"/>
    <w:rsid w:val="462D7477"/>
    <w:rsid w:val="46B27FD2"/>
    <w:rsid w:val="46C55609"/>
    <w:rsid w:val="46F10FC7"/>
    <w:rsid w:val="47433702"/>
    <w:rsid w:val="479145DD"/>
    <w:rsid w:val="47AC24E3"/>
    <w:rsid w:val="47C33B05"/>
    <w:rsid w:val="47C744A8"/>
    <w:rsid w:val="4806568D"/>
    <w:rsid w:val="48756850"/>
    <w:rsid w:val="48B16224"/>
    <w:rsid w:val="48B62093"/>
    <w:rsid w:val="48F8248C"/>
    <w:rsid w:val="49611833"/>
    <w:rsid w:val="49C63D2B"/>
    <w:rsid w:val="49CC5EFC"/>
    <w:rsid w:val="49E54DED"/>
    <w:rsid w:val="49F10096"/>
    <w:rsid w:val="4A07763F"/>
    <w:rsid w:val="4A422158"/>
    <w:rsid w:val="4A8977A6"/>
    <w:rsid w:val="4B146EE3"/>
    <w:rsid w:val="4B934AC4"/>
    <w:rsid w:val="4BF271AA"/>
    <w:rsid w:val="4C057E43"/>
    <w:rsid w:val="4C4A6F8B"/>
    <w:rsid w:val="4D0C0CAB"/>
    <w:rsid w:val="4D457647"/>
    <w:rsid w:val="4D520355"/>
    <w:rsid w:val="4D781E7A"/>
    <w:rsid w:val="4D9526F1"/>
    <w:rsid w:val="4DAA0C8D"/>
    <w:rsid w:val="4DC26C0C"/>
    <w:rsid w:val="4E0C3958"/>
    <w:rsid w:val="4E35301C"/>
    <w:rsid w:val="4ED70968"/>
    <w:rsid w:val="4EEC6DDD"/>
    <w:rsid w:val="4F1716E2"/>
    <w:rsid w:val="4FAC3B1D"/>
    <w:rsid w:val="4FCD4EFE"/>
    <w:rsid w:val="501453CF"/>
    <w:rsid w:val="513B281F"/>
    <w:rsid w:val="51582FE4"/>
    <w:rsid w:val="5170471B"/>
    <w:rsid w:val="51CF1FFD"/>
    <w:rsid w:val="51E703CC"/>
    <w:rsid w:val="51ED31EC"/>
    <w:rsid w:val="523D22E4"/>
    <w:rsid w:val="52A24D4E"/>
    <w:rsid w:val="530C26B4"/>
    <w:rsid w:val="535C5247"/>
    <w:rsid w:val="54415C8B"/>
    <w:rsid w:val="5497606D"/>
    <w:rsid w:val="55112323"/>
    <w:rsid w:val="557D5F83"/>
    <w:rsid w:val="55C7056D"/>
    <w:rsid w:val="55D31AB0"/>
    <w:rsid w:val="563E6403"/>
    <w:rsid w:val="56BD7E2E"/>
    <w:rsid w:val="56DD2ED1"/>
    <w:rsid w:val="570049A8"/>
    <w:rsid w:val="57157FBC"/>
    <w:rsid w:val="575867CB"/>
    <w:rsid w:val="58037DAF"/>
    <w:rsid w:val="580C3571"/>
    <w:rsid w:val="58570587"/>
    <w:rsid w:val="589773B3"/>
    <w:rsid w:val="58B17691"/>
    <w:rsid w:val="59841CBE"/>
    <w:rsid w:val="5A1C4CA9"/>
    <w:rsid w:val="5AF6256D"/>
    <w:rsid w:val="5B1E0361"/>
    <w:rsid w:val="5B203AF9"/>
    <w:rsid w:val="5B9D01C1"/>
    <w:rsid w:val="5B9D5FD9"/>
    <w:rsid w:val="5BB912EA"/>
    <w:rsid w:val="5BE23A75"/>
    <w:rsid w:val="5BEA3DC7"/>
    <w:rsid w:val="5BEB1FE8"/>
    <w:rsid w:val="5C801C7C"/>
    <w:rsid w:val="5CA65075"/>
    <w:rsid w:val="5D0A2BF3"/>
    <w:rsid w:val="5D7C2E3C"/>
    <w:rsid w:val="5DA933ED"/>
    <w:rsid w:val="5DCA45C6"/>
    <w:rsid w:val="5E714C55"/>
    <w:rsid w:val="5E892D55"/>
    <w:rsid w:val="5F401D4B"/>
    <w:rsid w:val="5F522322"/>
    <w:rsid w:val="5F5D2480"/>
    <w:rsid w:val="5FB45ACC"/>
    <w:rsid w:val="600A5DAB"/>
    <w:rsid w:val="606F72DF"/>
    <w:rsid w:val="608500B2"/>
    <w:rsid w:val="610A5E44"/>
    <w:rsid w:val="61660625"/>
    <w:rsid w:val="61C90070"/>
    <w:rsid w:val="61E61F00"/>
    <w:rsid w:val="627A3203"/>
    <w:rsid w:val="62AD07EE"/>
    <w:rsid w:val="62B66BFE"/>
    <w:rsid w:val="62DB58DE"/>
    <w:rsid w:val="637E1CB4"/>
    <w:rsid w:val="63FD12CC"/>
    <w:rsid w:val="640601B1"/>
    <w:rsid w:val="642D0900"/>
    <w:rsid w:val="64B6114F"/>
    <w:rsid w:val="652F3B4F"/>
    <w:rsid w:val="65326605"/>
    <w:rsid w:val="65532B7B"/>
    <w:rsid w:val="655D65CE"/>
    <w:rsid w:val="6575325C"/>
    <w:rsid w:val="65F828F8"/>
    <w:rsid w:val="66CC5C69"/>
    <w:rsid w:val="67A665C1"/>
    <w:rsid w:val="67C9321D"/>
    <w:rsid w:val="680C6697"/>
    <w:rsid w:val="681416E4"/>
    <w:rsid w:val="68A54891"/>
    <w:rsid w:val="68A9066F"/>
    <w:rsid w:val="68F507B0"/>
    <w:rsid w:val="694034C7"/>
    <w:rsid w:val="69811CDC"/>
    <w:rsid w:val="69DD7BDD"/>
    <w:rsid w:val="6A0F7E7F"/>
    <w:rsid w:val="6A1D77D2"/>
    <w:rsid w:val="6A304F61"/>
    <w:rsid w:val="6A8D61A0"/>
    <w:rsid w:val="6AF7561B"/>
    <w:rsid w:val="6B0F2CDC"/>
    <w:rsid w:val="6B1C34DC"/>
    <w:rsid w:val="6B451619"/>
    <w:rsid w:val="6B7D6567"/>
    <w:rsid w:val="6BCE55F1"/>
    <w:rsid w:val="6C361229"/>
    <w:rsid w:val="6C6C1374"/>
    <w:rsid w:val="6C73376A"/>
    <w:rsid w:val="6C85083E"/>
    <w:rsid w:val="6CA06B3B"/>
    <w:rsid w:val="6CB6334F"/>
    <w:rsid w:val="6CBE229B"/>
    <w:rsid w:val="6D204BBF"/>
    <w:rsid w:val="6D300C3B"/>
    <w:rsid w:val="6D75760E"/>
    <w:rsid w:val="6E09285A"/>
    <w:rsid w:val="6E2D2C71"/>
    <w:rsid w:val="6E384AB3"/>
    <w:rsid w:val="6E3C507B"/>
    <w:rsid w:val="6E734889"/>
    <w:rsid w:val="6E9D4EBD"/>
    <w:rsid w:val="6F355306"/>
    <w:rsid w:val="6FF61139"/>
    <w:rsid w:val="70AD01B2"/>
    <w:rsid w:val="70CB6D2B"/>
    <w:rsid w:val="70CD4367"/>
    <w:rsid w:val="70F96AF2"/>
    <w:rsid w:val="71536E4F"/>
    <w:rsid w:val="718611B4"/>
    <w:rsid w:val="71AB31FA"/>
    <w:rsid w:val="71C27287"/>
    <w:rsid w:val="71D15390"/>
    <w:rsid w:val="71E4721F"/>
    <w:rsid w:val="721067C6"/>
    <w:rsid w:val="722255E6"/>
    <w:rsid w:val="726A4397"/>
    <w:rsid w:val="72A8323A"/>
    <w:rsid w:val="73545D9A"/>
    <w:rsid w:val="73DF0BA0"/>
    <w:rsid w:val="748C36EF"/>
    <w:rsid w:val="7499008A"/>
    <w:rsid w:val="74A27090"/>
    <w:rsid w:val="758D5547"/>
    <w:rsid w:val="75AA5564"/>
    <w:rsid w:val="75C14F03"/>
    <w:rsid w:val="75C1652D"/>
    <w:rsid w:val="767D14A1"/>
    <w:rsid w:val="76AF6270"/>
    <w:rsid w:val="76AF6386"/>
    <w:rsid w:val="76F71B86"/>
    <w:rsid w:val="76F84F86"/>
    <w:rsid w:val="772B7037"/>
    <w:rsid w:val="77397C7B"/>
    <w:rsid w:val="77C345B9"/>
    <w:rsid w:val="77DE7455"/>
    <w:rsid w:val="784A5F61"/>
    <w:rsid w:val="78DB4532"/>
    <w:rsid w:val="79153F9D"/>
    <w:rsid w:val="79971E29"/>
    <w:rsid w:val="79B5449B"/>
    <w:rsid w:val="79BE043D"/>
    <w:rsid w:val="79DA5713"/>
    <w:rsid w:val="7ADD40D2"/>
    <w:rsid w:val="7AE00F42"/>
    <w:rsid w:val="7B6C0B09"/>
    <w:rsid w:val="7C1566EB"/>
    <w:rsid w:val="7C2B71A3"/>
    <w:rsid w:val="7CE759FF"/>
    <w:rsid w:val="7D12657A"/>
    <w:rsid w:val="7D396AC8"/>
    <w:rsid w:val="7D515444"/>
    <w:rsid w:val="7E01191A"/>
    <w:rsid w:val="7EAF066C"/>
    <w:rsid w:val="7FAB5AC1"/>
  </w:rsid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nhideWhenUsed="0" w:qFormat="1"/>
    <w:lsdException w:name="footnote text" w:semiHidden="0" w:uiPriority="0" w:unhideWhenUsed="0"/>
    <w:lsdException w:name="annotation text" w:semiHidden="0" w:uiPriority="0" w:unhideWhenUsed="0" w:qFormat="1"/>
    <w:lsdException w:name="header" w:semiHidden="0" w:uiPriority="0" w:qFormat="1"/>
    <w:lsdException w:name="footer" w:semiHidden="0" w:unhideWhenUsed="0" w:qFormat="1"/>
    <w:lsdException w:name="index heading" w:semiHidden="0" w:uiPriority="0" w:unhideWhenUsed="0"/>
    <w:lsdException w:name="caption" w:semiHidden="0" w:uiPriority="0" w:unhideWhenUsed="0" w:qFormat="1"/>
    <w:lsdException w:name="table of figures" w:semiHidden="0" w:uiPriority="0" w:unhideWhenUsed="0" w:qFormat="1"/>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qFormat="1"/>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qFormat="1"/>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qFormat="1"/>
    <w:lsdException w:name="Date" w:semiHidden="0" w:uiPriority="0" w:qFormat="1"/>
    <w:lsdException w:name="Body Text First Indent" w:semiHidden="0" w:uiPriority="0" w:unhideWhenUsed="0" w:qFormat="1"/>
    <w:lsdException w:name="Body Text First Indent 2" w:semiHidden="0" w:uiPriority="0" w:unhideWhenUsed="0" w:qFormat="1"/>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qFormat="1"/>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a"/>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link w:val="1Char0"/>
    <w:qFormat/>
    <w:pPr>
      <w:keepNext/>
      <w:keepLines/>
      <w:spacing w:before="340" w:after="330" w:line="578" w:lineRule="auto"/>
      <w:outlineLvl w:val="0"/>
    </w:pPr>
    <w:rPr>
      <w:b/>
      <w:bCs/>
      <w:kern w:val="44"/>
      <w:sz w:val="44"/>
      <w:szCs w:val="44"/>
    </w:rPr>
  </w:style>
  <w:style w:type="paragraph" w:styleId="Heading2">
    <w:name w:val="heading 2"/>
    <w:basedOn w:val="Normal"/>
    <w:next w:val="Normal"/>
    <w:uiPriority w:val="99"/>
    <w:qFormat/>
    <w:pPr>
      <w:keepNext/>
      <w:keepLines/>
      <w:spacing w:line="360" w:lineRule="auto"/>
      <w:outlineLvl w:val="1"/>
    </w:pPr>
    <w:rPr>
      <w:b/>
      <w:bCs/>
      <w:sz w:val="24"/>
    </w:rPr>
  </w:style>
  <w:style w:type="paragraph" w:styleId="Heading3">
    <w:name w:val="heading 3"/>
    <w:basedOn w:val="Normal"/>
    <w:next w:val="a0"/>
    <w:qFormat/>
    <w:pPr>
      <w:keepNext/>
      <w:keepLines/>
      <w:spacing w:line="413" w:lineRule="auto"/>
      <w:outlineLvl w:val="2"/>
    </w:pPr>
    <w:rPr>
      <w:rFonts w:ascii="宋体"/>
      <w:snapToGrid w:val="0"/>
      <w:spacing w:val="4"/>
    </w:rPr>
  </w:style>
  <w:style w:type="paragraph" w:styleId="Heading4">
    <w:name w:val="heading 4"/>
    <w:basedOn w:val="Normal"/>
    <w:next w:val="Normal"/>
    <w:qFormat/>
    <w:pPr>
      <w:keepNext/>
      <w:keepLines/>
      <w:spacing w:line="360" w:lineRule="auto"/>
      <w:ind w:firstLine="720" w:firstLineChars="200"/>
      <w:outlineLvl w:val="3"/>
    </w:pPr>
    <w:rPr>
      <w:bCs/>
      <w:sz w:val="24"/>
      <w:szCs w:val="28"/>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customStyle="1" w:styleId="a">
    <w:name w:val="表格"/>
    <w:basedOn w:val="Normal"/>
    <w:next w:val="Normal"/>
    <w:link w:val="Char2"/>
    <w:qFormat/>
    <w:pPr>
      <w:adjustRightInd w:val="0"/>
      <w:snapToGrid w:val="0"/>
      <w:spacing w:beforeLines="10" w:line="256" w:lineRule="auto"/>
      <w:jc w:val="center"/>
    </w:pPr>
    <w:rPr>
      <w:rFonts w:ascii="宋体" w:eastAsia="宋体" w:hAnsi="Times New Roman" w:cs="Times New Roman" w:hint="eastAsia"/>
      <w:kern w:val="0"/>
      <w:szCs w:val="20"/>
    </w:rPr>
  </w:style>
  <w:style w:type="paragraph" w:customStyle="1" w:styleId="a0">
    <w:name w:val="+正文"/>
    <w:basedOn w:val="Normal"/>
    <w:qFormat/>
    <w:pPr>
      <w:adjustRightInd w:val="0"/>
      <w:snapToGrid w:val="0"/>
      <w:ind w:firstLine="200" w:firstLineChars="200"/>
    </w:pPr>
  </w:style>
  <w:style w:type="paragraph" w:styleId="NormalIndent">
    <w:name w:val="Normal Indent"/>
    <w:basedOn w:val="Normal"/>
    <w:next w:val="Normal"/>
    <w:link w:val="Char6"/>
    <w:uiPriority w:val="99"/>
    <w:qFormat/>
    <w:pPr>
      <w:ind w:firstLine="420" w:firstLineChars="200"/>
    </w:pPr>
  </w:style>
  <w:style w:type="paragraph" w:styleId="Caption">
    <w:name w:val="caption"/>
    <w:basedOn w:val="Normal"/>
    <w:next w:val="Normal"/>
    <w:qFormat/>
    <w:pPr>
      <w:spacing w:before="152" w:after="160"/>
    </w:pPr>
    <w:rPr>
      <w:rFonts w:ascii="Arial" w:eastAsia="黑体" w:hAnsi="Arial" w:cs="Arial"/>
      <w:sz w:val="20"/>
    </w:rPr>
  </w:style>
  <w:style w:type="paragraph" w:styleId="CommentText">
    <w:name w:val="annotation text"/>
    <w:basedOn w:val="Normal"/>
    <w:link w:val="Char9"/>
    <w:qFormat/>
    <w:pPr>
      <w:jc w:val="left"/>
    </w:pPr>
  </w:style>
  <w:style w:type="paragraph" w:styleId="Salutation">
    <w:name w:val="Salutation"/>
    <w:basedOn w:val="Normal"/>
    <w:next w:val="Normal"/>
    <w:link w:val="Char8"/>
    <w:unhideWhenUsed/>
    <w:qFormat/>
    <w:rPr>
      <w:rFonts w:ascii="Times New Roman" w:eastAsia="宋体" w:hAnsi="Times New Roman" w:cs="Times New Roman"/>
      <w:szCs w:val="20"/>
    </w:rPr>
  </w:style>
  <w:style w:type="paragraph" w:styleId="BodyText">
    <w:name w:val="Body Text"/>
    <w:basedOn w:val="Normal"/>
    <w:next w:val="Normal"/>
    <w:qFormat/>
    <w:pPr>
      <w:spacing w:line="540" w:lineRule="exact"/>
    </w:pPr>
    <w:rPr>
      <w:spacing w:val="20"/>
      <w:sz w:val="24"/>
      <w:szCs w:val="20"/>
    </w:rPr>
  </w:style>
  <w:style w:type="paragraph" w:styleId="BodyTextIndent">
    <w:name w:val="Body Text Indent"/>
    <w:basedOn w:val="Normal"/>
    <w:next w:val="Header"/>
    <w:qFormat/>
    <w:pPr>
      <w:ind w:left="420" w:leftChars="200"/>
    </w:pPr>
  </w:style>
  <w:style w:type="paragraph" w:styleId="Header">
    <w:name w:val="header"/>
    <w:basedOn w:val="Normal"/>
    <w:next w:val="5"/>
    <w:link w:val="Char10"/>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5">
    <w:name w:val="样式5"/>
    <w:basedOn w:val="3"/>
    <w:semiHidden/>
    <w:qFormat/>
    <w:pPr>
      <w:spacing w:line="300" w:lineRule="auto"/>
      <w:jc w:val="center"/>
    </w:pPr>
    <w:rPr>
      <w:rFonts w:ascii="Arial Narrow" w:eastAsia="仿宋_GB2312" w:hAnsi="Arial Narrow"/>
      <w:b/>
      <w:bCs/>
      <w:szCs w:val="21"/>
    </w:rPr>
  </w:style>
  <w:style w:type="paragraph" w:customStyle="1" w:styleId="3">
    <w:name w:val="样式3"/>
    <w:basedOn w:val="List"/>
    <w:next w:val="BodyText"/>
    <w:semiHidden/>
    <w:qFormat/>
    <w:pPr>
      <w:spacing w:before="120" w:after="120"/>
    </w:pPr>
    <w:rPr>
      <w:rFonts w:ascii="宋体"/>
    </w:rPr>
  </w:style>
  <w:style w:type="paragraph" w:styleId="List">
    <w:name w:val="List"/>
    <w:basedOn w:val="Normal"/>
    <w:qFormat/>
    <w:pPr>
      <w:adjustRightInd w:val="0"/>
      <w:spacing w:line="460" w:lineRule="exact"/>
      <w:ind w:left="1276" w:hanging="425"/>
      <w:textAlignment w:val="baseline"/>
    </w:pPr>
    <w:rPr>
      <w:rFonts w:ascii="Times New Roman" w:hAnsi="Times New Roman"/>
      <w:kern w:val="0"/>
      <w:sz w:val="24"/>
      <w:szCs w:val="20"/>
    </w:rPr>
  </w:style>
  <w:style w:type="paragraph" w:styleId="BlockText">
    <w:name w:val="Block Text"/>
    <w:basedOn w:val="Normal"/>
    <w:next w:val="Normal"/>
    <w:qFormat/>
    <w:pPr>
      <w:ind w:left="-359" w:right="-334" w:firstLine="538" w:leftChars="-171" w:rightChars="-159" w:firstLineChars="192"/>
    </w:pPr>
    <w:rPr>
      <w:rFonts w:ascii="Times New Roman" w:hAnsi="Times New Roman"/>
      <w:sz w:val="28"/>
    </w:rPr>
  </w:style>
  <w:style w:type="paragraph" w:styleId="PlainText">
    <w:name w:val="Plain Text"/>
    <w:basedOn w:val="Normal"/>
    <w:link w:val="Char4"/>
    <w:qFormat/>
    <w:rPr>
      <w:rFonts w:ascii="宋体" w:hAnsi="Courier New"/>
    </w:rPr>
  </w:style>
  <w:style w:type="paragraph" w:styleId="ListBullet5">
    <w:name w:val="List Bullet 5"/>
    <w:basedOn w:val="Normal"/>
    <w:qFormat/>
    <w:pPr>
      <w:numPr>
        <w:ilvl w:val="0"/>
        <w:numId w:val="1"/>
      </w:numPr>
    </w:pPr>
  </w:style>
  <w:style w:type="paragraph" w:styleId="Date">
    <w:name w:val="Date"/>
    <w:basedOn w:val="Normal"/>
    <w:next w:val="Normal"/>
    <w:link w:val="Char7"/>
    <w:unhideWhenUsed/>
    <w:qFormat/>
    <w:rPr>
      <w:rFonts w:ascii="汉鼎简老宋" w:eastAsia="汉鼎简老宋" w:hAnsi="Times New Roman" w:cs="Times New Roman"/>
      <w:sz w:val="44"/>
      <w:szCs w:val="20"/>
    </w:rPr>
  </w:style>
  <w:style w:type="paragraph" w:styleId="BalloonText">
    <w:name w:val="Balloon Text"/>
    <w:basedOn w:val="Normal"/>
    <w:link w:val="Char3"/>
    <w:qFormat/>
    <w:rPr>
      <w:sz w:val="18"/>
      <w:szCs w:val="18"/>
    </w:rPr>
  </w:style>
  <w:style w:type="paragraph" w:styleId="Footer">
    <w:name w:val="footer"/>
    <w:basedOn w:val="Normal"/>
    <w:link w:val="Char1"/>
    <w:uiPriority w:val="99"/>
    <w:qFormat/>
    <w:pPr>
      <w:tabs>
        <w:tab w:val="center" w:pos="4153"/>
        <w:tab w:val="right" w:pos="8306"/>
      </w:tabs>
      <w:snapToGrid w:val="0"/>
      <w:jc w:val="left"/>
    </w:pPr>
    <w:rPr>
      <w:sz w:val="18"/>
    </w:rPr>
  </w:style>
  <w:style w:type="paragraph" w:styleId="Subtitle">
    <w:name w:val="Subtitle"/>
    <w:basedOn w:val="Normal"/>
    <w:next w:val="Normal"/>
    <w:uiPriority w:val="11"/>
    <w:qFormat/>
    <w:pPr>
      <w:adjustRightInd w:val="0"/>
      <w:snapToGrid w:val="0"/>
      <w:spacing w:line="240" w:lineRule="auto"/>
      <w:jc w:val="center"/>
    </w:pPr>
    <w:rPr>
      <w:bCs/>
      <w:kern w:val="28"/>
      <w:sz w:val="21"/>
      <w:szCs w:val="32"/>
    </w:rPr>
  </w:style>
  <w:style w:type="paragraph" w:styleId="TableofFigures">
    <w:name w:val="table of figures"/>
    <w:basedOn w:val="Normal"/>
    <w:next w:val="Normal"/>
    <w:qFormat/>
    <w:pPr>
      <w:ind w:left="200" w:hanging="200" w:leftChars="200" w:hangingChars="200"/>
    </w:pPr>
    <w:rPr>
      <w:rFonts w:ascii="Calibri" w:hAnsi="Calibri" w:cs="Times New Roman"/>
      <w:szCs w:val="22"/>
    </w:rPr>
  </w:style>
  <w:style w:type="paragraph" w:styleId="NormalWeb">
    <w:name w:val="Normal (Web)"/>
    <w:basedOn w:val="Normal"/>
    <w:link w:val="Char0"/>
    <w:qFormat/>
    <w:pPr>
      <w:widowControl/>
      <w:spacing w:beforeAutospacing="1" w:afterAutospacing="1"/>
      <w:jc w:val="left"/>
    </w:pPr>
    <w:rPr>
      <w:rFonts w:ascii="宋体" w:eastAsia="宋体" w:hAnsi="宋体" w:cs="Times New Roman" w:hint="eastAsia"/>
      <w:kern w:val="0"/>
      <w:sz w:val="24"/>
      <w:szCs w:val="20"/>
    </w:rPr>
  </w:style>
  <w:style w:type="paragraph" w:styleId="BodyTextFirstIndent">
    <w:name w:val="Body Text First Indent"/>
    <w:basedOn w:val="BodyText"/>
    <w:next w:val="Normal"/>
    <w:qFormat/>
    <w:pPr>
      <w:spacing w:after="120"/>
      <w:ind w:firstLine="420" w:firstLineChars="100"/>
    </w:pPr>
    <w:rPr>
      <w:rFonts w:ascii="Times New Roman" w:hAnsi="Times New Roman"/>
    </w:rPr>
  </w:style>
  <w:style w:type="paragraph" w:styleId="BodyTextFirstIndent2">
    <w:name w:val="Body Text First Indent 2"/>
    <w:basedOn w:val="BodyTextIndent"/>
    <w:next w:val="BodyTextFirstIndent"/>
    <w:qFormat/>
    <w:pPr>
      <w:ind w:left="0" w:firstLine="420" w:firstLineChars="200"/>
    </w:pPr>
    <w:rPr>
      <w:rFonts w:ascii="Calibri" w:eastAsia="宋体" w:hAnsi="Calibri" w:cs="Times New Roman"/>
    </w:rPr>
  </w:style>
  <w:style w:type="table" w:styleId="TableGrid">
    <w:name w:val="Table Grid"/>
    <w:basedOn w:val="TableNormal"/>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qFormat/>
    <w:rPr>
      <w:sz w:val="21"/>
      <w:szCs w:val="21"/>
    </w:rPr>
  </w:style>
  <w:style w:type="paragraph" w:customStyle="1" w:styleId="2">
    <w:name w:val="样式2"/>
    <w:basedOn w:val="a1"/>
    <w:semiHidden/>
    <w:qFormat/>
    <w:pPr>
      <w:spacing w:line="500" w:lineRule="exact"/>
    </w:pPr>
    <w:rPr>
      <w:rFonts w:ascii="Arial" w:hAnsi="Arial"/>
      <w:snapToGrid w:val="0"/>
      <w:kern w:val="0"/>
      <w:sz w:val="24"/>
      <w:szCs w:val="20"/>
    </w:rPr>
  </w:style>
  <w:style w:type="paragraph" w:customStyle="1" w:styleId="a1">
    <w:name w:val="正文 + 宋体"/>
    <w:basedOn w:val="Normal"/>
    <w:qFormat/>
    <w:pPr>
      <w:snapToGrid w:val="0"/>
      <w:ind w:firstLine="648" w:firstLineChars="245"/>
    </w:pPr>
    <w:rPr>
      <w:rFonts w:ascii="宋体" w:hAnsi="宋体"/>
    </w:rPr>
  </w:style>
  <w:style w:type="paragraph" w:customStyle="1" w:styleId="Default">
    <w:name w:val="Default"/>
    <w:basedOn w:val="1"/>
    <w:next w:val="6"/>
    <w:qFormat/>
    <w:pPr>
      <w:autoSpaceDE w:val="0"/>
      <w:autoSpaceDN w:val="0"/>
    </w:pPr>
    <w:rPr>
      <w:rFonts w:ascii="Calibri" w:eastAsia="宋体" w:hAnsi="Calibri" w:cs="Times New Roman"/>
      <w:color w:val="000000"/>
      <w:sz w:val="24"/>
      <w:szCs w:val="24"/>
    </w:rPr>
  </w:style>
  <w:style w:type="paragraph" w:customStyle="1" w:styleId="1">
    <w:name w:val="纯文本1"/>
    <w:basedOn w:val="Normal"/>
    <w:qFormat/>
    <w:pPr>
      <w:adjustRightInd w:val="0"/>
    </w:pPr>
    <w:rPr>
      <w:rFonts w:ascii="宋体" w:hAnsi="Courier New"/>
      <w:szCs w:val="20"/>
    </w:rPr>
  </w:style>
  <w:style w:type="paragraph" w:customStyle="1" w:styleId="6">
    <w:name w:val="正文文字 6"/>
    <w:next w:val="Normal"/>
    <w:qFormat/>
    <w:pPr>
      <w:widowControl w:val="0"/>
      <w:ind w:left="240"/>
      <w:jc w:val="both"/>
    </w:pPr>
    <w:rPr>
      <w:rFonts w:ascii="宋体" w:eastAsia="宋体" w:hAnsi="Times New Roman" w:cs="Times New Roman"/>
      <w:b/>
      <w:bCs/>
      <w:kern w:val="2"/>
      <w:sz w:val="32"/>
      <w:szCs w:val="32"/>
      <w:lang w:val="en-US" w:eastAsia="zh-CN" w:bidi="ar-SA"/>
    </w:rPr>
  </w:style>
  <w:style w:type="character" w:customStyle="1" w:styleId="Char">
    <w:name w:val="页脚 Char"/>
    <w:basedOn w:val="DefaultParagraphFont"/>
    <w:link w:val="Footer"/>
    <w:uiPriority w:val="99"/>
    <w:qFormat/>
    <w:rPr>
      <w:sz w:val="18"/>
    </w:rPr>
  </w:style>
  <w:style w:type="character" w:customStyle="1" w:styleId="Char0">
    <w:name w:val="普通(网站) Char"/>
    <w:basedOn w:val="DefaultParagraphFont"/>
    <w:link w:val="NormalWeb"/>
    <w:qFormat/>
    <w:rPr>
      <w:rFonts w:ascii="宋体" w:eastAsia="宋体" w:hAnsi="宋体" w:cs="宋体" w:hint="eastAsia"/>
      <w:sz w:val="24"/>
    </w:rPr>
  </w:style>
  <w:style w:type="character" w:customStyle="1" w:styleId="Char1">
    <w:name w:val="页脚 Char1"/>
    <w:basedOn w:val="DefaultParagraphFont"/>
    <w:link w:val="Footer"/>
    <w:qFormat/>
    <w:rPr>
      <w:kern w:val="2"/>
      <w:sz w:val="18"/>
      <w:szCs w:val="18"/>
    </w:rPr>
  </w:style>
  <w:style w:type="character" w:customStyle="1" w:styleId="Char2">
    <w:name w:val="表格 Char"/>
    <w:basedOn w:val="DefaultParagraphFont"/>
    <w:link w:val="a"/>
    <w:qFormat/>
    <w:rPr>
      <w:rFonts w:ascii="宋体" w:eastAsia="宋体" w:hAnsi="宋体" w:cs="宋体" w:hint="eastAsia"/>
      <w:sz w:val="21"/>
    </w:rPr>
  </w:style>
  <w:style w:type="paragraph" w:customStyle="1" w:styleId="a2">
    <w:name w:val="第一章表标头"/>
    <w:basedOn w:val="Normal"/>
    <w:qFormat/>
    <w:pPr>
      <w:tabs>
        <w:tab w:val="left" w:pos="360"/>
        <w:tab w:val="left" w:pos="420"/>
        <w:tab w:val="left" w:pos="2269"/>
      </w:tabs>
      <w:adjustRightInd w:val="0"/>
      <w:snapToGrid w:val="0"/>
      <w:spacing w:line="480" w:lineRule="exact"/>
      <w:ind w:left="420" w:hanging="420" w:firstLineChars="200"/>
      <w:jc w:val="center"/>
    </w:pPr>
    <w:rPr>
      <w:rFonts w:ascii="黑体" w:eastAsia="黑体"/>
      <w:sz w:val="24"/>
      <w:szCs w:val="21"/>
    </w:rPr>
  </w:style>
  <w:style w:type="paragraph" w:customStyle="1" w:styleId="TableParagraph">
    <w:name w:val="Table Paragraph"/>
    <w:basedOn w:val="Normal"/>
    <w:uiPriority w:val="1"/>
    <w:qFormat/>
    <w:rPr>
      <w:rFonts w:ascii="宋体" w:eastAsia="宋体" w:hAnsi="宋体" w:cs="宋体"/>
      <w:lang w:val="zh-CN" w:bidi="zh-CN"/>
    </w:rPr>
  </w:style>
  <w:style w:type="character" w:customStyle="1" w:styleId="17">
    <w:name w:val="17"/>
    <w:basedOn w:val="DefaultParagraphFont"/>
    <w:qFormat/>
    <w:rPr>
      <w:rFonts w:ascii="宋体" w:eastAsia="宋体" w:hAnsi="宋体" w:hint="eastAsia"/>
      <w:color w:val="000000"/>
      <w:sz w:val="24"/>
      <w:szCs w:val="24"/>
    </w:rPr>
  </w:style>
  <w:style w:type="paragraph" w:customStyle="1" w:styleId="p0">
    <w:name w:val="p0"/>
    <w:basedOn w:val="Normal"/>
    <w:qFormat/>
    <w:pPr>
      <w:widowControl/>
    </w:pPr>
    <w:rPr>
      <w:kern w:val="0"/>
      <w:szCs w:val="21"/>
    </w:rPr>
  </w:style>
  <w:style w:type="paragraph" w:customStyle="1" w:styleId="10">
    <w:name w:val="样式1"/>
    <w:basedOn w:val="Normal"/>
    <w:link w:val="1Char"/>
    <w:qFormat/>
    <w:pPr>
      <w:snapToGrid w:val="0"/>
      <w:jc w:val="center"/>
    </w:pPr>
    <w:rPr>
      <w:rFonts w:ascii="宋体" w:eastAsia="宋体"/>
    </w:rPr>
  </w:style>
  <w:style w:type="character" w:customStyle="1" w:styleId="fontstyle01">
    <w:name w:val="fontstyle01"/>
    <w:basedOn w:val="DefaultParagraphFont"/>
    <w:qFormat/>
    <w:rPr>
      <w:rFonts w:ascii="宋体" w:eastAsia="宋体" w:hAnsi="宋体" w:hint="eastAsia"/>
      <w:color w:val="000000"/>
      <w:sz w:val="24"/>
      <w:szCs w:val="24"/>
    </w:rPr>
  </w:style>
  <w:style w:type="character" w:customStyle="1" w:styleId="fontstyle11">
    <w:name w:val="fontstyle11"/>
    <w:basedOn w:val="DefaultParagraphFont"/>
    <w:qFormat/>
    <w:rPr>
      <w:rFonts w:ascii="TimesNewRomanPSMT" w:hAnsi="TimesNewRomanPSMT" w:hint="default"/>
      <w:color w:val="000000"/>
      <w:sz w:val="24"/>
      <w:szCs w:val="24"/>
    </w:rPr>
  </w:style>
  <w:style w:type="paragraph" w:customStyle="1" w:styleId="a3">
    <w:name w:val="表格文字"/>
    <w:basedOn w:val="BodyText"/>
    <w:qFormat/>
    <w:pPr>
      <w:jc w:val="center"/>
    </w:pPr>
  </w:style>
  <w:style w:type="paragraph" w:customStyle="1" w:styleId="a4">
    <w:name w:val="表格正文"/>
    <w:qFormat/>
    <w:pPr>
      <w:widowControl w:val="0"/>
      <w:spacing w:line="440" w:lineRule="exact"/>
      <w:jc w:val="center"/>
    </w:pPr>
    <w:rPr>
      <w:rFonts w:ascii="宋体" w:eastAsia="宋体" w:hAnsi="宋体" w:cs="Times New Roman"/>
      <w:lang w:val="en-US" w:eastAsia="zh-CN" w:bidi="ar-SA"/>
    </w:rPr>
  </w:style>
  <w:style w:type="paragraph" w:customStyle="1" w:styleId="a5">
    <w:name w:val="应填表格"/>
    <w:basedOn w:val="Normal"/>
    <w:qFormat/>
    <w:pPr>
      <w:adjustRightInd w:val="0"/>
      <w:spacing w:before="40" w:after="40"/>
      <w:jc w:val="left"/>
      <w:textAlignment w:val="baseline"/>
    </w:pPr>
    <w:rPr>
      <w:kern w:val="0"/>
      <w:sz w:val="24"/>
      <w:szCs w:val="20"/>
    </w:rPr>
  </w:style>
  <w:style w:type="paragraph" w:customStyle="1" w:styleId="a6">
    <w:name w:val="居中正文"/>
    <w:basedOn w:val="BodyTextFirstIndent"/>
    <w:qFormat/>
    <w:pPr>
      <w:adjustRightInd w:val="0"/>
      <w:spacing w:before="120" w:after="0" w:line="360" w:lineRule="auto"/>
      <w:ind w:firstLine="0" w:firstLineChars="0"/>
      <w:jc w:val="center"/>
    </w:pPr>
    <w:rPr>
      <w:rFonts w:ascii="宋体"/>
      <w:kern w:val="28"/>
      <w:lang w:val="zh-CN"/>
    </w:rPr>
  </w:style>
  <w:style w:type="paragraph" w:customStyle="1" w:styleId="a7">
    <w:name w:val="表格内"/>
    <w:basedOn w:val="Normal"/>
    <w:qFormat/>
    <w:pPr>
      <w:adjustRightInd w:val="0"/>
      <w:spacing w:line="240" w:lineRule="atLeast"/>
      <w:jc w:val="center"/>
      <w:textAlignment w:val="baseline"/>
    </w:pPr>
    <w:rPr>
      <w:rFonts w:ascii="宋体" w:hAnsi="Times New Roman"/>
      <w:kern w:val="0"/>
      <w:sz w:val="28"/>
      <w:szCs w:val="20"/>
    </w:rPr>
  </w:style>
  <w:style w:type="paragraph" w:customStyle="1" w:styleId="a8">
    <w:name w:val="..正文"/>
    <w:qFormat/>
    <w:pPr>
      <w:spacing w:line="480" w:lineRule="exact"/>
      <w:ind w:firstLine="200" w:firstLineChars="200"/>
      <w:jc w:val="both"/>
    </w:pPr>
    <w:rPr>
      <w:rFonts w:ascii="Times New Roman" w:eastAsia="宋体" w:hAnsi="Times New Roman" w:cs="Times New Roman"/>
      <w:sz w:val="24"/>
      <w:szCs w:val="24"/>
      <w:lang w:val="en-US" w:eastAsia="zh-CN" w:bidi="ar-SA"/>
    </w:rPr>
  </w:style>
  <w:style w:type="paragraph" w:customStyle="1" w:styleId="6-">
    <w:name w:val="6-表头"/>
    <w:basedOn w:val="Normal"/>
    <w:qFormat/>
    <w:pPr>
      <w:autoSpaceDE w:val="0"/>
      <w:autoSpaceDN w:val="0"/>
      <w:jc w:val="center"/>
    </w:pPr>
    <w:rPr>
      <w:rFonts w:ascii="Times New Roman" w:eastAsia="宋体" w:hAnsi="Times New Roman" w:cs="Times New Roman"/>
      <w:b/>
      <w:bCs/>
      <w:color w:val="0000FF"/>
      <w:sz w:val="24"/>
      <w:szCs w:val="21"/>
    </w:rPr>
  </w:style>
  <w:style w:type="character" w:customStyle="1" w:styleId="Char3">
    <w:name w:val="批注框文本 Char"/>
    <w:basedOn w:val="DefaultParagraphFont"/>
    <w:link w:val="BalloonText"/>
    <w:qFormat/>
    <w:rPr>
      <w:rFonts w:asciiTheme="minorHAnsi" w:eastAsiaTheme="minorEastAsia" w:hAnsiTheme="minorHAnsi" w:cstheme="minorBidi"/>
      <w:kern w:val="2"/>
      <w:sz w:val="18"/>
      <w:szCs w:val="18"/>
    </w:rPr>
  </w:style>
  <w:style w:type="character" w:customStyle="1" w:styleId="Char4">
    <w:name w:val="纯文本 Char"/>
    <w:basedOn w:val="DefaultParagraphFont"/>
    <w:link w:val="PlainText"/>
    <w:qFormat/>
    <w:rPr>
      <w:rFonts w:ascii="宋体" w:hAnsi="Courier New" w:eastAsiaTheme="minorEastAsia" w:cstheme="minorBidi"/>
      <w:kern w:val="2"/>
      <w:sz w:val="21"/>
      <w:szCs w:val="24"/>
    </w:rPr>
  </w:style>
  <w:style w:type="character" w:customStyle="1" w:styleId="Char5">
    <w:name w:val="页眉 Char"/>
    <w:basedOn w:val="DefaultParagraphFont"/>
    <w:link w:val="Header"/>
    <w:qFormat/>
    <w:rPr>
      <w:rFonts w:asciiTheme="minorHAnsi" w:eastAsiaTheme="minorEastAsia" w:hAnsiTheme="minorHAnsi" w:cstheme="minorBidi"/>
      <w:kern w:val="2"/>
      <w:sz w:val="18"/>
      <w:szCs w:val="18"/>
    </w:rPr>
  </w:style>
  <w:style w:type="character" w:customStyle="1" w:styleId="1Char">
    <w:name w:val="样式1 Char"/>
    <w:link w:val="10"/>
    <w:qFormat/>
    <w:locked/>
    <w:rPr>
      <w:rFonts w:ascii="宋体" w:hAnsiTheme="minorHAnsi" w:cstheme="minorBidi"/>
      <w:kern w:val="2"/>
      <w:sz w:val="21"/>
      <w:szCs w:val="24"/>
    </w:rPr>
  </w:style>
  <w:style w:type="character" w:customStyle="1" w:styleId="Char10">
    <w:name w:val="页眉 Char1"/>
    <w:basedOn w:val="DefaultParagraphFont"/>
    <w:link w:val="Header"/>
    <w:qFormat/>
    <w:locked/>
    <w:rPr>
      <w:kern w:val="2"/>
      <w:sz w:val="18"/>
    </w:rPr>
  </w:style>
  <w:style w:type="character" w:customStyle="1" w:styleId="Char6">
    <w:name w:val="正文缩进 Char"/>
    <w:link w:val="NormalIndent"/>
    <w:uiPriority w:val="99"/>
    <w:qFormat/>
    <w:locked/>
    <w:rPr>
      <w:rFonts w:asciiTheme="minorHAnsi" w:eastAsiaTheme="minorEastAsia" w:hAnsiTheme="minorHAnsi" w:cstheme="minorBidi"/>
      <w:kern w:val="2"/>
      <w:sz w:val="21"/>
      <w:szCs w:val="24"/>
    </w:rPr>
  </w:style>
  <w:style w:type="character" w:customStyle="1" w:styleId="Char7">
    <w:name w:val="日期 Char"/>
    <w:basedOn w:val="DefaultParagraphFont"/>
    <w:link w:val="Date"/>
    <w:qFormat/>
    <w:rPr>
      <w:rFonts w:ascii="汉鼎简老宋" w:eastAsia="汉鼎简老宋"/>
      <w:kern w:val="2"/>
      <w:sz w:val="44"/>
    </w:rPr>
  </w:style>
  <w:style w:type="paragraph" w:customStyle="1" w:styleId="a9">
    <w:name w:val="我正文"/>
    <w:basedOn w:val="Normal"/>
    <w:qFormat/>
    <w:pPr>
      <w:spacing w:line="360" w:lineRule="auto"/>
      <w:ind w:firstLine="480" w:firstLineChars="200"/>
    </w:pPr>
    <w:rPr>
      <w:rFonts w:ascii="Times New Roman" w:eastAsia="宋体" w:hAnsi="Times New Roman" w:cs="Times New Roman"/>
      <w:sz w:val="24"/>
      <w:szCs w:val="20"/>
    </w:rPr>
  </w:style>
  <w:style w:type="character" w:customStyle="1" w:styleId="Char8">
    <w:name w:val="称呼 Char"/>
    <w:basedOn w:val="DefaultParagraphFont"/>
    <w:link w:val="Salutation"/>
    <w:qFormat/>
    <w:rPr>
      <w:kern w:val="2"/>
      <w:sz w:val="21"/>
    </w:rPr>
  </w:style>
  <w:style w:type="character" w:customStyle="1" w:styleId="Char11">
    <w:name w:val="表内格式 Char1"/>
    <w:link w:val="a10"/>
    <w:qFormat/>
    <w:locked/>
    <w:rPr>
      <w:rFonts w:ascii="宋体" w:hAnsi="宋体" w:cs="宋体"/>
      <w:sz w:val="18"/>
    </w:rPr>
  </w:style>
  <w:style w:type="paragraph" w:customStyle="1" w:styleId="a10">
    <w:name w:val="表内格式"/>
    <w:basedOn w:val="Normal"/>
    <w:next w:val="Normal"/>
    <w:link w:val="Char11"/>
    <w:qFormat/>
    <w:pPr>
      <w:widowControl/>
      <w:jc w:val="center"/>
    </w:pPr>
    <w:rPr>
      <w:rFonts w:ascii="宋体" w:eastAsia="宋体" w:hAnsi="宋体" w:cs="宋体"/>
      <w:kern w:val="0"/>
      <w:sz w:val="18"/>
      <w:szCs w:val="20"/>
    </w:rPr>
  </w:style>
  <w:style w:type="character" w:customStyle="1" w:styleId="Char9">
    <w:name w:val="批注文字 Char"/>
    <w:basedOn w:val="DefaultParagraphFont"/>
    <w:link w:val="CommentText"/>
    <w:qFormat/>
    <w:locked/>
    <w:rPr>
      <w:rFonts w:asciiTheme="minorHAnsi" w:eastAsiaTheme="minorEastAsia" w:hAnsiTheme="minorHAnsi" w:cstheme="minorBidi"/>
      <w:kern w:val="2"/>
      <w:sz w:val="21"/>
      <w:szCs w:val="24"/>
    </w:rPr>
  </w:style>
  <w:style w:type="paragraph" w:customStyle="1" w:styleId="a11">
    <w:name w:val="+表头"/>
    <w:basedOn w:val="Normal"/>
    <w:next w:val="a0"/>
    <w:qFormat/>
    <w:pPr>
      <w:adjustRightInd w:val="0"/>
      <w:snapToGrid w:val="0"/>
      <w:jc w:val="center"/>
    </w:pPr>
    <w:rPr>
      <w:rFonts w:ascii="Times New Roman" w:hAnsi="Times New Roman"/>
      <w:b/>
      <w:szCs w:val="21"/>
    </w:rPr>
  </w:style>
  <w:style w:type="paragraph" w:customStyle="1" w:styleId="-ls">
    <w:name w:val="正文-ls"/>
    <w:basedOn w:val="Normal"/>
    <w:qFormat/>
    <w:pPr>
      <w:spacing w:line="360" w:lineRule="auto"/>
      <w:ind w:firstLine="200" w:firstLineChars="200"/>
    </w:pPr>
    <w:rPr>
      <w:rFonts w:hAnsi="宋体"/>
      <w:sz w:val="24"/>
      <w:szCs w:val="20"/>
    </w:rPr>
  </w:style>
  <w:style w:type="character" w:customStyle="1" w:styleId="1Char0">
    <w:name w:val="标题 1 Char"/>
    <w:basedOn w:val="DefaultParagraphFont"/>
    <w:link w:val="Heading1"/>
    <w:qFormat/>
    <w:rPr>
      <w:rFonts w:asciiTheme="minorHAnsi" w:eastAsiaTheme="minorEastAsia" w:hAnsiTheme="minorHAnsi" w:cstheme="minorBidi"/>
      <w:b/>
      <w:bCs/>
      <w:kern w:val="44"/>
      <w:sz w:val="44"/>
      <w:szCs w:val="44"/>
    </w:rPr>
  </w:style>
  <w:style w:type="paragraph" w:customStyle="1" w:styleId="a12">
    <w:name w:val="表格内容"/>
    <w:basedOn w:val="a13"/>
    <w:qFormat/>
    <w:pPr>
      <w:keepNext w:val="0"/>
      <w:keepLines w:val="0"/>
      <w:widowControl w:val="0"/>
      <w:suppressLineNumbers w:val="0"/>
      <w:adjustRightInd w:val="0"/>
      <w:snapToGrid w:val="0"/>
      <w:spacing w:before="0" w:beforeAutospacing="0" w:after="0" w:afterAutospacing="0"/>
      <w:ind w:left="0" w:right="0"/>
      <w:jc w:val="center"/>
    </w:pPr>
    <w:rPr>
      <w:rFonts w:ascii="Times New Roman" w:eastAsia="Times New Roman" w:hAnsi="Times New Roman" w:cs="Times New Roman" w:hint="default"/>
      <w:b w:val="0"/>
      <w:snapToGrid/>
      <w:kern w:val="2"/>
      <w:sz w:val="21"/>
      <w:szCs w:val="21"/>
      <w:lang w:val="en-US" w:eastAsia="zh-CN" w:bidi="ar"/>
    </w:rPr>
  </w:style>
  <w:style w:type="paragraph" w:customStyle="1" w:styleId="a13">
    <w:name w:val="图表名"/>
    <w:basedOn w:val="Normal"/>
    <w:qFormat/>
    <w:pPr>
      <w:keepNext w:val="0"/>
      <w:keepLines w:val="0"/>
      <w:widowControl w:val="0"/>
      <w:suppressLineNumbers w:val="0"/>
      <w:adjustRightInd w:val="0"/>
      <w:snapToGrid w:val="0"/>
      <w:spacing w:before="0" w:beforeAutospacing="0" w:after="0" w:afterAutospacing="0"/>
      <w:ind w:left="0" w:right="0"/>
      <w:jc w:val="center"/>
    </w:pPr>
    <w:rPr>
      <w:rFonts w:ascii="Times New Roman" w:eastAsia="Times New Roman" w:hAnsi="Times New Roman" w:cs="Times New Roman" w:hint="default"/>
      <w:b/>
      <w:kern w:val="2"/>
      <w:sz w:val="21"/>
      <w:szCs w:val="21"/>
      <w:lang w:val="en-US" w:eastAsia="zh-CN" w:bidi="ar"/>
    </w:rPr>
  </w:style>
  <w:style w:type="paragraph" w:customStyle="1" w:styleId="a14">
    <w:name w:val="正文格式"/>
    <w:basedOn w:val="Normal"/>
    <w:qFormat/>
    <w:pPr>
      <w:ind w:firstLine="560"/>
      <w:jc w:val="both"/>
    </w:pPr>
    <w:rPr>
      <w:rFonts w:eastAsia="楷体_GB2312"/>
      <w:sz w:val="28"/>
    </w:rPr>
  </w:style>
  <w:style w:type="paragraph" w:customStyle="1" w:styleId="11">
    <w:name w:val="表头1"/>
    <w:basedOn w:val="Normal"/>
    <w:qFormat/>
    <w:pPr>
      <w:spacing w:line="240" w:lineRule="auto"/>
      <w:jc w:val="center"/>
    </w:pPr>
    <w:rPr>
      <w:b/>
      <w:szCs w:val="22"/>
    </w:rPr>
  </w:style>
  <w:style w:type="table" w:customStyle="1" w:styleId="TableGrid0">
    <w:name w:val="Table Grid_0"/>
    <w:basedOn w:val="TableNormal"/>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book118.com/857022004145006054" TargetMode="External" /><Relationship Id="rId11" Type="http://schemas.openxmlformats.org/officeDocument/2006/relationships/footer" Target="footer6.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106"/>
    <customShpInfo spid="_x0000_s2107"/>
    <customShpInfo spid="_x0000_s2108"/>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101"/>
    <customShpInfo spid="_x0000_s2102"/>
    <customShpInfo spid="_x0000_s2103"/>
    <customShpInfo spid="_x0000_s2104"/>
    <customShpInfo spid="_x0000_s2105"/>
    <customShpInfo spid="_x0000_s2050"/>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9"/>
    <customShpInfo spid="_x0000_s2110"/>
    <customShpInfo spid="_x0000_s2072"/>
    <customShpInfo spid="_x0000_s2112"/>
    <customShpInfo spid="_x0000_s2113"/>
    <customShpInfo spid="_x0000_s2114"/>
    <customShpInfo spid="_x0000_s2115"/>
    <customShpInfo spid="_x0000_s2123"/>
    <customShpInfo spid="_x0000_s2138"/>
    <customShpInfo spid="_x0000_s2139"/>
    <customShpInfo spid="_x0000_s2140"/>
    <customShpInfo spid="_x0000_s2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15155</Words>
  <Characters>17862</Characters>
  <Application>Microsoft Office Word</Application>
  <DocSecurity>0</DocSecurity>
  <Lines>156</Lines>
  <Paragraphs>44</Paragraphs>
  <ScaleCrop>false</ScaleCrop>
  <Company>china</Company>
  <LinksUpToDate>false</LinksUpToDate>
  <CharactersWithSpaces>18015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WPS_1559717548</cp:lastModifiedBy>
  <cp:revision>33</cp:revision>
  <cp:lastPrinted>2021-04-25T02:57:00Z</cp:lastPrinted>
  <dcterms:created xsi:type="dcterms:W3CDTF">2021-04-19T01:36:00Z</dcterms:created>
  <dcterms:modified xsi:type="dcterms:W3CDTF">2024-03-20T08:38:54Z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3D4AFD0C07394B58B180CCFA4AC79ECA</vt:lpwstr>
  </property>
  <property fmtid="{D5CDD505-2E9C-101B-9397-08002B2CF9AE}" pid="3" name="KSOProductBuildVer">
    <vt:lpwstr>2052-11.1.0.10009</vt:lpwstr>
  </property>
</Properties>
</file>