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14B9D" w14:paraId="38121F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4B9D" w14:paraId="240051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4B9D" w14:paraId="437844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4B9D" w:rsidRPr="00314B9D" w14:paraId="39FE4697" w14:textId="77CB9FF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14B9D">
        <w:rPr>
          <w:rFonts w:ascii="宋体" w:eastAsia="宋体" w:hAnsi="宋体" w:hint="eastAsia"/>
          <w:b/>
          <w:sz w:val="60"/>
        </w:rPr>
        <w:t>电子线圈项目绩效评估报告</w:t>
      </w:r>
    </w:p>
    <w:p w:rsidR="00314B9D" w:rsidP="00314B9D" w14:paraId="6B6B20D7" w14:textId="1D394AF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14B9D">
        <w:rPr>
          <w:rFonts w:ascii="仿宋" w:eastAsia="仿宋" w:hAnsi="仿宋" w:hint="eastAsia"/>
          <w:b/>
          <w:sz w:val="40"/>
        </w:rPr>
        <w:t>目录</w:t>
      </w:r>
    </w:p>
    <w:p w:rsidR="00314B9D" w14:paraId="01284CE3" w14:textId="6DD566D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4B9D" w14:paraId="021A464F" w14:textId="3F1235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4B9D" w14:paraId="4507EDC3" w14:textId="240071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4B9D" w14:paraId="5C39257E" w14:textId="12212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4B9D" w14:paraId="17604797" w14:textId="3CFC1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14B9D" w14:paraId="63A72626" w14:textId="704551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14B9D" w14:paraId="1E6F65C9" w14:textId="766FE7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14B9D" w14:paraId="32A08BAA" w14:textId="4745D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14B9D" w14:paraId="541AC2B6" w14:textId="0F93F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14B9D" w14:paraId="21ACA4AC" w14:textId="2C55D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14B9D" w14:paraId="77362B2E" w14:textId="72C6D0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14B9D" w14:paraId="74237599" w14:textId="51CBE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14B9D" w14:paraId="0F637262" w14:textId="2A3FF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14B9D" w14:paraId="7527E08E" w14:textId="1B685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14B9D" w14:paraId="15DEA851" w14:textId="4DD5A9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14B9D" w14:paraId="19EBE14D" w14:textId="456BE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(一)、电子线圈项目选址原则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14B9D" w14:paraId="092F1174" w14:textId="05AA8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14B9D" w14:paraId="6DBD57BE" w14:textId="48B89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14B9D" w14:paraId="13DC149A" w14:textId="55872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_Toc153512335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14B9D" w14:paraId="7D0F2618" w14:textId="136BA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(五)、电子线圈项目选址综合评价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14B9D" w14:paraId="493551DE" w14:textId="3C758C0F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14B9D" w14:paraId="1D9281E6" w14:textId="375B5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14B9D" w14:paraId="188E1CA3" w14:textId="6E7DF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14B9D" w14:paraId="1EED6904" w14:textId="470537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14B9D" w14:paraId="14E28317" w14:textId="3E4FD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14B9D" w14:paraId="50CBCB84" w14:textId="0B42D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14B9D" w14:paraId="354B6FB4" w14:textId="31130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_Toc153512343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14B9D" w14:paraId="2A0923AF" w14:textId="75865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14B9D" w14:paraId="3BAABB81" w14:textId="33F80C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14B9D" w14:paraId="1FE80FEB" w14:textId="03639D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14B9D" w14:paraId="24B76BDC" w14:textId="04BD8D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14B9D" w14:paraId="2BB1A752" w14:textId="2C0B5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(一)、电子线圈项目风险分析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14B9D" w14:paraId="596CCACE" w14:textId="575F7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(二)、电子线圈项目风险对策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14B9D" w14:paraId="3DAD2EC2" w14:textId="5C0D86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_Toc153512350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14B9D" w14:paraId="37E78DDC" w14:textId="33A33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14B9D" w14:paraId="493A1267" w14:textId="39C57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14B9D" w14:paraId="53E0DF52" w14:textId="4BE9F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14B9D" w14:paraId="74E427D3" w14:textId="53D1B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14B9D" w14:paraId="6FD8BE17" w14:textId="4C2FB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_Toc153512355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14B9D" w14:paraId="69015CAF" w14:textId="799747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14B9D" w14:paraId="744D87CD" w14:textId="00DB7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_Toc153512357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14B9D" w14:paraId="5D5FC8B2" w14:textId="41DA1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_Toc153512358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14B9D" w14:paraId="3EA32D01" w14:textId="67BD5F5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(三)、电子线圈项目盈利能力分析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_Toc153512359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14B9D" w14:paraId="15025F20" w14:textId="433FF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_Toc153512360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14B9D" w14:paraId="17080759" w14:textId="41C58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_Toc153512361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14B9D" w14:paraId="2A0EA811" w14:textId="7D4D7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14B9D" w14:paraId="0F5259A3" w14:textId="3CEA91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14B9D" w14:paraId="6545844D" w14:textId="067FD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_Toc153512364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14B9D" w14:paraId="36F15FC1" w14:textId="61980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14B9D" w14:paraId="64F34A86" w14:textId="4D493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14B9D" w14:paraId="647EE798" w14:textId="5258DA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14B9D" w14:paraId="7387A827" w14:textId="188C0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14B9D" w14:paraId="364ADCA0" w14:textId="5DEFE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14B9D" w14:paraId="70FEB4B9" w14:textId="036C3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_Toc153512370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14B9D" w14:paraId="76680BCC" w14:textId="09712C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_Toc153512371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14B9D" w14:paraId="10999536" w14:textId="1D540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14B9D" w14:paraId="6EFDF515" w14:textId="2EE5A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_Toc153512373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14B9D" w14:paraId="1FB016E0" w14:textId="0719D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_Toc153512374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14B9D" w14:paraId="416A46BF" w14:textId="374467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_Toc153512375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14B9D" w14:paraId="2528F025" w14:textId="0F996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_Toc153512376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14B9D" w14:paraId="2E917E5B" w14:textId="1E903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14B9D" w14:paraId="1EA92467" w14:textId="43E857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14B9D" w14:paraId="59E657DC" w14:textId="5847E2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_Toc153512379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14B9D" w14:paraId="74C587F5" w14:textId="2090C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14B9D" w14:paraId="58FDB791" w14:textId="3DE02C9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14B9D" w14:paraId="18780F5E" w14:textId="3D666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_Toc153512382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14B9D" w:rsidP="00314B9D" w14:paraId="7CBF4876" w14:textId="50F24CE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314B9D" w:rsidP="00314B9D" w14:paraId="30A36FA5" w14:textId="146EE120">
      <w:pPr>
        <w:pStyle w:val="Heading1"/>
        <w:jc w:val="center"/>
        <w:rPr>
          <w:rFonts w:hint="eastAsia"/>
        </w:rPr>
      </w:pPr>
      <w:bookmarkStart w:id="0" w:name="_Toc153512317"/>
      <w:r w:rsidRPr="00314B9D">
        <w:rPr>
          <w:rFonts w:hint="eastAsia"/>
        </w:rPr>
        <w:t>序言</w:t>
      </w:r>
      <w:bookmarkEnd w:id="0"/>
    </w:p>
    <w:p w:rsidR="00314B9D" w:rsidP="00314B9D" w14:paraId="6378D8DF" w14:textId="2E24DDD2">
      <w:pPr>
        <w:ind w:firstLine="560" w:firstLineChars="200"/>
        <w:rPr>
          <w:rFonts w:ascii="仿宋" w:eastAsia="仿宋" w:hAnsi="仿宋" w:hint="eastAsia"/>
          <w:sz w:val="28"/>
        </w:rPr>
      </w:pPr>
      <w:r w:rsidRPr="00314B9D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314B9D" w:rsidP="00314B9D" w14:paraId="61C5C5EE" w14:textId="7B471512">
      <w:pPr>
        <w:pStyle w:val="Heading1"/>
        <w:rPr>
          <w:rFonts w:hint="eastAsia"/>
        </w:rPr>
      </w:pPr>
      <w:bookmarkStart w:id="1" w:name="_Toc153512318"/>
      <w:r w:rsidRPr="00314B9D">
        <w:rPr>
          <w:rFonts w:hint="eastAsia"/>
        </w:rPr>
        <w:t>一、社交媒体与在线营销</w:t>
      </w:r>
      <w:bookmarkEnd w:id="1"/>
    </w:p>
    <w:p w:rsidR="00314B9D" w:rsidP="00314B9D" w14:paraId="35FDE1BC" w14:textId="67C9BD70">
      <w:pPr>
        <w:pStyle w:val="Heading2"/>
      </w:pPr>
      <w:bookmarkStart w:id="2" w:name="_Toc153512319"/>
      <w:r w:rsidRPr="00314B9D">
        <w:t>(一)、社交媒体策略</w:t>
      </w:r>
      <w:bookmarkEnd w:id="2"/>
    </w:p>
    <w:p w:rsidR="00314B9D" w:rsidRPr="00314B9D" w:rsidP="00314B9D" w14:paraId="24E17398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314B9D">
        <w:rPr>
          <w:rFonts w:ascii="仿宋" w:eastAsia="仿宋" w:hAnsi="仿宋"/>
          <w:sz w:val="28"/>
        </w:rPr>
        <w:t>XXXX等。</w:t>
      </w:r>
    </w:p>
    <w:p w:rsidR="00314B9D" w:rsidRPr="00314B9D" w:rsidP="00314B9D" w14:paraId="4C771D14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314B9D" w:rsidRPr="00314B9D" w:rsidP="00314B9D" w14:paraId="5823C68B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314B9D" w:rsidP="00314B9D" w14:paraId="51852AAA" w14:textId="6F84ADF1">
      <w:pPr>
        <w:ind w:firstLine="560" w:firstLineChars="200"/>
        <w:rPr>
          <w:rFonts w:ascii="仿宋" w:eastAsia="仿宋" w:hAnsi="仿宋" w:hint="eastAsia"/>
          <w:sz w:val="28"/>
        </w:rPr>
      </w:pPr>
      <w:r w:rsidRPr="00314B9D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314B9D" w:rsidP="00314B9D" w14:paraId="592BFEC7" w14:textId="07D9F8CE">
      <w:pPr>
        <w:pStyle w:val="Heading2"/>
      </w:pPr>
      <w:bookmarkStart w:id="3" w:name="_Toc153512320"/>
      <w:r w:rsidRPr="00314B9D">
        <w:t>(二)、在线广告与内容营销</w:t>
      </w:r>
      <w:bookmarkEnd w:id="3"/>
    </w:p>
    <w:p w:rsidR="00314B9D" w:rsidRPr="00314B9D" w:rsidP="00314B9D" w14:paraId="109B5928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选择合适的在线广告渠道，如</w:t>
      </w:r>
      <w:r w:rsidRPr="00314B9D">
        <w:rPr>
          <w:rFonts w:ascii="仿宋" w:eastAsia="仿宋" w:hAnsi="仿宋"/>
          <w:sz w:val="28"/>
        </w:rPr>
        <w:t>xxx、社交媒体广告等。</w:t>
      </w:r>
    </w:p>
    <w:p w:rsidR="00314B9D" w:rsidRPr="00314B9D" w:rsidP="00314B9D" w14:paraId="06869FD1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314B9D" w:rsidRPr="00314B9D" w:rsidP="00314B9D" w14:paraId="607CBDA6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制定广告预算并管理广告开支。</w:t>
      </w:r>
    </w:p>
    <w:p w:rsidR="00314B9D" w:rsidRPr="00314B9D" w:rsidP="00314B9D" w14:paraId="1852C04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314B9D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314B9D" w:rsidP="00314B9D" w14:paraId="0F8F93D7" w14:textId="39A8143A">
      <w:pPr>
        <w:ind w:firstLine="560" w:firstLineChars="200"/>
        <w:rPr>
          <w:rFonts w:ascii="仿宋" w:eastAsia="仿宋" w:hAnsi="仿宋" w:hint="eastAsia"/>
          <w:sz w:val="28"/>
        </w:rPr>
      </w:pPr>
      <w:r w:rsidRPr="00314B9D">
        <w:rPr>
          <w:rFonts w:ascii="仿宋" w:eastAsia="仿宋" w:hAnsi="仿宋" w:hint="eastAsia"/>
          <w:sz w:val="28"/>
        </w:rPr>
        <w:t>优化网站以提高在搜索引擎上的可见性。</w:t>
      </w:r>
    </w:p>
    <w:p w:rsidR="00314B9D" w:rsidP="00314B9D" w14:paraId="6C4331ED" w14:textId="68DF447D">
      <w:pPr>
        <w:pStyle w:val="Heading2"/>
      </w:pPr>
      <w:bookmarkStart w:id="4" w:name="_Toc153512321"/>
      <w:r w:rsidRPr="00314B9D">
        <w:t>(三)、社交媒体分析与ROI</w:t>
      </w:r>
      <w:bookmarkEnd w:id="4"/>
    </w:p>
    <w:p w:rsidR="00314B9D" w:rsidRPr="00314B9D" w:rsidP="00314B9D" w14:paraId="5F779B22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314B9D" w:rsidRPr="00314B9D" w:rsidP="00314B9D" w14:paraId="6B8F0FA8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使用分析工具如</w:t>
      </w:r>
      <w:r w:rsidRPr="00314B9D">
        <w:rPr>
          <w:rFonts w:ascii="仿宋" w:eastAsia="仿宋" w:hAnsi="仿宋"/>
          <w:sz w:val="28"/>
        </w:rPr>
        <w:t>XXX、社交媒体分析工具来监测表现。</w:t>
      </w:r>
    </w:p>
    <w:p w:rsidR="00314B9D" w:rsidP="00314B9D" w14:paraId="0EC36733" w14:textId="6A588329">
      <w:pPr>
        <w:ind w:firstLine="560" w:firstLineChars="200"/>
        <w:rPr>
          <w:rFonts w:ascii="仿宋" w:eastAsia="仿宋" w:hAnsi="仿宋" w:hint="eastAsia"/>
          <w:sz w:val="28"/>
        </w:rPr>
      </w:pPr>
      <w:r w:rsidRPr="00314B9D">
        <w:rPr>
          <w:rFonts w:ascii="仿宋" w:eastAsia="仿宋" w:hAnsi="仿宋" w:hint="eastAsia"/>
          <w:sz w:val="28"/>
        </w:rPr>
        <w:t>计算投资回报率，以确定哪些策略或广告效果最佳。</w:t>
      </w:r>
    </w:p>
    <w:p w:rsidR="00314B9D" w:rsidP="00314B9D" w14:paraId="59C50A46" w14:textId="772817FC">
      <w:pPr>
        <w:pStyle w:val="Heading1"/>
        <w:rPr>
          <w:rFonts w:hint="eastAsia"/>
        </w:rPr>
      </w:pPr>
      <w:bookmarkStart w:id="5" w:name="_Toc153512322"/>
      <w:r w:rsidRPr="00314B9D">
        <w:rPr>
          <w:rFonts w:hint="eastAsia"/>
        </w:rPr>
        <w:t>二、环保分析</w:t>
      </w:r>
      <w:bookmarkEnd w:id="5"/>
    </w:p>
    <w:p w:rsidR="00314B9D" w:rsidP="00314B9D" w14:paraId="577FCC38" w14:textId="5CCA7515">
      <w:pPr>
        <w:pStyle w:val="Heading2"/>
      </w:pPr>
      <w:bookmarkStart w:id="6" w:name="_Toc153512323"/>
      <w:r w:rsidRPr="00314B9D">
        <w:t>(一)、建设期环境影响</w:t>
      </w:r>
      <w:bookmarkEnd w:id="6"/>
    </w:p>
    <w:p w:rsidR="00314B9D" w:rsidRPr="00314B9D" w:rsidP="00314B9D" w14:paraId="2148A9CD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在建设期，电子线圈项目将产生一定数量的污染物排放，主要涉及气体和颗粒物排放。为确保大气环境的合理性，进行了详尽的排放分析：</w:t>
      </w:r>
    </w:p>
    <w:p w:rsidR="00314B9D" w:rsidRPr="00314B9D" w:rsidP="00314B9D" w14:paraId="41A33CC6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气体排放分析：</w:t>
      </w:r>
      <w:r w:rsidRPr="00314B9D">
        <w:rPr>
          <w:rFonts w:ascii="仿宋" w:eastAsia="仿宋" w:hAnsi="仿宋"/>
          <w:sz w:val="28"/>
        </w:rPr>
        <w:t xml:space="preserve"> 对电子线圈项目涉及的气体排放进行详细测算，包括二氧化硫（SO2）、氮氧化物（NOx）、挥发性有机物（VOCs）等。采用先进的净化技术和设备以最大程度减少对大气的不良影响。</w:t>
      </w:r>
    </w:p>
    <w:p w:rsidR="00314B9D" w:rsidRPr="00314B9D" w:rsidP="00314B9D" w14:paraId="3C3CDEF7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颗粒物排放分析：</w:t>
      </w:r>
      <w:r w:rsidRPr="00314B9D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314B9D" w:rsidRPr="00314B9D" w:rsidP="00314B9D" w14:paraId="4295B480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/>
          <w:sz w:val="28"/>
        </w:rPr>
        <w:t>2.1.2 水体质量评估</w:t>
      </w:r>
    </w:p>
    <w:p w:rsidR="00314B9D" w:rsidRPr="00314B9D" w:rsidP="00314B9D" w14:paraId="624DD7D3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314B9D">
        <w:rPr>
          <w:rFonts w:ascii="仿宋" w:eastAsia="仿宋" w:hAnsi="仿宋" w:hint="eastAsia"/>
          <w:sz w:val="28"/>
        </w:rPr>
        <w:t>为了评估对周边水体的潜在影响，进行了水体质量的全面评估：</w:t>
      </w:r>
    </w:p>
    <w:p w:rsidR="00314B9D" w:rsidRPr="00314B9D" w:rsidP="00314B9D" w14:paraId="0427EA18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排水系统设计：</w:t>
      </w:r>
      <w:r w:rsidRPr="00314B9D">
        <w:rPr>
          <w:rFonts w:ascii="仿宋" w:eastAsia="仿宋" w:hAnsi="仿宋"/>
          <w:sz w:val="28"/>
        </w:rPr>
        <w:t xml:space="preserve"> 电子线圈项目建设期间，将采用先进的排水系统，确保排水不对附近水体造成污染。排水口将定期监测，以确保排</w:t>
      </w:r>
      <w:r w:rsidRPr="00314B9D">
        <w:rPr>
          <w:rFonts w:ascii="仿宋" w:eastAsia="仿宋" w:hAnsi="仿宋"/>
          <w:sz w:val="28"/>
        </w:rPr>
        <w:t>放水质符合相关法规标准。</w:t>
      </w:r>
    </w:p>
    <w:p w:rsidR="00314B9D" w:rsidRPr="00314B9D" w:rsidP="00314B9D" w14:paraId="5417A57C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水质监测网络：</w:t>
      </w:r>
      <w:r w:rsidRPr="00314B9D">
        <w:rPr>
          <w:rFonts w:ascii="仿宋" w:eastAsia="仿宋" w:hAnsi="仿宋"/>
          <w:sz w:val="28"/>
        </w:rPr>
        <w:t xml:space="preserve"> 在电子线圈项目周边建立水质监测网络，定期对水体进行取样和监测。对于任何异常情况，将采取及时的措施进行纠正，并及时向相关监管机构报告。</w:t>
      </w:r>
    </w:p>
    <w:p w:rsidR="00314B9D" w:rsidRPr="00314B9D" w:rsidP="00314B9D" w14:paraId="36215B35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/>
          <w:sz w:val="28"/>
        </w:rPr>
        <w:t>2.2 固体废弃物管理</w:t>
      </w:r>
    </w:p>
    <w:p w:rsidR="00314B9D" w:rsidRPr="00314B9D" w:rsidP="00314B9D" w14:paraId="0B706FCB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/>
          <w:sz w:val="28"/>
        </w:rPr>
        <w:t>2.2.1 产生与处理分析</w:t>
      </w:r>
    </w:p>
    <w:p w:rsidR="00314B9D" w:rsidRPr="00314B9D" w:rsidP="00314B9D" w14:paraId="5C7BD317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在建设期，电子线圈项目产生的固体废弃物将得到合理管理：</w:t>
      </w:r>
    </w:p>
    <w:p w:rsidR="00314B9D" w:rsidRPr="00314B9D" w:rsidP="00314B9D" w14:paraId="16F5C8E6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废弃物分类：</w:t>
      </w:r>
      <w:r w:rsidRPr="00314B9D">
        <w:rPr>
          <w:rFonts w:ascii="仿宋" w:eastAsia="仿宋" w:hAnsi="仿宋"/>
          <w:sz w:val="28"/>
        </w:rPr>
        <w:t xml:space="preserve"> 对产生的废弃物进行详细分类，包括可回收物、有害废</w:t>
      </w:r>
      <w:r w:rsidRPr="00314B9D">
        <w:rPr>
          <w:rFonts w:ascii="仿宋" w:eastAsia="仿宋" w:hAnsi="仿宋" w:hint="eastAsia"/>
          <w:sz w:val="28"/>
        </w:rPr>
        <w:t>物和一般废物。采用科学合理的处理方法，最大限度地减少对环境的负面影响。</w:t>
      </w:r>
    </w:p>
    <w:p w:rsidR="00314B9D" w:rsidRPr="00314B9D" w:rsidP="00314B9D" w14:paraId="06831F22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建设期废弃物来源：</w:t>
      </w:r>
      <w:r w:rsidRPr="00314B9D">
        <w:rPr>
          <w:rFonts w:ascii="仿宋" w:eastAsia="仿宋" w:hAnsi="仿宋"/>
          <w:sz w:val="28"/>
        </w:rPr>
        <w:t xml:space="preserve"> 详细列出各类废弃物的来源和数量，以便合理规划收集、运输和处理的方案。</w:t>
      </w:r>
    </w:p>
    <w:p w:rsidR="00314B9D" w:rsidRPr="00314B9D" w:rsidP="00314B9D" w14:paraId="22E33270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/>
          <w:sz w:val="28"/>
        </w:rPr>
        <w:t>2.2.2 环境可行性评估</w:t>
      </w:r>
    </w:p>
    <w:p w:rsidR="00314B9D" w:rsidRPr="00314B9D" w:rsidP="00314B9D" w14:paraId="3B56E793" w14:textId="77777777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环境影响评估：</w:t>
      </w:r>
      <w:r w:rsidRPr="00314B9D">
        <w:rPr>
          <w:rFonts w:ascii="仿宋" w:eastAsia="仿宋" w:hAnsi="仿宋"/>
          <w:sz w:val="28"/>
        </w:rPr>
        <w:t xml:space="preserve"> 对固体废弃物的处理过程进行全面评估，确保采取的处理措施符合环保法规和标准。采用绿色、低碳的废弃物处理技术，最大限度地减少对土壤和地下水的污染。</w:t>
      </w:r>
    </w:p>
    <w:p w:rsidR="00314B9D" w:rsidP="00314B9D" w14:paraId="6E198D86" w14:textId="3C6FBDE3">
      <w:pPr>
        <w:ind w:firstLine="560" w:firstLineChars="200"/>
        <w:rPr>
          <w:rFonts w:ascii="仿宋" w:eastAsia="仿宋" w:hAnsi="仿宋"/>
          <w:sz w:val="28"/>
        </w:rPr>
      </w:pPr>
      <w:r w:rsidRPr="00314B9D">
        <w:rPr>
          <w:rFonts w:ascii="仿宋" w:eastAsia="仿宋" w:hAnsi="仿宋" w:hint="eastAsia"/>
          <w:sz w:val="28"/>
        </w:rPr>
        <w:t>社区参与：</w:t>
      </w:r>
      <w:r w:rsidRPr="00314B9D">
        <w:rPr>
          <w:rFonts w:ascii="仿宋" w:eastAsia="仿宋" w:hAnsi="仿宋"/>
          <w:sz w:val="28"/>
        </w:rPr>
        <w:t xml:space="preserve"> 在废弃物处理方案制定的过程中，积极与周边社区进行沟通，接受社区意见，确保废弃物处理方案既满足环保要求，又符合当地社区的期望。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https://d.book118.com/857126060026006032</w:t>
        </w:r>
      </w:hyperlink>
    </w:p>
    <w:p w:rsidR="00314B9D" w:rsidP="00314B9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paraId="709001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4B9D" w14:paraId="2DC2B0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paraId="5F85F4EA" w14:textId="0E02FA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14B9D" w14:paraId="1ABBE78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paraId="31A6369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4B9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textId="0E02FA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14B9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4B9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textId="0E02FA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14B9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4B9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textId="0E02FA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14B9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4B9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textId="0E02FA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14B9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4B9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textId="0E02FA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14B9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4B9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textId="0E02FA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314B9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4B9D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P="00C1102D" w14:textId="0E02FA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314B9D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paraId="0CAE046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RPr="00314B9D" w:rsidP="00314B9D" w14:paraId="6587D0CF" w14:textId="508A4D40">
    <w:pPr>
      <w:pStyle w:val="Header"/>
      <w:rPr>
        <w:rFonts w:ascii="仿宋" w:eastAsia="仿宋" w:hAnsi="仿宋"/>
      </w:rPr>
    </w:pPr>
    <w:r w:rsidRPr="00314B9D">
      <w:rPr>
        <w:rFonts w:ascii="仿宋" w:eastAsia="仿宋" w:hAnsi="仿宋" w:hint="eastAsia"/>
      </w:rPr>
      <w:t>电子线圈项目绩效评估报告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paraId="41D01E0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RPr="00314B9D" w:rsidP="00314B9D" w14:textId="508A4D40">
    <w:pPr>
      <w:pStyle w:val="Header"/>
      <w:rPr>
        <w:rFonts w:ascii="仿宋" w:eastAsia="仿宋" w:hAnsi="仿宋"/>
      </w:rPr>
    </w:pPr>
    <w:r w:rsidRPr="00314B9D">
      <w:rPr>
        <w:rFonts w:ascii="仿宋" w:eastAsia="仿宋" w:hAnsi="仿宋" w:hint="eastAsia"/>
      </w:rPr>
      <w:t>电子线圈项目绩效评估报告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RPr="00314B9D" w:rsidP="00314B9D" w14:textId="508A4D40">
    <w:pPr>
      <w:pStyle w:val="Header"/>
      <w:rPr>
        <w:rFonts w:ascii="仿宋" w:eastAsia="仿宋" w:hAnsi="仿宋"/>
      </w:rPr>
    </w:pPr>
    <w:r w:rsidRPr="00314B9D">
      <w:rPr>
        <w:rFonts w:ascii="仿宋" w:eastAsia="仿宋" w:hAnsi="仿宋" w:hint="eastAsia"/>
      </w:rPr>
      <w:t>电子线圈项目绩效评估报告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RPr="00314B9D" w:rsidP="00314B9D" w14:textId="508A4D40">
    <w:pPr>
      <w:pStyle w:val="Header"/>
      <w:rPr>
        <w:rFonts w:ascii="仿宋" w:eastAsia="仿宋" w:hAnsi="仿宋"/>
      </w:rPr>
    </w:pPr>
    <w:r w:rsidRPr="00314B9D">
      <w:rPr>
        <w:rFonts w:ascii="仿宋" w:eastAsia="仿宋" w:hAnsi="仿宋" w:hint="eastAsia"/>
      </w:rPr>
      <w:t>电子线圈项目绩效评估报告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RPr="00314B9D" w:rsidP="00314B9D" w14:textId="508A4D40">
    <w:pPr>
      <w:pStyle w:val="Header"/>
      <w:rPr>
        <w:rFonts w:ascii="仿宋" w:eastAsia="仿宋" w:hAnsi="仿宋"/>
      </w:rPr>
    </w:pPr>
    <w:r w:rsidRPr="00314B9D">
      <w:rPr>
        <w:rFonts w:ascii="仿宋" w:eastAsia="仿宋" w:hAnsi="仿宋" w:hint="eastAsia"/>
      </w:rPr>
      <w:t>电子线圈项目绩效评估报告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RPr="00314B9D" w:rsidP="00314B9D" w14:textId="508A4D40">
    <w:pPr>
      <w:pStyle w:val="Header"/>
      <w:rPr>
        <w:rFonts w:ascii="仿宋" w:eastAsia="仿宋" w:hAnsi="仿宋"/>
      </w:rPr>
    </w:pPr>
    <w:r w:rsidRPr="00314B9D">
      <w:rPr>
        <w:rFonts w:ascii="仿宋" w:eastAsia="仿宋" w:hAnsi="仿宋" w:hint="eastAsia"/>
      </w:rPr>
      <w:t>电子线圈项目绩效评估报告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RPr="00314B9D" w:rsidP="00314B9D" w14:textId="508A4D40">
    <w:pPr>
      <w:pStyle w:val="Header"/>
      <w:rPr>
        <w:rFonts w:ascii="仿宋" w:eastAsia="仿宋" w:hAnsi="仿宋"/>
      </w:rPr>
    </w:pPr>
    <w:r w:rsidRPr="00314B9D">
      <w:rPr>
        <w:rFonts w:ascii="仿宋" w:eastAsia="仿宋" w:hAnsi="仿宋" w:hint="eastAsia"/>
      </w:rPr>
      <w:t>电子线圈项目绩效评估报告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:rsidRPr="00314B9D" w:rsidP="00314B9D" w14:textId="508A4D40">
    <w:pPr>
      <w:pStyle w:val="Header"/>
      <w:rPr>
        <w:rFonts w:ascii="仿宋" w:eastAsia="仿宋" w:hAnsi="仿宋"/>
      </w:rPr>
    </w:pPr>
    <w:r w:rsidRPr="00314B9D">
      <w:rPr>
        <w:rFonts w:ascii="仿宋" w:eastAsia="仿宋" w:hAnsi="仿宋" w:hint="eastAsia"/>
      </w:rPr>
      <w:t>电子线圈项目绩效评估报告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B9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B9D"/>
    <w:rsid w:val="00314B9D"/>
    <w:rsid w:val="00A64600"/>
    <w:rsid w:val="00C1102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8DDA5A"/>
  <w15:chartTrackingRefBased/>
  <w15:docId w15:val="{4CB4891C-1442-4077-8EE0-7B35AB916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14B9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14B9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14B9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14B9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14B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14B9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14B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14B9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14B9D"/>
  </w:style>
  <w:style w:type="paragraph" w:styleId="TOC1">
    <w:name w:val="toc 1"/>
    <w:basedOn w:val="Normal"/>
    <w:next w:val="Normal"/>
    <w:autoRedefine/>
    <w:uiPriority w:val="39"/>
    <w:unhideWhenUsed/>
    <w:rsid w:val="00314B9D"/>
  </w:style>
  <w:style w:type="paragraph" w:styleId="TOC2">
    <w:name w:val="toc 2"/>
    <w:basedOn w:val="Normal"/>
    <w:next w:val="Normal"/>
    <w:autoRedefine/>
    <w:uiPriority w:val="39"/>
    <w:unhideWhenUsed/>
    <w:rsid w:val="00314B9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857126060026006032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3263</Words>
  <Characters>18602</Characters>
  <Application>Microsoft Office Word</Application>
  <DocSecurity>0</DocSecurity>
  <Lines>155</Lines>
  <Paragraphs>43</Paragraphs>
  <ScaleCrop>false</ScaleCrop>
  <Company/>
  <LinksUpToDate>false</LinksUpToDate>
  <CharactersWithSpaces>21822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2023-12-14T21:58:00Z</dcterms:created>
  <dcterms:modified xsi:type="dcterms:W3CDTF">2023-12-14T21:58:00Z</dcterms:modified>
</cp:coreProperties>
</file>