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21258">
      <w:pPr>
        <w:widowControl/>
        <w:jc w:val="left"/>
        <w:rPr>
          <w:rFonts w:ascii="仿宋" w:eastAsia="仿宋" w:hAnsi="仿宋"/>
          <w:b/>
          <w:sz w:val="40"/>
        </w:rPr>
      </w:pPr>
      <w:bookmarkStart w:id="0" w:name="_GoBack"/>
      <w:bookmarkEnd w:id="0"/>
    </w:p>
    <w:p w:rsidR="00E21258">
      <w:pPr>
        <w:widowControl/>
        <w:jc w:val="left"/>
        <w:rPr>
          <w:rFonts w:ascii="仿宋" w:eastAsia="仿宋" w:hAnsi="仿宋"/>
          <w:b/>
          <w:sz w:val="40"/>
        </w:rPr>
      </w:pPr>
    </w:p>
    <w:p w:rsidR="00E21258">
      <w:pPr>
        <w:widowControl/>
        <w:jc w:val="left"/>
        <w:rPr>
          <w:rFonts w:ascii="仿宋" w:eastAsia="仿宋" w:hAnsi="仿宋"/>
          <w:b/>
          <w:sz w:val="40"/>
        </w:rPr>
      </w:pPr>
    </w:p>
    <w:p w:rsidR="00E21258" w:rsidRPr="00E2125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21258">
        <w:rPr>
          <w:rFonts w:ascii="宋体" w:eastAsia="宋体" w:hAnsi="宋体" w:hint="eastAsia"/>
          <w:b/>
          <w:sz w:val="60"/>
        </w:rPr>
        <w:t>触媒材料投资回报分析报告</w:t>
      </w:r>
    </w:p>
    <w:p w:rsidR="00E21258" w:rsidP="00E21258">
      <w:pPr>
        <w:widowControl/>
        <w:jc w:val="center"/>
        <w:rPr>
          <w:rFonts w:ascii="仿宋" w:eastAsia="仿宋" w:hAnsi="仿宋" w:hint="eastAsia"/>
          <w:b/>
          <w:sz w:val="40"/>
        </w:rPr>
      </w:pPr>
      <w:r w:rsidRPr="00E21258">
        <w:rPr>
          <w:rFonts w:ascii="仿宋" w:eastAsia="仿宋" w:hAnsi="仿宋" w:hint="eastAsia"/>
          <w:b/>
          <w:sz w:val="40"/>
        </w:rPr>
        <w:t>目录</w:t>
      </w:r>
    </w:p>
    <w:p w:rsidR="00E21258">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_Toc156931229 \h </w:instrText>
      </w:r>
      <w:r>
        <w:rPr>
          <w:noProof/>
        </w:rPr>
        <w:fldChar w:fldCharType="separate"/>
      </w:r>
      <w:r>
        <w:rPr>
          <w:noProof/>
        </w:rPr>
        <w:t>3</w:t>
      </w:r>
      <w:r>
        <w:rPr>
          <w:noProof/>
        </w:rPr>
        <w:fldChar w:fldCharType="end"/>
      </w:r>
    </w:p>
    <w:p w:rsidR="00E21258">
      <w:pPr>
        <w:pStyle w:val="TOC1"/>
        <w:tabs>
          <w:tab w:val="right" w:leader="dot" w:pos="8296"/>
        </w:tabs>
        <w:rPr>
          <w:noProof/>
        </w:rPr>
      </w:pPr>
      <w:r>
        <w:rPr>
          <w:rFonts w:hint="eastAsia"/>
          <w:noProof/>
        </w:rPr>
        <w:t>一、触媒材料项目风险管理方案</w:t>
      </w:r>
      <w:r>
        <w:rPr>
          <w:noProof/>
        </w:rPr>
        <w:tab/>
      </w:r>
      <w:r>
        <w:rPr>
          <w:noProof/>
        </w:rPr>
        <w:fldChar w:fldCharType="begin"/>
      </w:r>
      <w:r>
        <w:rPr>
          <w:noProof/>
        </w:rPr>
        <w:instrText xml:space="preserve"> PAGEREF _Toc156931230 \h </w:instrText>
      </w:r>
      <w:r>
        <w:rPr>
          <w:noProof/>
        </w:rPr>
        <w:fldChar w:fldCharType="separate"/>
      </w:r>
      <w:r>
        <w:rPr>
          <w:noProof/>
        </w:rPr>
        <w:t>3</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_Toc156931231 \h </w:instrText>
      </w:r>
      <w:r>
        <w:rPr>
          <w:noProof/>
        </w:rPr>
        <w:fldChar w:fldCharType="separate"/>
      </w:r>
      <w:r>
        <w:rPr>
          <w:noProof/>
        </w:rPr>
        <w:t>3</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_Toc156931232 \h </w:instrText>
      </w:r>
      <w:r>
        <w:rPr>
          <w:noProof/>
        </w:rPr>
        <w:fldChar w:fldCharType="separate"/>
      </w:r>
      <w:r>
        <w:rPr>
          <w:noProof/>
        </w:rPr>
        <w:t>4</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_Toc156931233 \h </w:instrText>
      </w:r>
      <w:r>
        <w:rPr>
          <w:noProof/>
        </w:rPr>
        <w:fldChar w:fldCharType="separate"/>
      </w:r>
      <w:r>
        <w:rPr>
          <w:noProof/>
        </w:rPr>
        <w:t>7</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_Toc156931234 \h </w:instrText>
      </w:r>
      <w:r>
        <w:rPr>
          <w:noProof/>
        </w:rPr>
        <w:fldChar w:fldCharType="separate"/>
      </w:r>
      <w:r>
        <w:rPr>
          <w:noProof/>
        </w:rPr>
        <w:t>8</w:t>
      </w:r>
      <w:r>
        <w:rPr>
          <w:noProof/>
        </w:rPr>
        <w:fldChar w:fldCharType="end"/>
      </w:r>
    </w:p>
    <w:p w:rsidR="00E21258">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_Toc156931235 \h </w:instrText>
      </w:r>
      <w:r>
        <w:rPr>
          <w:noProof/>
        </w:rPr>
        <w:fldChar w:fldCharType="separate"/>
      </w:r>
      <w:r>
        <w:rPr>
          <w:noProof/>
        </w:rPr>
        <w:t>10</w:t>
      </w:r>
      <w:r>
        <w:rPr>
          <w:noProof/>
        </w:rPr>
        <w:fldChar w:fldCharType="end"/>
      </w:r>
    </w:p>
    <w:p w:rsidR="00E21258">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_Toc156931236 \h </w:instrText>
      </w:r>
      <w:r>
        <w:rPr>
          <w:noProof/>
        </w:rPr>
        <w:fldChar w:fldCharType="separate"/>
      </w:r>
      <w:r>
        <w:rPr>
          <w:noProof/>
        </w:rPr>
        <w:t>14</w:t>
      </w:r>
      <w:r>
        <w:rPr>
          <w:noProof/>
        </w:rPr>
        <w:fldChar w:fldCharType="end"/>
      </w:r>
    </w:p>
    <w:p w:rsidR="00E21258">
      <w:pPr>
        <w:pStyle w:val="TOC1"/>
        <w:tabs>
          <w:tab w:val="right" w:leader="dot" w:pos="8296"/>
        </w:tabs>
        <w:rPr>
          <w:noProof/>
        </w:rPr>
      </w:pPr>
      <w:r>
        <w:rPr>
          <w:rFonts w:hint="eastAsia"/>
          <w:noProof/>
        </w:rPr>
        <w:t>二、触媒材料项目运营管理方案</w:t>
      </w:r>
      <w:r>
        <w:rPr>
          <w:noProof/>
        </w:rPr>
        <w:tab/>
      </w:r>
      <w:r>
        <w:rPr>
          <w:noProof/>
        </w:rPr>
        <w:fldChar w:fldCharType="begin"/>
      </w:r>
      <w:r>
        <w:rPr>
          <w:noProof/>
        </w:rPr>
        <w:instrText xml:space="preserve"> PAGEREF _Toc156931237 \h </w:instrText>
      </w:r>
      <w:r>
        <w:rPr>
          <w:noProof/>
        </w:rPr>
        <w:fldChar w:fldCharType="separate"/>
      </w:r>
      <w:r>
        <w:rPr>
          <w:noProof/>
        </w:rPr>
        <w:t>15</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_Toc156931238 \h </w:instrText>
      </w:r>
      <w:r>
        <w:rPr>
          <w:noProof/>
        </w:rPr>
        <w:fldChar w:fldCharType="separate"/>
      </w:r>
      <w:r>
        <w:rPr>
          <w:noProof/>
        </w:rPr>
        <w:t>15</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_Toc156931239 \h </w:instrText>
      </w:r>
      <w:r>
        <w:rPr>
          <w:noProof/>
        </w:rPr>
        <w:fldChar w:fldCharType="separate"/>
      </w:r>
      <w:r>
        <w:rPr>
          <w:noProof/>
        </w:rPr>
        <w:t>17</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_Toc156931240 \h </w:instrText>
      </w:r>
      <w:r>
        <w:rPr>
          <w:noProof/>
        </w:rPr>
        <w:fldChar w:fldCharType="separate"/>
      </w:r>
      <w:r>
        <w:rPr>
          <w:noProof/>
        </w:rPr>
        <w:t>20</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_Toc156931241 \h </w:instrText>
      </w:r>
      <w:r>
        <w:rPr>
          <w:noProof/>
        </w:rPr>
        <w:fldChar w:fldCharType="separate"/>
      </w:r>
      <w:r>
        <w:rPr>
          <w:noProof/>
        </w:rPr>
        <w:t>22</w:t>
      </w:r>
      <w:r>
        <w:rPr>
          <w:noProof/>
        </w:rPr>
        <w:fldChar w:fldCharType="end"/>
      </w:r>
    </w:p>
    <w:p w:rsidR="00E2125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_Toc156931242 \h </w:instrText>
      </w:r>
      <w:r>
        <w:rPr>
          <w:noProof/>
        </w:rPr>
        <w:fldChar w:fldCharType="separate"/>
      </w:r>
      <w:r>
        <w:rPr>
          <w:noProof/>
        </w:rPr>
        <w:t>24</w:t>
      </w:r>
      <w:r>
        <w:rPr>
          <w:noProof/>
        </w:rPr>
        <w:fldChar w:fldCharType="end"/>
      </w:r>
    </w:p>
    <w:p w:rsidR="00E2125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_Toc156931243 \h </w:instrText>
      </w:r>
      <w:r>
        <w:rPr>
          <w:noProof/>
        </w:rPr>
        <w:fldChar w:fldCharType="separate"/>
      </w:r>
      <w:r>
        <w:rPr>
          <w:noProof/>
        </w:rPr>
        <w:t>26</w:t>
      </w:r>
      <w:r>
        <w:rPr>
          <w:noProof/>
        </w:rPr>
        <w:fldChar w:fldCharType="end"/>
      </w:r>
    </w:p>
    <w:p w:rsidR="00E2125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_Toc156931244 \h </w:instrText>
      </w:r>
      <w:r>
        <w:rPr>
          <w:noProof/>
        </w:rPr>
        <w:fldChar w:fldCharType="separate"/>
      </w:r>
      <w:r>
        <w:rPr>
          <w:noProof/>
        </w:rPr>
        <w:t>28</w:t>
      </w:r>
      <w:r>
        <w:rPr>
          <w:noProof/>
        </w:rPr>
        <w:fldChar w:fldCharType="end"/>
      </w:r>
    </w:p>
    <w:p w:rsidR="00E2125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_Toc156931245 \h </w:instrText>
      </w:r>
      <w:r>
        <w:rPr>
          <w:noProof/>
        </w:rPr>
        <w:fldChar w:fldCharType="separate"/>
      </w:r>
      <w:r>
        <w:rPr>
          <w:noProof/>
        </w:rPr>
        <w:t>30</w:t>
      </w:r>
      <w:r>
        <w:rPr>
          <w:noProof/>
        </w:rPr>
        <w:fldChar w:fldCharType="end"/>
      </w:r>
    </w:p>
    <w:p w:rsidR="00E21258">
      <w:pPr>
        <w:pStyle w:val="TOC1"/>
        <w:tabs>
          <w:tab w:val="right" w:leader="dot" w:pos="8296"/>
        </w:tabs>
        <w:rPr>
          <w:noProof/>
        </w:rPr>
      </w:pPr>
      <w:r>
        <w:rPr>
          <w:rFonts w:hint="eastAsia"/>
          <w:noProof/>
        </w:rPr>
        <w:t>三、触媒材料项目质量管理方案</w:t>
      </w:r>
      <w:r>
        <w:rPr>
          <w:noProof/>
        </w:rPr>
        <w:tab/>
      </w:r>
      <w:r>
        <w:rPr>
          <w:noProof/>
        </w:rPr>
        <w:fldChar w:fldCharType="begin"/>
      </w:r>
      <w:r>
        <w:rPr>
          <w:noProof/>
        </w:rPr>
        <w:instrText xml:space="preserve"> PAGEREF _Toc156931246 \h </w:instrText>
      </w:r>
      <w:r>
        <w:rPr>
          <w:noProof/>
        </w:rPr>
        <w:fldChar w:fldCharType="separate"/>
      </w:r>
      <w:r>
        <w:rPr>
          <w:noProof/>
        </w:rPr>
        <w:t>32</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_Toc156931247 \h </w:instrText>
      </w:r>
      <w:r>
        <w:rPr>
          <w:noProof/>
        </w:rPr>
        <w:fldChar w:fldCharType="separate"/>
      </w:r>
      <w:r>
        <w:rPr>
          <w:noProof/>
        </w:rPr>
        <w:t>32</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_Toc156931248 \h </w:instrText>
      </w:r>
      <w:r>
        <w:rPr>
          <w:noProof/>
        </w:rPr>
        <w:fldChar w:fldCharType="separate"/>
      </w:r>
      <w:r>
        <w:rPr>
          <w:noProof/>
        </w:rPr>
        <w:t>36</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_Toc156931249 \h </w:instrText>
      </w:r>
      <w:r>
        <w:rPr>
          <w:noProof/>
        </w:rPr>
        <w:fldChar w:fldCharType="separate"/>
      </w:r>
      <w:r>
        <w:rPr>
          <w:noProof/>
        </w:rPr>
        <w:t>38</w:t>
      </w:r>
      <w:r>
        <w:rPr>
          <w:noProof/>
        </w:rPr>
        <w:fldChar w:fldCharType="end"/>
      </w:r>
    </w:p>
    <w:p w:rsidR="00E21258">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_Toc156931250 \h </w:instrText>
      </w:r>
      <w:r>
        <w:rPr>
          <w:noProof/>
        </w:rPr>
        <w:fldChar w:fldCharType="separate"/>
      </w:r>
      <w:r>
        <w:rPr>
          <w:noProof/>
        </w:rPr>
        <w:t>40</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_Toc156931251 \h </w:instrText>
      </w:r>
      <w:r>
        <w:rPr>
          <w:noProof/>
        </w:rPr>
        <w:fldChar w:fldCharType="separate"/>
      </w:r>
      <w:r>
        <w:rPr>
          <w:noProof/>
        </w:rPr>
        <w:t>40</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_Toc156931252 \h </w:instrText>
      </w:r>
      <w:r>
        <w:rPr>
          <w:noProof/>
        </w:rPr>
        <w:fldChar w:fldCharType="separate"/>
      </w:r>
      <w:r>
        <w:rPr>
          <w:noProof/>
        </w:rPr>
        <w:t>41</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_Toc156931253 \h </w:instrText>
      </w:r>
      <w:r>
        <w:rPr>
          <w:noProof/>
        </w:rPr>
        <w:fldChar w:fldCharType="separate"/>
      </w:r>
      <w:r>
        <w:rPr>
          <w:noProof/>
        </w:rPr>
        <w:t>42</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_Toc156931254 \h </w:instrText>
      </w:r>
      <w:r>
        <w:rPr>
          <w:noProof/>
        </w:rPr>
        <w:fldChar w:fldCharType="separate"/>
      </w:r>
      <w:r>
        <w:rPr>
          <w:noProof/>
        </w:rPr>
        <w:t>44</w:t>
      </w:r>
      <w:r>
        <w:rPr>
          <w:noProof/>
        </w:rPr>
        <w:fldChar w:fldCharType="end"/>
      </w:r>
    </w:p>
    <w:p w:rsidR="00E21258">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_Toc156931255 \h </w:instrText>
      </w:r>
      <w:r>
        <w:rPr>
          <w:noProof/>
        </w:rPr>
        <w:fldChar w:fldCharType="separate"/>
      </w:r>
      <w:r>
        <w:rPr>
          <w:noProof/>
        </w:rPr>
        <w:t>45</w:t>
      </w:r>
      <w:r>
        <w:rPr>
          <w:noProof/>
        </w:rPr>
        <w:fldChar w:fldCharType="end"/>
      </w:r>
    </w:p>
    <w:p w:rsidR="00E21258">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_Toc156931256 \h </w:instrText>
      </w:r>
      <w:r>
        <w:rPr>
          <w:noProof/>
        </w:rPr>
        <w:fldChar w:fldCharType="separate"/>
      </w:r>
      <w:r>
        <w:rPr>
          <w:noProof/>
        </w:rPr>
        <w:t>47</w:t>
      </w:r>
      <w:r>
        <w:rPr>
          <w:noProof/>
        </w:rPr>
        <w:fldChar w:fldCharType="end"/>
      </w:r>
    </w:p>
    <w:p w:rsidR="00E21258">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_Toc156931257 \h </w:instrText>
      </w:r>
      <w:r>
        <w:rPr>
          <w:noProof/>
        </w:rPr>
        <w:fldChar w:fldCharType="separate"/>
      </w:r>
      <w:r>
        <w:rPr>
          <w:noProof/>
        </w:rPr>
        <w:t>48</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_Toc156931258 \h </w:instrText>
      </w:r>
      <w:r>
        <w:rPr>
          <w:noProof/>
        </w:rPr>
        <w:fldChar w:fldCharType="separate"/>
      </w:r>
      <w:r>
        <w:rPr>
          <w:noProof/>
        </w:rPr>
        <w:t>48</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_Toc156931259 \h </w:instrText>
      </w:r>
      <w:r>
        <w:rPr>
          <w:noProof/>
        </w:rPr>
        <w:fldChar w:fldCharType="separate"/>
      </w:r>
      <w:r>
        <w:rPr>
          <w:noProof/>
        </w:rPr>
        <w:t>49</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、触媒材料项目工艺技术设计方案</w:t>
      </w:r>
      <w:r>
        <w:rPr>
          <w:noProof/>
        </w:rPr>
        <w:tab/>
      </w:r>
      <w:r>
        <w:rPr>
          <w:noProof/>
        </w:rPr>
        <w:fldChar w:fldCharType="begin"/>
      </w:r>
      <w:r>
        <w:rPr>
          <w:noProof/>
        </w:rPr>
        <w:instrText xml:space="preserve"> PAGEREF _Toc156931260 \h </w:instrText>
      </w:r>
      <w:r>
        <w:rPr>
          <w:noProof/>
        </w:rPr>
        <w:fldChar w:fldCharType="separate"/>
      </w:r>
      <w:r>
        <w:rPr>
          <w:noProof/>
        </w:rPr>
        <w:t>51</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_Toc156931261 \h </w:instrText>
      </w:r>
      <w:r>
        <w:rPr>
          <w:noProof/>
        </w:rPr>
        <w:fldChar w:fldCharType="separate"/>
      </w:r>
      <w:r>
        <w:rPr>
          <w:noProof/>
        </w:rPr>
        <w:t>52</w:t>
      </w:r>
      <w:r>
        <w:rPr>
          <w:noProof/>
        </w:rPr>
        <w:fldChar w:fldCharType="end"/>
      </w:r>
    </w:p>
    <w:p w:rsidR="00E21258">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_Toc156931262 \h </w:instrText>
      </w:r>
      <w:r>
        <w:rPr>
          <w:noProof/>
        </w:rPr>
        <w:fldChar w:fldCharType="separate"/>
      </w:r>
      <w:r>
        <w:rPr>
          <w:noProof/>
        </w:rPr>
        <w:t>52</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_Toc156931263 \h </w:instrText>
      </w:r>
      <w:r>
        <w:rPr>
          <w:noProof/>
        </w:rPr>
        <w:fldChar w:fldCharType="separate"/>
      </w:r>
      <w:r>
        <w:rPr>
          <w:noProof/>
        </w:rPr>
        <w:t>52</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_Toc156931264 \h </w:instrText>
      </w:r>
      <w:r>
        <w:rPr>
          <w:noProof/>
        </w:rPr>
        <w:fldChar w:fldCharType="separate"/>
      </w:r>
      <w:r>
        <w:rPr>
          <w:noProof/>
        </w:rPr>
        <w:t>54</w:t>
      </w:r>
      <w:r>
        <w:rPr>
          <w:noProof/>
        </w:rPr>
        <w:fldChar w:fldCharType="end"/>
      </w:r>
    </w:p>
    <w:p w:rsidR="00E21258">
      <w:pPr>
        <w:pStyle w:val="TOC1"/>
        <w:tabs>
          <w:tab w:val="right" w:leader="dot" w:pos="8296"/>
        </w:tabs>
        <w:rPr>
          <w:noProof/>
        </w:rPr>
      </w:pPr>
      <w:r>
        <w:rPr>
          <w:rFonts w:hint="eastAsia"/>
          <w:noProof/>
        </w:rPr>
        <w:t>七、触媒材料项目概要与评估</w:t>
      </w:r>
      <w:r>
        <w:rPr>
          <w:noProof/>
        </w:rPr>
        <w:tab/>
      </w:r>
      <w:r>
        <w:rPr>
          <w:noProof/>
        </w:rPr>
        <w:fldChar w:fldCharType="begin"/>
      </w:r>
      <w:r>
        <w:rPr>
          <w:noProof/>
        </w:rPr>
        <w:instrText xml:space="preserve"> PAGEREF _Toc156931265 \h </w:instrText>
      </w:r>
      <w:r>
        <w:rPr>
          <w:noProof/>
        </w:rPr>
        <w:fldChar w:fldCharType="separate"/>
      </w:r>
      <w:r>
        <w:rPr>
          <w:noProof/>
        </w:rPr>
        <w:t>55</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、触媒材料项目主办方综述</w:t>
      </w:r>
      <w:r>
        <w:rPr>
          <w:noProof/>
        </w:rPr>
        <w:tab/>
      </w:r>
      <w:r>
        <w:rPr>
          <w:noProof/>
        </w:rPr>
        <w:fldChar w:fldCharType="begin"/>
      </w:r>
      <w:r>
        <w:rPr>
          <w:noProof/>
        </w:rPr>
        <w:instrText xml:space="preserve"> PAGEREF _Toc156931266 \h </w:instrText>
      </w:r>
      <w:r>
        <w:rPr>
          <w:noProof/>
        </w:rPr>
        <w:fldChar w:fldCharType="separate"/>
      </w:r>
      <w:r>
        <w:rPr>
          <w:noProof/>
        </w:rPr>
        <w:t>55</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、触媒材料项目整体情况概述</w:t>
      </w:r>
      <w:r>
        <w:rPr>
          <w:noProof/>
        </w:rPr>
        <w:tab/>
      </w:r>
      <w:r>
        <w:rPr>
          <w:noProof/>
        </w:rPr>
        <w:fldChar w:fldCharType="begin"/>
      </w:r>
      <w:r>
        <w:rPr>
          <w:noProof/>
        </w:rPr>
        <w:instrText xml:space="preserve"> PAGEREF _Toc156931267 \h </w:instrText>
      </w:r>
      <w:r>
        <w:rPr>
          <w:noProof/>
        </w:rPr>
        <w:fldChar w:fldCharType="separate"/>
      </w:r>
      <w:r>
        <w:rPr>
          <w:noProof/>
        </w:rPr>
        <w:t>56</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、触媒材料项目评估及展望</w:t>
      </w:r>
      <w:r>
        <w:rPr>
          <w:noProof/>
        </w:rPr>
        <w:tab/>
      </w:r>
      <w:r>
        <w:rPr>
          <w:noProof/>
        </w:rPr>
        <w:fldChar w:fldCharType="begin"/>
      </w:r>
      <w:r>
        <w:rPr>
          <w:noProof/>
        </w:rPr>
        <w:instrText xml:space="preserve"> PAGEREF _Toc156931268 \h </w:instrText>
      </w:r>
      <w:r>
        <w:rPr>
          <w:noProof/>
        </w:rPr>
        <w:fldChar w:fldCharType="separate"/>
      </w:r>
      <w:r>
        <w:rPr>
          <w:noProof/>
        </w:rPr>
        <w:t>59</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_Toc156931269 \h </w:instrText>
      </w:r>
      <w:r>
        <w:rPr>
          <w:noProof/>
        </w:rPr>
        <w:fldChar w:fldCharType="separate"/>
      </w:r>
      <w:r>
        <w:rPr>
          <w:noProof/>
        </w:rPr>
        <w:t>61</w:t>
      </w:r>
      <w:r>
        <w:rPr>
          <w:noProof/>
        </w:rPr>
        <w:fldChar w:fldCharType="end"/>
      </w:r>
    </w:p>
    <w:p w:rsidR="00E21258">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_Toc156931270 \h </w:instrText>
      </w:r>
      <w:r>
        <w:rPr>
          <w:noProof/>
        </w:rPr>
        <w:fldChar w:fldCharType="separate"/>
      </w:r>
      <w:r>
        <w:rPr>
          <w:noProof/>
        </w:rPr>
        <w:t>63</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_Toc156931271 \h </w:instrText>
      </w:r>
      <w:r>
        <w:rPr>
          <w:noProof/>
        </w:rPr>
        <w:fldChar w:fldCharType="separate"/>
      </w:r>
      <w:r>
        <w:rPr>
          <w:noProof/>
        </w:rPr>
        <w:t>63</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、触媒材料项目预期节能综合评价</w:t>
      </w:r>
      <w:r>
        <w:rPr>
          <w:noProof/>
        </w:rPr>
        <w:tab/>
      </w:r>
      <w:r>
        <w:rPr>
          <w:noProof/>
        </w:rPr>
        <w:fldChar w:fldCharType="begin"/>
      </w:r>
      <w:r>
        <w:rPr>
          <w:noProof/>
        </w:rPr>
        <w:instrText xml:space="preserve"> PAGEREF _Toc156931272 \h </w:instrText>
      </w:r>
      <w:r>
        <w:rPr>
          <w:noProof/>
        </w:rPr>
        <w:fldChar w:fldCharType="separate"/>
      </w:r>
      <w:r>
        <w:rPr>
          <w:noProof/>
        </w:rPr>
        <w:t>63</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、触媒材料项目节能设计</w:t>
      </w:r>
      <w:r>
        <w:rPr>
          <w:noProof/>
        </w:rPr>
        <w:tab/>
      </w:r>
      <w:r>
        <w:rPr>
          <w:noProof/>
        </w:rPr>
        <w:fldChar w:fldCharType="begin"/>
      </w:r>
      <w:r>
        <w:rPr>
          <w:noProof/>
        </w:rPr>
        <w:instrText xml:space="preserve"> PAGEREF _Toc156931273 \h </w:instrText>
      </w:r>
      <w:r>
        <w:rPr>
          <w:noProof/>
        </w:rPr>
        <w:fldChar w:fldCharType="separate"/>
      </w:r>
      <w:r>
        <w:rPr>
          <w:noProof/>
        </w:rPr>
        <w:t>65</w:t>
      </w:r>
      <w:r>
        <w:rPr>
          <w:noProof/>
        </w:rPr>
        <w:fldChar w:fldCharType="end"/>
      </w:r>
    </w:p>
    <w:p w:rsidR="00E21258">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_Toc156931274 \h </w:instrText>
      </w:r>
      <w:r>
        <w:rPr>
          <w:noProof/>
        </w:rPr>
        <w:fldChar w:fldCharType="separate"/>
      </w:r>
      <w:r>
        <w:rPr>
          <w:noProof/>
        </w:rPr>
        <w:t>67</w:t>
      </w:r>
      <w:r>
        <w:rPr>
          <w:noProof/>
        </w:rPr>
        <w:fldChar w:fldCharType="end"/>
      </w:r>
    </w:p>
    <w:p w:rsidR="00E21258">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_Toc156931275 \h </w:instrText>
      </w:r>
      <w:r>
        <w:rPr>
          <w:noProof/>
        </w:rPr>
        <w:fldChar w:fldCharType="separate"/>
      </w:r>
      <w:r>
        <w:rPr>
          <w:noProof/>
        </w:rPr>
        <w:t>69</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_Toc156931276 \h </w:instrText>
      </w:r>
      <w:r>
        <w:rPr>
          <w:noProof/>
        </w:rPr>
        <w:fldChar w:fldCharType="separate"/>
      </w:r>
      <w:r>
        <w:rPr>
          <w:noProof/>
        </w:rPr>
        <w:t>69</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_Toc156931277 \h </w:instrText>
      </w:r>
      <w:r>
        <w:rPr>
          <w:noProof/>
        </w:rPr>
        <w:fldChar w:fldCharType="separate"/>
      </w:r>
      <w:r>
        <w:rPr>
          <w:noProof/>
        </w:rPr>
        <w:t>70</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_Toc156931278 \h </w:instrText>
      </w:r>
      <w:r>
        <w:rPr>
          <w:noProof/>
        </w:rPr>
        <w:fldChar w:fldCharType="separate"/>
      </w:r>
      <w:r>
        <w:rPr>
          <w:noProof/>
        </w:rPr>
        <w:t>72</w:t>
      </w:r>
      <w:r>
        <w:rPr>
          <w:noProof/>
        </w:rPr>
        <w:fldChar w:fldCharType="end"/>
      </w:r>
    </w:p>
    <w:p w:rsidR="00E21258">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_Toc156931279 \h </w:instrText>
      </w:r>
      <w:r>
        <w:rPr>
          <w:noProof/>
        </w:rPr>
        <w:fldChar w:fldCharType="separate"/>
      </w:r>
      <w:r>
        <w:rPr>
          <w:noProof/>
        </w:rPr>
        <w:t>74</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_Toc156931280 \h </w:instrText>
      </w:r>
      <w:r>
        <w:rPr>
          <w:noProof/>
        </w:rPr>
        <w:fldChar w:fldCharType="separate"/>
      </w:r>
      <w:r>
        <w:rPr>
          <w:noProof/>
        </w:rPr>
        <w:t>74</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_Toc156931281 \h </w:instrText>
      </w:r>
      <w:r>
        <w:rPr>
          <w:noProof/>
        </w:rPr>
        <w:fldChar w:fldCharType="separate"/>
      </w:r>
      <w:r>
        <w:rPr>
          <w:noProof/>
        </w:rPr>
        <w:t>75</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_Toc156931282 \h </w:instrText>
      </w:r>
      <w:r>
        <w:rPr>
          <w:noProof/>
        </w:rPr>
        <w:fldChar w:fldCharType="separate"/>
      </w:r>
      <w:r>
        <w:rPr>
          <w:noProof/>
        </w:rPr>
        <w:t>76</w:t>
      </w:r>
      <w:r>
        <w:rPr>
          <w:noProof/>
        </w:rPr>
        <w:fldChar w:fldCharType="end"/>
      </w:r>
    </w:p>
    <w:p w:rsidR="00E21258">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_Toc156931283 \h </w:instrText>
      </w:r>
      <w:r>
        <w:rPr>
          <w:noProof/>
        </w:rPr>
        <w:fldChar w:fldCharType="separate"/>
      </w:r>
      <w:r>
        <w:rPr>
          <w:noProof/>
        </w:rPr>
        <w:t>78</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_Toc156931284 \h </w:instrText>
      </w:r>
      <w:r>
        <w:rPr>
          <w:noProof/>
        </w:rPr>
        <w:fldChar w:fldCharType="separate"/>
      </w:r>
      <w:r>
        <w:rPr>
          <w:noProof/>
        </w:rPr>
        <w:t>78</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_Toc156931285 \h </w:instrText>
      </w:r>
      <w:r>
        <w:rPr>
          <w:noProof/>
        </w:rPr>
        <w:fldChar w:fldCharType="separate"/>
      </w:r>
      <w:r>
        <w:rPr>
          <w:noProof/>
        </w:rPr>
        <w:t>79</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_Toc156931286 \h </w:instrText>
      </w:r>
      <w:r>
        <w:rPr>
          <w:noProof/>
        </w:rPr>
        <w:fldChar w:fldCharType="separate"/>
      </w:r>
      <w:r>
        <w:rPr>
          <w:noProof/>
        </w:rPr>
        <w:t>80</w:t>
      </w:r>
      <w:r>
        <w:rPr>
          <w:noProof/>
        </w:rPr>
        <w:fldChar w:fldCharType="end"/>
      </w:r>
    </w:p>
    <w:p w:rsidR="00E21258">
      <w:pPr>
        <w:pStyle w:val="TOC1"/>
        <w:tabs>
          <w:tab w:val="right" w:leader="dot" w:pos="8296"/>
        </w:tabs>
        <w:rPr>
          <w:noProof/>
        </w:rPr>
      </w:pPr>
      <w:r>
        <w:rPr>
          <w:rFonts w:hint="eastAsia"/>
          <w:noProof/>
        </w:rPr>
        <w:t>十二、触媒材料项目执行风险与应对策略</w:t>
      </w:r>
      <w:r>
        <w:rPr>
          <w:noProof/>
        </w:rPr>
        <w:tab/>
      </w:r>
      <w:r>
        <w:rPr>
          <w:noProof/>
        </w:rPr>
        <w:fldChar w:fldCharType="begin"/>
      </w:r>
      <w:r>
        <w:rPr>
          <w:noProof/>
        </w:rPr>
        <w:instrText xml:space="preserve"> PAGEREF _Toc156931287 \h </w:instrText>
      </w:r>
      <w:r>
        <w:rPr>
          <w:noProof/>
        </w:rPr>
        <w:fldChar w:fldCharType="separate"/>
      </w:r>
      <w:r>
        <w:rPr>
          <w:noProof/>
        </w:rPr>
        <w:t>81</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、触媒材料项目执行风险识别</w:t>
      </w:r>
      <w:r>
        <w:rPr>
          <w:noProof/>
        </w:rPr>
        <w:tab/>
      </w:r>
      <w:r>
        <w:rPr>
          <w:noProof/>
        </w:rPr>
        <w:fldChar w:fldCharType="begin"/>
      </w:r>
      <w:r>
        <w:rPr>
          <w:noProof/>
        </w:rPr>
        <w:instrText xml:space="preserve"> PAGEREF _Toc156931288 \h </w:instrText>
      </w:r>
      <w:r>
        <w:rPr>
          <w:noProof/>
        </w:rPr>
        <w:fldChar w:fldCharType="separate"/>
      </w:r>
      <w:r>
        <w:rPr>
          <w:noProof/>
        </w:rPr>
        <w:t>81</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_Toc156931289 \h </w:instrText>
      </w:r>
      <w:r>
        <w:rPr>
          <w:noProof/>
        </w:rPr>
        <w:fldChar w:fldCharType="separate"/>
      </w:r>
      <w:r>
        <w:rPr>
          <w:noProof/>
        </w:rPr>
        <w:t>82</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_Toc156931290 \h </w:instrText>
      </w:r>
      <w:r>
        <w:rPr>
          <w:noProof/>
        </w:rPr>
        <w:fldChar w:fldCharType="separate"/>
      </w:r>
      <w:r>
        <w:rPr>
          <w:noProof/>
        </w:rPr>
        <w:t>84</w:t>
      </w:r>
      <w:r>
        <w:rPr>
          <w:noProof/>
        </w:rPr>
        <w:fldChar w:fldCharType="end"/>
      </w:r>
    </w:p>
    <w:p w:rsidR="00E21258">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_Toc156931291 \h </w:instrText>
      </w:r>
      <w:r>
        <w:rPr>
          <w:noProof/>
        </w:rPr>
        <w:fldChar w:fldCharType="separate"/>
      </w:r>
      <w:r>
        <w:rPr>
          <w:noProof/>
        </w:rPr>
        <w:t>85</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_Toc156931292 \h </w:instrText>
      </w:r>
      <w:r>
        <w:rPr>
          <w:noProof/>
        </w:rPr>
        <w:fldChar w:fldCharType="separate"/>
      </w:r>
      <w:r>
        <w:rPr>
          <w:noProof/>
        </w:rPr>
        <w:t>85</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_Toc156931293 \h </w:instrText>
      </w:r>
      <w:r>
        <w:rPr>
          <w:noProof/>
        </w:rPr>
        <w:fldChar w:fldCharType="separate"/>
      </w:r>
      <w:r>
        <w:rPr>
          <w:noProof/>
        </w:rPr>
        <w:t>86</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_Toc156931294 \h </w:instrText>
      </w:r>
      <w:r>
        <w:rPr>
          <w:noProof/>
        </w:rPr>
        <w:fldChar w:fldCharType="separate"/>
      </w:r>
      <w:r>
        <w:rPr>
          <w:noProof/>
        </w:rPr>
        <w:t>87</w:t>
      </w:r>
      <w:r>
        <w:rPr>
          <w:noProof/>
        </w:rPr>
        <w:fldChar w:fldCharType="end"/>
      </w:r>
    </w:p>
    <w:p w:rsidR="00E21258">
      <w:pPr>
        <w:pStyle w:val="TOC1"/>
        <w:tabs>
          <w:tab w:val="right" w:leader="dot" w:pos="8296"/>
        </w:tabs>
        <w:rPr>
          <w:noProof/>
        </w:rPr>
      </w:pPr>
      <w:r>
        <w:rPr>
          <w:rFonts w:hint="eastAsia"/>
          <w:noProof/>
        </w:rPr>
        <w:t>十四、国际化战略</w:t>
      </w:r>
      <w:r>
        <w:rPr>
          <w:noProof/>
        </w:rPr>
        <w:tab/>
      </w:r>
      <w:r>
        <w:rPr>
          <w:noProof/>
        </w:rPr>
        <w:fldChar w:fldCharType="begin"/>
      </w:r>
      <w:r>
        <w:rPr>
          <w:noProof/>
        </w:rPr>
        <w:instrText xml:space="preserve"> PAGEREF _Toc156931295 \h </w:instrText>
      </w:r>
      <w:r>
        <w:rPr>
          <w:noProof/>
        </w:rPr>
        <w:fldChar w:fldCharType="separate"/>
      </w:r>
      <w:r>
        <w:rPr>
          <w:noProof/>
        </w:rPr>
        <w:t>87</w:t>
      </w:r>
      <w:r>
        <w:rPr>
          <w:noProof/>
        </w:rPr>
        <w:fldChar w:fldCharType="end"/>
      </w:r>
    </w:p>
    <w:p w:rsidR="00E21258">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_Toc156931296 \h </w:instrText>
      </w:r>
      <w:r>
        <w:rPr>
          <w:noProof/>
        </w:rPr>
        <w:fldChar w:fldCharType="separate"/>
      </w:r>
      <w:r>
        <w:rPr>
          <w:noProof/>
        </w:rPr>
        <w:t>87</w:t>
      </w:r>
      <w:r>
        <w:rPr>
          <w:noProof/>
        </w:rPr>
        <w:fldChar w:fldCharType="end"/>
      </w:r>
    </w:p>
    <w:p w:rsidR="00E21258">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_Toc156931297 \h </w:instrText>
      </w:r>
      <w:r>
        <w:rPr>
          <w:noProof/>
        </w:rPr>
        <w:fldChar w:fldCharType="separate"/>
      </w:r>
      <w:r>
        <w:rPr>
          <w:noProof/>
        </w:rPr>
        <w:t>89</w:t>
      </w:r>
      <w:r>
        <w:rPr>
          <w:noProof/>
        </w:rPr>
        <w:fldChar w:fldCharType="end"/>
      </w:r>
    </w:p>
    <w:p w:rsidR="00E21258">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_Toc156931298 \h </w:instrText>
      </w:r>
      <w:r>
        <w:rPr>
          <w:noProof/>
        </w:rPr>
        <w:fldChar w:fldCharType="separate"/>
      </w:r>
      <w:r>
        <w:rPr>
          <w:noProof/>
        </w:rPr>
        <w:t>91</w:t>
      </w:r>
      <w:r>
        <w:rPr>
          <w:noProof/>
        </w:rPr>
        <w:fldChar w:fldCharType="end"/>
      </w:r>
    </w:p>
    <w:p w:rsidR="00E21258" w:rsidP="00E2125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21258" w:rsidP="00E21258">
      <w:pPr>
        <w:pStyle w:val="Heading1"/>
        <w:jc w:val="center"/>
        <w:rPr>
          <w:rFonts w:hint="eastAsia"/>
        </w:rPr>
      </w:pPr>
      <w:bookmarkStart w:id="1" w:name="_Toc156931229"/>
      <w:r w:rsidRPr="00E21258">
        <w:rPr>
          <w:rFonts w:hint="eastAsia"/>
        </w:rPr>
        <w:t>前言</w:t>
      </w:r>
      <w:bookmarkEnd w:id="1"/>
    </w:p>
    <w:p w:rsidR="00E21258" w:rsidP="00E21258">
      <w:pPr>
        <w:ind w:firstLine="560" w:firstLineChars="200"/>
        <w:rPr>
          <w:rFonts w:ascii="仿宋" w:eastAsia="仿宋" w:hAnsi="仿宋" w:hint="eastAsia"/>
          <w:sz w:val="28"/>
        </w:rPr>
      </w:pPr>
      <w:r w:rsidRPr="00E21258">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E21258" w:rsidP="00E21258">
      <w:pPr>
        <w:pStyle w:val="Heading1"/>
        <w:rPr>
          <w:rFonts w:hint="eastAsia"/>
        </w:rPr>
      </w:pPr>
      <w:bookmarkStart w:id="2" w:name="_Toc156931230"/>
      <w:r w:rsidRPr="00E21258">
        <w:rPr>
          <w:rFonts w:hint="eastAsia"/>
        </w:rPr>
        <w:t>一、触媒材料项目风险管理方案</w:t>
      </w:r>
      <w:bookmarkEnd w:id="2"/>
    </w:p>
    <w:p w:rsidR="00E21258" w:rsidP="00E21258">
      <w:pPr>
        <w:pStyle w:val="Heading2"/>
        <w:rPr>
          <w:rFonts w:hint="eastAsia"/>
        </w:rPr>
      </w:pPr>
      <w:bookmarkStart w:id="3" w:name="_Toc156931231"/>
      <w:r w:rsidRPr="00E21258">
        <w:rPr>
          <w:rFonts w:hint="eastAsia"/>
        </w:rPr>
        <w:t>(</w:t>
      </w:r>
      <w:r w:rsidRPr="00E21258">
        <w:rPr>
          <w:rFonts w:hint="eastAsia"/>
        </w:rPr>
        <w:t>一</w:t>
      </w:r>
      <w:r w:rsidRPr="00E21258">
        <w:rPr>
          <w:rFonts w:hint="eastAsia"/>
        </w:rPr>
        <w:t>)</w:t>
      </w:r>
      <w:r w:rsidRPr="00E21258">
        <w:rPr>
          <w:rFonts w:hint="eastAsia"/>
        </w:rPr>
        <w:t>、风险管理概述</w:t>
      </w:r>
      <w:bookmarkEnd w:id="3"/>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当前政策环境下，风险管理的关键性日益凸显，尤其在触媒材料项目实施中扮演着不可或缺的角色。政策的不断调整和变化可能带来新的挑战，因此触媒材料项目团队需要更加敏锐地识别、评估和应对各种潜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触媒材料项目可能产生的潜在影响。</w:t>
      </w:r>
    </w:p>
    <w:p w:rsidR="00E21258" w:rsidRPr="00E21258" w:rsidP="00E2125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21258">
        <w:rPr>
          <w:rFonts w:ascii="仿宋" w:eastAsia="仿宋" w:hAnsi="仿宋" w:hint="eastAsia"/>
          <w:sz w:val="28"/>
        </w:rPr>
        <w:t>其次，风险评估的过程需要更具前瞻性，触媒材料项目团队应当通过定性和定量分析，充分评估政策变化对触媒材料项目目标的可能</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影响。这一过程的关键在于科学合理地量化潜在风险的概率和影响程度，从而有针对性地采取相应的风险应对措施。</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面对政策层面的风险时，风险应对措施需要更加灵活。除了常规的避免、减轻、转移和接受策略外，触媒材料项目团队还应考虑制定专门的政策应对计划，包括密切关注政策变化、及时调整触媒材料项目实施方案等。例如，加强与相关政府部门的沟通，获取政策解读，及时调整触媒材料项目策略以确保触媒材料项目不受不确定性的过大影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最后，风险监控的过程也需要更具前瞻性。触媒材料项目团队在监控风险的同时，应当随时关注政策环境的变化，确保触媒材料项目能够灵活适应新的政策要求。这可能涉及到对触媒材料项目计划的及时调整、政策培训和触媒材料项目团队的更新等方面，以保持触媒材料项目在复杂多变的政策环境中的稳定推进。</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在当前政策背景下，风险管理需要更具前瞻性、灵活性和战略性，以确保触媒材料项目能够在不断变化的政策环境中保持成功实施的稳定性。通过全面考虑政策层面的风险，并采取相应的战略性风险管理措施，触媒材料项目团队将更有信心和能力应对潜在的挑战，确保触媒材料项目的成功推进。</w:t>
      </w:r>
    </w:p>
    <w:p w:rsidR="00E21258" w:rsidP="00E21258">
      <w:pPr>
        <w:pStyle w:val="Heading2"/>
      </w:pPr>
      <w:bookmarkStart w:id="4" w:name="_Toc156931232"/>
      <w:r w:rsidRPr="00E21258">
        <w:t>(</w:t>
      </w:r>
      <w:r w:rsidRPr="00E21258">
        <w:t>二</w:t>
      </w:r>
      <w:r w:rsidRPr="00E21258">
        <w:t>)</w:t>
      </w:r>
      <w:r w:rsidRPr="00E21258">
        <w:t>、企业面临的风险</w:t>
      </w:r>
      <w:bookmarkEnd w:id="4"/>
    </w:p>
    <w:p w:rsidR="00E21258" w:rsidRPr="00E21258" w:rsidP="00E2125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21258">
        <w:rPr>
          <w:rFonts w:ascii="仿宋" w:eastAsia="仿宋" w:hAnsi="仿宋" w:hint="eastAsia"/>
          <w:sz w:val="28"/>
        </w:rPr>
        <w:t>在触媒材料项目领域，企业在运营过程中面临着多层次的风险，这些风险源于内部操作、外部环境变化以及激烈的市场竞争。为了确</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保企业的成功，有效的风险管理显得尤为关键。下面将详细探讨触媒材料项目中可能出现的各类风险，并提出相应的应对措施，以保障企业的可持续发展。</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一、市场需求波动风险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市场变化带来的需求波动风险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竞争对手的市场份额侵蚀风险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二、供应链风险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原材料供应不稳定风险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E21258" w:rsidRPr="00E21258" w:rsidP="00E2125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21258">
        <w:rPr>
          <w:rFonts w:ascii="仿宋" w:eastAsia="仿宋" w:hAnsi="仿宋" w:hint="eastAsia"/>
          <w:sz w:val="28"/>
        </w:rPr>
        <w:t>2. 供应链环节的质量风险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三、技术与生产风险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生产设备故障风险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生产工艺变革风险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四、法律与政策风险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环保政策风险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知识产权风险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在触媒材料项目中，知识产权的保护至关重要。企业需防范知识产权被侵犯的风险，加强专利申请、技术保密等工作，以避免知识产权纠纷导致的市场排斥和法律诉讼风险。</w:t>
      </w:r>
    </w:p>
    <w:p w:rsidR="00E21258" w:rsidP="00E2125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21258">
        <w:rPr>
          <w:rFonts w:ascii="仿宋" w:eastAsia="仿宋" w:hAnsi="仿宋" w:hint="eastAsia"/>
          <w:sz w:val="28"/>
        </w:rPr>
        <w:t>通过采取上述措施，企业可以更全面、系统地管理各类风险，提</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高对不确定性的应对能力，从而确保触媒材料项目的顺利进行和企业的可持续发展。</w:t>
      </w:r>
    </w:p>
    <w:p w:rsidR="00E21258" w:rsidP="00E21258">
      <w:pPr>
        <w:pStyle w:val="Heading2"/>
      </w:pPr>
      <w:bookmarkStart w:id="5" w:name="_Toc156931233"/>
      <w:r w:rsidRPr="00E21258">
        <w:t>(</w:t>
      </w:r>
      <w:r w:rsidRPr="00E21258">
        <w:t>三</w:t>
      </w:r>
      <w:r w:rsidRPr="00E21258">
        <w:t>)</w:t>
      </w:r>
      <w:r w:rsidRPr="00E21258">
        <w:t>、风险成本与风险管理的目标</w:t>
      </w:r>
      <w:bookmarkEnd w:id="5"/>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风险管理一直是任何触媒材料项目成功实施的关键因素之一。在触媒材料项目中，风险管理的目标是通过系统性的方法识别、评估和应对可能影响触媒材料项目目标的潜在风险。为了降低触媒材料项目失败的风险，提高触媒材料项目的成功率，触媒材料项目团队需要在整个触媒材料项目生命周期中采取一系列有效的风险管理措施。</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风险成本作为风险管理的一个关键概念，在触媒材料项目中显得尤为重要。这指的是由于风险事件的发生可能导致的经济损失和其他负面影响所带来的费用。这些成本涵盖了直接和间接的损失，以及为了应对风险而采取的各种措施所产生的费用。考虑到触媒材料项目通常涉及大量资金投入，合理评估和控制风险成本对触媒材料项目的成功至关重要，直接影响触媒材料项目的资金流动和盈利能力。</w:t>
      </w:r>
    </w:p>
    <w:p w:rsidR="00E21258" w:rsidRPr="00E21258" w:rsidP="00E2125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21258">
        <w:rPr>
          <w:rFonts w:ascii="仿宋" w:eastAsia="仿宋" w:hAnsi="仿宋" w:hint="eastAsia"/>
          <w:sz w:val="28"/>
        </w:rPr>
        <w:t>风险管理的目标之一是在触媒材料项目启动阶段就能预测和识别潜在风险。通过建立完善的风险识别和分析体系，触媒材料项目团队可以提前评估可能出现的风险，为触媒材料项目决策提供科学依据。评估和量化风险同样重要，通过对风险事件的发生概率和影响程度进行评估，可以为触媒材料项目制定合适的风险应对策略提供基础。将风险以数字形式量化有助于触媒材料项目管理者更好地理解整体风险影响，并作出相应决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控制和减少风险是风险管理的核心目标。通过建立完善的风险控制体系，触媒材料项目团队能够制定详细的风险控制计划，并实施有效的措施，以降低触媒材料项目的风险水平，提高触媒材料项目的成功率。应对和处理风险同样重要，特别是在风险事件发生时，能够及时采取措施最大程度减少损失。</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监控和反馈风险是风险管理的最终目标。通过不断监控触媒材料项目的风险状态，及时反馈风险信息，触媒材料项目管理者能够做出及时决策，快速调整风险应对策略，确保触媒材料项目按计划进行。这有效地建立了触媒材料项目的风险监控和反馈机制，有助于触媒材料项目在变化的环境中保持灵活性和应变能力。</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中，综合考虑风险成本和风险管理的各触媒材料项目标，触媒材料项目团队能够更好地应对不确定性，提高触媒材料项目的成功率。通过合理的风险管理，触媒材料项目可以更顺利、更有效地达成预定的时间、成本和质量目标。</w:t>
      </w:r>
    </w:p>
    <w:p w:rsidR="00E21258" w:rsidP="00E21258">
      <w:pPr>
        <w:pStyle w:val="Heading2"/>
      </w:pPr>
      <w:bookmarkStart w:id="6" w:name="_Toc156931234"/>
      <w:r w:rsidRPr="00E21258">
        <w:t>(</w:t>
      </w:r>
      <w:r w:rsidRPr="00E21258">
        <w:t>四</w:t>
      </w:r>
      <w:r w:rsidRPr="00E21258">
        <w:t>)</w:t>
      </w:r>
      <w:r w:rsidRPr="00E21258">
        <w:t>、人力资本风险分析</w:t>
      </w:r>
      <w:bookmarkEnd w:id="6"/>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一、人力资本风险的界定与总览</w:t>
      </w:r>
    </w:p>
    <w:p w:rsidR="00E21258" w:rsidRPr="00E21258" w:rsidP="00E2125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21258">
        <w:rPr>
          <w:rFonts w:ascii="仿宋" w:eastAsia="仿宋" w:hAnsi="仿宋" w:hint="eastAsia"/>
          <w:sz w:val="28"/>
        </w:rPr>
        <w:t>在触媒材料项目中，人力资本风险指的是由于不当的人力资源管理、员工素质欠缺或者员工频繁流动等因素引发的可能性风险。这些潜在的风险直接关系到企业的关键指标，如生产效率、产品质量以及触媒材料项目进展。人力资本风险分析的主要目的在于识别和评估这些风险，以帮助企业采取相应措施来降低或避免对触媒材料项目的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利影响。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二、内部人力资本风险的深度分析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员工素质风险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员工流动风险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高离职率和频繁流动可能带来触媒材料项目延误、生产线断档以及知识流失等问题。为了缓解这种风险，企业可通过建立健全的员工关系、提供发展空间和培训机会，增强员工的归属感和忠诚度。</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管理能力风险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管理层在触媒材料项目过程中的决策、协调和沟通能力不足可能导致触媒材料项目进展缓慢、资源浪费以及团队合作不畅。为规避这一风险，企业需强化管理层的培训和能力提升，提高他们的领导力和组织能力。</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三、外部人力资本风险的综合分析</w:t>
      </w:r>
    </w:p>
    <w:p w:rsidR="00E21258" w:rsidRPr="00E21258" w:rsidP="00E21258">
      <w:pPr>
        <w:ind w:firstLine="560" w:firstLineChars="200"/>
        <w:rPr>
          <w:rFonts w:ascii="仿宋" w:eastAsia="仿宋" w:hAnsi="仿宋"/>
          <w:sz w:val="28"/>
        </w:rPr>
      </w:pPr>
      <w:r w:rsidRPr="00E21258">
        <w:rPr>
          <w:rFonts w:ascii="仿宋" w:eastAsia="仿宋" w:hAnsi="仿宋" w:hint="eastAsia"/>
          <w:sz w:val="28"/>
        </w:rPr>
        <w:t>1. 市场竞争风险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法律法规风险</w:t>
      </w:r>
    </w:p>
    <w:p w:rsidR="00E21258" w:rsidRPr="00E21258" w:rsidP="00E2125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21258">
        <w:rPr>
          <w:rFonts w:ascii="仿宋" w:eastAsia="仿宋" w:hAnsi="仿宋" w:hint="eastAsia"/>
          <w:sz w:val="28"/>
        </w:rPr>
        <w:t>未遵守相关法律法规可能引发劳动纠纷、罚款甚至停产等法律风</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险。为规避此类风险，企业需建立健全的人力资源管理制度，确保符合法律法规的要求。</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技术变革风险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通过全面分析内外部人力资本风险，企业能够识别潜在的问题因素，并采取相应措施来降低或避免这些风险对触媒材料项目的负面影响。科学合理的人力资本管理有助于提高生产效率、确保产品质量，并确保触媒材料项目的顺利推进。</w:t>
      </w:r>
    </w:p>
    <w:p w:rsidR="00E21258" w:rsidP="00E21258">
      <w:pPr>
        <w:pStyle w:val="Heading2"/>
      </w:pPr>
      <w:bookmarkStart w:id="7" w:name="_Toc156931235"/>
      <w:r w:rsidRPr="00E21258">
        <w:t>(</w:t>
      </w:r>
      <w:r w:rsidRPr="00E21258">
        <w:t>五</w:t>
      </w:r>
      <w:r w:rsidRPr="00E21258">
        <w:t>)</w:t>
      </w:r>
      <w:r w:rsidRPr="00E21258">
        <w:t>、风险识别</w:t>
      </w:r>
      <w:bookmarkEnd w:id="7"/>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1. 人才招聘与储备风险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进行中，人才招聘与储备是关键的环节。如果企业无法及时找到合适的人才填补空缺，可能导致触媒材料项目推进受阻，增加其他员工工作负担。建议企业建立健全的招聘渠道，同时进行人才储备，以确保在关键时刻能够迅速找到合适的替补人员。</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2. 培训与继续教育风险</w:t>
      </w:r>
    </w:p>
    <w:p w:rsidR="00E21258" w:rsidRPr="00E21258" w:rsidP="00E2125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21258">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技术水平和市场需求的变化可能使员工的技能面临过时的风险。企业需要定期进行培训和继续教育，确保员工的专业知识与市场保持同步。忽视培训可能导致员工技能滞后，影响生产效率和触媒材料项目质量。</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3. 沟通与团队协作风险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触媒材料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4. 福利与激励风险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5. 外部劳动力市场风险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风险识别的建议与对策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1. 建立健全的招聘渠道与人才储备计划</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2. 实施持续的培训与教育计划</w:t>
      </w:r>
    </w:p>
    <w:p w:rsidR="00E21258" w:rsidRPr="00E21258" w:rsidP="00E2125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21258">
        <w:rPr>
          <w:rFonts w:ascii="仿宋" w:eastAsia="仿宋" w:hAnsi="仿宋" w:hint="eastAsia"/>
          <w:sz w:val="28"/>
        </w:rPr>
        <w:t>定期进行员工培训和继续教育，以适应技术和市场的变化。通过</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提供学习机会和培训计划，确保员工的技能始终保持在业界的领先水平，降低因技能滞后而带来的风险。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3. 加强沟通培训与团队建设</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4. 调整灵活的福利政策和激励机制</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5. 持续关注外部劳动力市场动态</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6. 制定危机管理计划</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建立完善的危机管理计划，明确各类风险发生时的应急预案和决策流程。包括人才流失、技能短缺、管理层变动等情况的具体处理方案，以应对突发情况，保障触媒材料项目的平稳进行。</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7. 强化绩效评估和激励机制</w:t>
      </w:r>
    </w:p>
    <w:p w:rsidR="00E21258" w:rsidRPr="00E21258" w:rsidP="00E2125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21258">
        <w:rPr>
          <w:rFonts w:ascii="仿宋" w:eastAsia="仿宋" w:hAnsi="仿宋" w:hint="eastAsia"/>
          <w:sz w:val="28"/>
        </w:rPr>
        <w:t>建立科学的绩效评估体系，确保员工的工作表现能够被客观、公正地评价。合理设定激励机制，通过激励措施激发员工的工作热情，</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提高工作积极性，降低员工流动风险。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8. 持续改进企业文化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营造积极向上的企业文化，加强员工归属感和凝聚力。通过团队活动、文化建设等方式，培养员工对企业的认同感，减少员工流失风险。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9. 制定法律合规标准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风险识别的综合管理</w:t>
      </w:r>
    </w:p>
    <w:p w:rsidR="00E21258" w:rsidRPr="00E21258" w:rsidP="00E21258">
      <w:pPr>
        <w:ind w:firstLine="560" w:firstLineChars="200"/>
        <w:rPr>
          <w:rFonts w:ascii="仿宋" w:eastAsia="仿宋" w:hAnsi="仿宋"/>
          <w:sz w:val="28"/>
        </w:rPr>
      </w:pPr>
      <w:r w:rsidRPr="00E21258">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风险识别是一个动态过程，需要不断地跟踪和调整。企业在触媒材料项目中应当持续关注内外部环境的变化，及时调整风险识别策略，以确保触媒材料项目的持续稳定推进。通过科学的风险识别和有效的应对措施，企业可以更好地规避潜在风险，保障触媒材料项目的成功实施。</w:t>
      </w:r>
    </w:p>
    <w:p w:rsidR="00E21258" w:rsidP="00E21258">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E21258" w:rsidP="00E21258">
      <w:pPr>
        <w:pStyle w:val="Heading2"/>
      </w:pPr>
      <w:bookmarkStart w:id="8" w:name="_Toc156931236"/>
      <w:r w:rsidRPr="00E21258">
        <w:t>(</w:t>
      </w:r>
      <w:r w:rsidRPr="00E21258">
        <w:t>六</w:t>
      </w:r>
      <w:r w:rsidRPr="00E21258">
        <w:t>)</w:t>
      </w:r>
      <w:r w:rsidRPr="00E21258">
        <w:t>、风险管理的措施</w:t>
      </w:r>
      <w:bookmarkEnd w:id="8"/>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制定全面的风险管理计划</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在触媒材料项目启动阶段，制定一份全面的风险管理计划，明确风险的识别、评估、监测和应对流程。确保团队对计划的理解，并定期审查和更新以适应触媒材料项目的变化。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建立专业的风险管理团队</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定期进行风险评估</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4. 强化沟通与团队合作</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建立畅通的沟通渠道，鼓励团队成员分享风险信息。强化团队的协作能力，确保触媒材料项目各阶段的协同工作，以减缓因沟通不畅导致的风险。</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5. 制定风险应对策略</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对每一种潜在风险，制定相应的应对策略。这包括风险的缓解、转移、接受或避免，确保团队在面对风险时能够迅速作出决策并采取有效行动。</w:t>
      </w:r>
    </w:p>
    <w:p w:rsidR="00E21258" w:rsidRPr="00E21258" w:rsidP="00E2125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21258">
        <w:rPr>
          <w:rFonts w:ascii="仿宋" w:eastAsia="仿宋" w:hAnsi="仿宋" w:hint="eastAsia"/>
          <w:sz w:val="28"/>
        </w:rPr>
        <w:t>6. 建立紧急响应机制</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制定紧急响应计划，确保在风险发生时能够快速、有序地做出反应。明确责任人，提前准备好必要的资源和工具，以降低风险事件对触媒材料项目的不利影响。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7. 风险监测和追踪</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8. 制度化的经验总结</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在触媒材料项目结束后，进行全面的风险经验总结。总结成功的风险管理实践和教训，形成制度化的经验库，为未来触媒材料项目提供有力的参考和借鉴。</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通过采取以上风险管理的措施，企业可以更好地识别、评估和应对潜在的风险，确保触媒材料项目能够在不确定的环境中取得成功。风险管理不仅仅是问题的解决，更是对未知因素的有序应对，为触媒材料项目的可持续发展提供有力支持。</w:t>
      </w:r>
    </w:p>
    <w:p w:rsidR="00E21258" w:rsidP="00E21258">
      <w:pPr>
        <w:pStyle w:val="Heading1"/>
        <w:rPr>
          <w:rFonts w:hint="eastAsia"/>
        </w:rPr>
      </w:pPr>
      <w:bookmarkStart w:id="9" w:name="_Toc156931237"/>
      <w:r w:rsidRPr="00E21258">
        <w:rPr>
          <w:rFonts w:hint="eastAsia"/>
        </w:rPr>
        <w:t>二、触媒材料项目运营管理方案</w:t>
      </w:r>
      <w:bookmarkEnd w:id="9"/>
    </w:p>
    <w:p w:rsidR="00E21258" w:rsidP="00E21258">
      <w:pPr>
        <w:pStyle w:val="Heading2"/>
        <w:rPr>
          <w:rFonts w:hint="eastAsia"/>
        </w:rPr>
      </w:pPr>
      <w:bookmarkStart w:id="10" w:name="_Toc156931238"/>
      <w:r w:rsidRPr="00E21258">
        <w:rPr>
          <w:rFonts w:hint="eastAsia"/>
        </w:rPr>
        <w:t>(</w:t>
      </w:r>
      <w:r w:rsidRPr="00E21258">
        <w:rPr>
          <w:rFonts w:hint="eastAsia"/>
        </w:rPr>
        <w:t>一</w:t>
      </w:r>
      <w:r w:rsidRPr="00E21258">
        <w:rPr>
          <w:rFonts w:hint="eastAsia"/>
        </w:rPr>
        <w:t>)</w:t>
      </w:r>
      <w:r w:rsidRPr="00E21258">
        <w:rPr>
          <w:rFonts w:hint="eastAsia"/>
        </w:rPr>
        <w:t>、运营管理概述</w:t>
      </w:r>
      <w:bookmarkEnd w:id="10"/>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 运营管理综述</w:t>
      </w:r>
    </w:p>
    <w:p w:rsidR="00E21258" w:rsidRPr="00E21258" w:rsidP="00E2125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21258">
        <w:rPr>
          <w:rFonts w:ascii="仿宋" w:eastAsia="仿宋" w:hAnsi="仿宋" w:hint="eastAsia"/>
          <w:sz w:val="28"/>
        </w:rPr>
        <w:t>运营管理是一种对企业内部生产和经营活动的资源进行有序组织、规划、控制和协调的管理活动，旨在实现企业的战略目标。在触</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媒材料项目中，运营管理扮演着至关重要的角色，它包括生产计划、原材料采购、生产过程管理、质量控制、供应链管理等多个方面，对企业的运营效率和市场竞争力产生直接而深远的影响。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 生产计划与进度管控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生产计划编制</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在触媒材料项目中，编制科学合理的生产计划是运营管理的首要任务。考虑市场需求、资源供给、交货期等因素，制定出符合实际情况的生产计划，从而避免产能过剩或不足的情况，提高生产效率。</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生产进度管控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 质量控制管理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质量管理体系建立</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质量控制在触媒材料项目中占据关键地位。建立健全的质量管理体系，包括质量标准的制定、质量检测流程设计、质量培训等，能够确保产品质量符合标准，提高生产效率和竞争力。</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过程控制和改进</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E21258" w:rsidRPr="00E21258" w:rsidP="00E2125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21258">
        <w:rPr>
          <w:rFonts w:ascii="仿宋" w:eastAsia="仿宋" w:hAnsi="仿宋" w:hint="eastAsia"/>
          <w:sz w:val="28"/>
        </w:rPr>
        <w:t>(四) 供应链管理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供应商管理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供应链管理在触媒材料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库存管理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在触媒材料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运营管理在触媒材料项目中扮演着至关重要的角色，贯穿了生产计划管理、质量控制管理、供应链管理等多个环节。只有通过科学合理的运营管理实践，企业才能在竞争激烈的市场中取得成功，实现持续发展。</w:t>
      </w:r>
    </w:p>
    <w:p w:rsidR="00E21258" w:rsidP="00E21258">
      <w:pPr>
        <w:pStyle w:val="Heading2"/>
      </w:pPr>
      <w:bookmarkStart w:id="11" w:name="_Toc156931239"/>
      <w:r w:rsidRPr="00E21258">
        <w:t>(</w:t>
      </w:r>
      <w:r w:rsidRPr="00E21258">
        <w:t>二</w:t>
      </w:r>
      <w:r w:rsidRPr="00E21258">
        <w:t>)</w:t>
      </w:r>
      <w:r w:rsidRPr="00E21258">
        <w:t>、运营战略</w:t>
      </w:r>
      <w:bookmarkEnd w:id="11"/>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 优化生产流程</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引入先进设备和技术：</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21258">
        <w:rPr>
          <w:rFonts w:ascii="仿宋" w:eastAsia="仿宋" w:hAnsi="仿宋" w:hint="eastAsia"/>
          <w:sz w:val="28"/>
        </w:rPr>
        <w:t xml:space="preserve">   在触媒材料项目中，更新生产设备和采用先进技术对提高生产效率至关重要。通过引进新的设备和技术，企业能够加速生产速度，</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减少生产成本，并提升产品的可靠性和一致性。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精益生产理念：</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 优化供应链管理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选择合适的供应商：</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供应商的选择和合作对触媒材料项目至关重要。企业应根据产品需求和质量标准选择适当的供应商，并建立稳定的合作关系，以确保供应链的稳定性，降低采购成本，提高产品质量。</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精确的库存管理：</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有效的库存管理对于触媒材料项目至关重要。通过准确的需求预测和合理的库存控制方法，企业可以实现库存的最优管理，降低库存成本，避免滞销和过期产品，保持供应链的流畅性。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 强化质量控制</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建立完善的质量管理体系：</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21258">
        <w:rPr>
          <w:rFonts w:ascii="仿宋" w:eastAsia="仿宋" w:hAnsi="仿宋" w:hint="eastAsia"/>
          <w:sz w:val="28"/>
        </w:rPr>
        <w:t xml:space="preserve">   在触媒材料项目中，建立科学的质量管理体系是确保产品质量的关键。包括质量策划、质量控制和质量改进等环节，有助于提高</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产品的一致性和可靠性，降低产品缺陷率，提升客户满意度。</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严格的过程控制和检验：</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(四) 精细化市场营销</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差异化定位：</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有效的渠道管理：</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为触媒材料项目的产品建立健全的销售渠道，并与渠道商保持良好的合作关系，以增加销售渠道的覆盖率和渗透率，提高产品的市场份额。</w:t>
      </w:r>
    </w:p>
    <w:p w:rsidR="00E21258" w:rsidP="00E2125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21258">
        <w:rPr>
          <w:rFonts w:ascii="仿宋" w:eastAsia="仿宋" w:hAnsi="仿宋" w:hint="eastAsia"/>
          <w:sz w:val="28"/>
        </w:rPr>
        <w:t>综合而言，触媒材料项目的运营战略需要在生产流程、供应链管理、质量控制和市场营销等方面做出明智的决策和行动。通过科学合理的运营战略，企业能够提升生产效率，降低成本，增强市场竞争力，最终实现触媒材料项目的成功。</w:t>
      </w:r>
    </w:p>
    <w:p w:rsidR="00E21258" w:rsidP="00E21258">
      <w:pPr>
        <w:pStyle w:val="Heading2"/>
      </w:pPr>
      <w:bookmarkStart w:id="12" w:name="_Toc156931240"/>
      <w:r w:rsidRPr="00E21258">
        <w:t>(</w:t>
      </w:r>
      <w:r w:rsidRPr="00E21258">
        <w:t>三</w:t>
      </w:r>
      <w:r w:rsidRPr="00E21258">
        <w:t>)</w:t>
      </w:r>
      <w:r w:rsidRPr="00E21258">
        <w:t>、作业计划</w:t>
      </w:r>
      <w:bookmarkEnd w:id="12"/>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 作业计划的理念</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中，作业计划是确保生产按时完成、成本可控和质量有保障的关键环节。它涵盖了生产流程的合理安排、资源的有效分配以及任务的精细分工等方面，对于触媒材料项目的成功实施起着至关重要的作用。</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 作业计划的价值</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提升执行效率：</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优化资源利用：</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作业计划有助于合理配置人力、物力和时间资源，实现资源的最优利用，从而有效控制生产成本。</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确保产品品质：</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作业计划将检验、测试和验收等环节融入其中，确保每个生产环节都符合质量标准，为产品品质提供了可靠的保障。</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4. 协调协作关系：</w:t>
      </w:r>
    </w:p>
    <w:p w:rsidR="00E21258" w:rsidRPr="00E21258" w:rsidP="00E21258">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通过明确各项工作的分工和职责，作业计划促进了内部各部门之间的协作，提高了整体协同效率，确保触媒材料项目的协调进行。</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 作业计划的执行步骤</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明确生产目标：</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首要任务是清晰明确生产任务的要求，包括生产数量、质量标准和交付时间等，确立明确的生产目标。</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分析生产条件：</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对生产资源进行全面评估，包括人力、设备、原材料等，深入分析生产条件的具体状况和潜在限制。</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制定详尽作业计划：</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结合生产目标和生产条件，制定具体细致的作业计划，包括生产流程、生产线安排以及人员调配等。</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4. 实施执行：</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将制定好的作业计划贯彻到实际生产中，不断监督执行情况，及时调整和优化作业计划，确保顺利执行。</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5. 评估总结：</w:t>
      </w:r>
    </w:p>
    <w:p w:rsidR="00E21258" w:rsidRPr="00E21258" w:rsidP="00E21258">
      <w:pPr>
        <w:ind w:firstLine="560" w:firstLineChars="200"/>
        <w:rPr>
          <w:rFonts w:ascii="仿宋" w:eastAsia="仿宋" w:hAnsi="仿宋"/>
          <w:sz w:val="28"/>
        </w:rPr>
      </w:pPr>
      <w:r w:rsidRPr="00E21258">
        <w:rPr>
          <w:rFonts w:ascii="仿宋" w:eastAsia="仿宋" w:hAnsi="仿宋"/>
          <w:sz w:val="28"/>
        </w:rPr>
        <w:t xml:space="preserve">   </w:t>
      </w:r>
    </w:p>
    <w:p w:rsidR="00E21258" w:rsidP="00E2125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21258">
        <w:rPr>
          <w:rFonts w:ascii="仿宋" w:eastAsia="仿宋" w:hAnsi="仿宋" w:hint="eastAsia"/>
          <w:sz w:val="28"/>
        </w:rPr>
        <w:t xml:space="preserve">   在生产结束后，对作业计划的执行情况进行全面评估和总结，</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及时发现问题并进行改进，为下一阶段的作业计划提供宝贵的经验借鉴。</w:t>
      </w:r>
    </w:p>
    <w:p w:rsidR="00E21258" w:rsidP="00E21258">
      <w:pPr>
        <w:pStyle w:val="Heading2"/>
      </w:pPr>
      <w:bookmarkStart w:id="13" w:name="_Toc156931241"/>
      <w:r w:rsidRPr="00E21258">
        <w:t>(</w:t>
      </w:r>
      <w:r w:rsidRPr="00E21258">
        <w:t>四</w:t>
      </w:r>
      <w:r w:rsidRPr="00E21258">
        <w:t>)</w:t>
      </w:r>
      <w:r w:rsidRPr="00E21258">
        <w:t>、设施布置</w:t>
      </w:r>
      <w:bookmarkEnd w:id="13"/>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 设施布置的关键性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在触媒材料项目中，设施布置是确保触媒材料项目顺利进行和提高生产效率的至关重要环节。它不仅仅关乎设备和工作区域的简单排列，更需要综合考虑生产流程、人员活动以及物料流动等多个因素，以确保生产过程高效运作。</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 设施布置的基本原则</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空间充分利用：</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工序流程优化：</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安全考虑：</w:t>
      </w:r>
    </w:p>
    <w:p w:rsidR="00E21258" w:rsidRPr="00E21258" w:rsidP="00E2125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21258">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(三) 设施布置的关键步骤</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需求分析：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首先，进行触媒材料项目需求分析，包括生产规模、生产流程、设备种类和数量等。充分了解触媒材料项目需求，才能制定出切实可行的设施布置方案。</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平面布局设计：</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设备选型和配置：</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根据布局设计确定设备需求，进行设备选型和配置。考虑设备的功能、性能、稳定性，以及设备之间的协调配合。</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4. 安全考虑：</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5. 实施和监控：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最后，按照设计方案实施设施布置，并在实施过程中持续监控和调整。确保设施布置方案的有效性和可持续性。</w:t>
      </w:r>
    </w:p>
    <w:p w:rsidR="00E21258" w:rsidP="00E2125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21258">
        <w:rPr>
          <w:rFonts w:ascii="仿宋" w:eastAsia="仿宋" w:hAnsi="仿宋" w:hint="eastAsia"/>
          <w:sz w:val="28"/>
        </w:rPr>
        <w:t>设施布置在触媒材料项目中具有至关重要的地位，直接关系到生产效率、安全性和整体运营成本。通过深入研究设施布置并总结实践经验，可以不断优化方案，提高生产效率，降低生产成本，增强竞争</w:t>
      </w:r>
    </w:p>
    <w:p w:rsidR="00E21258" w:rsidP="00E21258">
      <w:pPr>
        <w:ind w:firstLine="560" w:firstLineChars="200"/>
        <w:rPr>
          <w:rFonts w:ascii="仿宋" w:eastAsia="仿宋" w:hAnsi="仿宋" w:hint="eastAsia"/>
          <w:sz w:val="28"/>
        </w:rPr>
      </w:pPr>
      <w:r w:rsidRPr="00E21258">
        <w:rPr>
          <w:rFonts w:ascii="仿宋" w:eastAsia="仿宋" w:hAnsi="仿宋" w:hint="eastAsia"/>
          <w:sz w:val="28"/>
        </w:rPr>
        <w:t>力。</w:t>
      </w:r>
    </w:p>
    <w:p w:rsidR="00E21258" w:rsidP="00E21258">
      <w:pPr>
        <w:pStyle w:val="Heading2"/>
      </w:pPr>
      <w:bookmarkStart w:id="14" w:name="_Toc156931242"/>
      <w:r w:rsidRPr="00E21258">
        <w:t>(</w:t>
      </w:r>
      <w:r w:rsidRPr="00E21258">
        <w:t>五</w:t>
      </w:r>
      <w:r w:rsidRPr="00E21258">
        <w:t>)</w:t>
      </w:r>
      <w:r w:rsidRPr="00E21258">
        <w:t>、选址规划</w:t>
      </w:r>
      <w:bookmarkEnd w:id="14"/>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(一) 市场调研与需求分析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市场定位分析：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首要任务是确定触媒材料项目面向的市场，包括国内和国际市场。深入调研行业发展趋势、潜在需求和竞争格局，为选址规划提供必要的数据支持。</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消费者需求分析：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了解目标市场的消费者需求和习惯，考虑产品销售和服务半径，以更好地满足消费者需求。</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竞争对手分析：</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分析潜在竞争对手的选址情况，以避免选址冲突和过度竞争。</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(二) 地理环境评估</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1. 自然环境：</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考虑触媒材料项目所需的自然资源、气候条件、地形地貌等因素，以及它们对生产和运营的影响。</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2. 交通便捷性：</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评估选址区域的交通情况，确保原材料和产品的便捷运输，包括道路、铁路、水路和空运等交通方式。</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3. 环保要求：</w:t>
      </w:r>
    </w:p>
    <w:p w:rsidR="00E21258" w:rsidRPr="00E21258" w:rsidP="00E21258">
      <w:pPr>
        <w:ind w:firstLine="560" w:firstLineChars="200"/>
        <w:rPr>
          <w:rFonts w:ascii="仿宋" w:eastAsia="仿宋" w:hAnsi="仿宋" w:hint="eastAsia"/>
          <w:sz w:val="28"/>
        </w:rPr>
      </w:pPr>
      <w:r w:rsidRPr="00E21258">
        <w:rPr>
          <w:rFonts w:ascii="仿宋" w:eastAsia="仿宋" w:hAnsi="仿宋" w:hint="eastAsia"/>
          <w:sz w:val="28"/>
        </w:rPr>
        <w:t xml:space="preserve">   对选址区域的环保政策、环境影响评价和排放标准进行评估，</w:t>
      </w:r>
      <w:r w:rsidRPr="00E21258">
        <w:rPr>
          <w:rFonts w:ascii="仿宋" w:eastAsia="仿宋" w:hAnsi="仿宋" w:hint="eastAsia"/>
          <w:sz w:val="28"/>
        </w:rPr>
        <w:br/>
      </w:r>
      <w:r w:rsidRPr="00E2125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https://d.book118.com/857133053010006044</w:t>
        </w:r>
      </w:hyperlink>
    </w:p>
    <w:p w:rsidR="00E21258" w:rsidRPr="00E21258" w:rsidP="00E2125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2125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2125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2125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2125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2125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2125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2125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21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2125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2125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2125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2125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2125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2125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2125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2125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2125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2125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212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2125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2125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2125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2125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2125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2125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P="002E5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2125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rsidRPr="00E21258" w:rsidP="00E21258">
    <w:pPr>
      <w:pStyle w:val="Header"/>
      <w:rPr>
        <w:rFonts w:ascii="仿宋" w:eastAsia="仿宋" w:hAnsi="仿宋"/>
      </w:rPr>
    </w:pPr>
    <w:r w:rsidRPr="00E21258">
      <w:rPr>
        <w:rFonts w:ascii="仿宋" w:eastAsia="仿宋" w:hAnsi="仿宋" w:hint="eastAsia"/>
      </w:rPr>
      <w:t>触媒材料投资回报分析报告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2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258"/>
    <w:rsid w:val="002E5797"/>
    <w:rsid w:val="00883E19"/>
    <w:rsid w:val="009B05B4"/>
    <w:rsid w:val="00E2125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2125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2125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21258"/>
    <w:rPr>
      <w:b/>
      <w:bCs/>
      <w:kern w:val="44"/>
      <w:sz w:val="44"/>
      <w:szCs w:val="44"/>
    </w:rPr>
  </w:style>
  <w:style w:type="character" w:customStyle="1" w:styleId="2Char">
    <w:name w:val="标题 2 Char"/>
    <w:basedOn w:val="DefaultParagraphFont"/>
    <w:link w:val="Heading2"/>
    <w:uiPriority w:val="9"/>
    <w:rsid w:val="00E2125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212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21258"/>
    <w:rPr>
      <w:sz w:val="18"/>
      <w:szCs w:val="18"/>
    </w:rPr>
  </w:style>
  <w:style w:type="paragraph" w:styleId="Footer">
    <w:name w:val="footer"/>
    <w:basedOn w:val="Normal"/>
    <w:link w:val="Char0"/>
    <w:uiPriority w:val="99"/>
    <w:unhideWhenUsed/>
    <w:rsid w:val="00E2125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1258"/>
    <w:rPr>
      <w:sz w:val="18"/>
      <w:szCs w:val="18"/>
    </w:rPr>
  </w:style>
  <w:style w:type="character" w:styleId="PageNumber">
    <w:name w:val="page number"/>
    <w:basedOn w:val="DefaultParagraphFont"/>
    <w:uiPriority w:val="99"/>
    <w:semiHidden/>
    <w:unhideWhenUsed/>
    <w:rsid w:val="00E21258"/>
  </w:style>
  <w:style w:type="paragraph" w:styleId="TOC1">
    <w:name w:val="toc 1"/>
    <w:basedOn w:val="Normal"/>
    <w:next w:val="Normal"/>
    <w:autoRedefine/>
    <w:uiPriority w:val="39"/>
    <w:unhideWhenUsed/>
    <w:rsid w:val="00E21258"/>
  </w:style>
  <w:style w:type="paragraph" w:styleId="TOC2">
    <w:name w:val="toc 2"/>
    <w:basedOn w:val="Normal"/>
    <w:next w:val="Normal"/>
    <w:autoRedefine/>
    <w:uiPriority w:val="39"/>
    <w:unhideWhenUsed/>
    <w:rsid w:val="00E2125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57133053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6870</Words>
  <Characters>39160</Characters>
  <Application>Microsoft Office Word</Application>
  <DocSecurity>0</DocSecurity>
  <Lines>326</Lines>
  <Paragraphs>91</Paragraphs>
  <ScaleCrop>false</ScaleCrop>
  <Company>Microsoft</Company>
  <LinksUpToDate>false</LinksUpToDate>
  <CharactersWithSpaces>45939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2024-01-23T11:39:00Z</dcterms:created>
  <dcterms:modified xsi:type="dcterms:W3CDTF">2024-01-23T11:40:00Z</dcterms:modified>
</cp:coreProperties>
</file>