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tabs>
          <w:tab w:val="left" w:pos="5411"/>
          <w:tab w:val="left" w:pos="12552"/>
        </w:tabs>
        <w:spacing w:before="80" w:line="478" w:lineRule="exact"/>
        <w:ind w:left="140" w:right="0" w:firstLine="0"/>
        <w:jc w:val="left"/>
        <w:rPr>
          <w:rFonts w:ascii="Times New Roman" w:eastAsia="Times New Roman"/>
          <w:sz w:val="48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w w:val="99"/>
          <w:sz w:val="48"/>
          <w:u w:val="thick"/>
        </w:rPr>
        <w:t xml:space="preserve"> </w:t>
      </w:r>
      <w:r>
        <w:rPr>
          <w:rFonts w:ascii="Times New Roman" w:eastAsia="Times New Roman"/>
          <w:sz w:val="48"/>
          <w:u w:val="thick"/>
        </w:rPr>
        <w:tab/>
      </w:r>
      <w:r>
        <w:rPr>
          <w:rFonts w:ascii="Times New Roman" w:eastAsia="Times New Roman"/>
          <w:sz w:val="48"/>
          <w:u w:val="thick"/>
        </w:rPr>
        <w:t xml:space="preserve"> </w:t>
        <w:tab/>
      </w:r>
    </w:p>
    <w:p>
      <w:pPr>
        <w:pStyle w:val="Title"/>
        <w:spacing w:line="1247" w:lineRule="exact"/>
        <w:ind w:left="3381"/>
      </w:pPr>
      <w:r>
        <w:t>成都可行性争论报</w:t>
      </w:r>
    </w:p>
    <w:p>
      <w:pPr>
        <w:pStyle w:val="Title"/>
        <w:spacing w:before="20"/>
      </w:pPr>
      <w:r>
        <w:t>告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"/>
        <w:ind w:left="0"/>
        <w:rPr>
          <w:sz w:val="17"/>
        </w:rPr>
      </w:pPr>
    </w:p>
    <w:p>
      <w:pPr>
        <w:spacing w:before="42"/>
        <w:ind w:left="1400" w:right="0" w:firstLine="0"/>
        <w:jc w:val="left"/>
        <w:rPr>
          <w:sz w:val="42"/>
        </w:rPr>
      </w:pPr>
      <w:r>
        <w:rPr>
          <w:sz w:val="42"/>
        </w:rPr>
        <w:t>各位读友大家好，此文档由网络收集而来，欢送您下载，感谢</w:t>
      </w:r>
    </w:p>
    <w:p>
      <w:pPr>
        <w:pStyle w:val="BodyText"/>
        <w:ind w:left="0"/>
        <w:rPr>
          <w:sz w:val="42"/>
        </w:rPr>
      </w:pPr>
    </w:p>
    <w:p>
      <w:pPr>
        <w:pStyle w:val="BodyText"/>
        <w:spacing w:before="344" w:line="244" w:lineRule="auto"/>
        <w:ind w:left="536" w:right="1162" w:hanging="36"/>
      </w:pPr>
      <w:r>
        <w:t>成都明十陵风景区可行性争论报告</w:t>
      </w:r>
      <w:r>
        <w:rPr>
          <w:spacing w:val="1"/>
        </w:rPr>
        <w:t xml:space="preserve"> </w:t>
      </w:r>
      <w:r>
        <w:rPr>
          <w:spacing w:val="-2"/>
        </w:rPr>
        <w:t>随着成都市区向东向南进展战略的实</w:t>
      </w:r>
    </w:p>
    <w:p>
      <w:pPr>
        <w:pStyle w:val="BodyText"/>
        <w:spacing w:line="913" w:lineRule="exact"/>
      </w:pPr>
      <w:r>
        <w:t>施和城市根底设施建设的快速推动．市</w:t>
      </w:r>
    </w:p>
    <w:p>
      <w:pPr>
        <w:pStyle w:val="BodyText"/>
        <w:spacing w:before="13" w:line="242" w:lineRule="auto"/>
        <w:ind w:right="617"/>
        <w:jc w:val="both"/>
      </w:pPr>
      <w:r>
        <w:t>区东部和南部已不仅是城市形态，而且也正成为城市经济的生长点。同时，题中应有之义，东部和南部也应成为城市</w:t>
      </w:r>
      <w:r>
        <w:rPr>
          <w:spacing w:val="14"/>
        </w:rPr>
        <w:t>根底设施之一</w:t>
      </w:r>
      <w:r>
        <w:rPr>
          <w:rFonts w:ascii="幼圆" w:eastAsia="幼圆" w:hAnsi="幼圆" w:hint="eastAsia"/>
        </w:rPr>
        <w:t>——</w:t>
      </w:r>
      <w:r>
        <w:t>绿地的生长点。基于这一生疏我们成立了专题争论小组，对市区东部、南部进展屡次现场调研，依据《成都城市向东向南进展战略规划纲</w:t>
      </w:r>
      <w:r>
        <w:rPr>
          <w:spacing w:val="-32"/>
        </w:rPr>
        <w:t>要》，选定位于龙泉驿区十陵镇的明十陵</w:t>
      </w:r>
      <w:r>
        <w:t>风景区作为优先实施工程，并提出成都明十陵风景区可行性争论报告．</w:t>
      </w:r>
    </w:p>
    <w:p>
      <w:pPr>
        <w:pStyle w:val="BodyText"/>
        <w:spacing w:before="45"/>
        <w:ind w:left="500"/>
      </w:pPr>
      <w:r>
        <w:t>一、历史和现状概况</w:t>
      </w:r>
    </w:p>
    <w:p>
      <w:pPr>
        <w:pStyle w:val="BodyText"/>
        <w:spacing w:before="13" w:line="242" w:lineRule="auto"/>
        <w:ind w:right="836" w:firstLine="395"/>
      </w:pPr>
      <w:r>
        <w:t>成都明十陵是明朝宗室蜀王家族规模</w:t>
      </w:r>
      <w:r>
        <w:rPr>
          <w:spacing w:val="-1"/>
        </w:rPr>
        <w:t>最大的一处陵墓群，位于成都市区东部现龙泉驿区十陵镇境内。共有明朝蜀王</w:t>
      </w:r>
    </w:p>
    <w:p>
      <w:pPr>
        <w:pStyle w:val="BodyText"/>
        <w:tabs>
          <w:tab w:val="right" w:pos="12610"/>
        </w:tabs>
        <w:spacing w:before="96"/>
        <w:ind w:left="3979"/>
        <w:rPr>
          <w:rFonts w:ascii="Arial Narrow" w:eastAsia="Arial Narrow"/>
          <w:sz w:val="29"/>
        </w:rPr>
      </w:pPr>
      <w:r>
        <w:pict>
          <v:line id="_x0000_s1025" style="mso-position-horizontal-relative:page;position:absolute;z-index:251658240" from="135.05pt,32.7pt" to="326.85pt,32.7pt" stroked="t" strokecolor="black" strokeweight="2.27pt">
            <v:stroke dashstyle="longDash"/>
          </v:line>
        </w:pict>
      </w:r>
      <w:r>
        <w:pict>
          <v:line id="_x0000_s1026" style="mso-position-horizontal-relative:page;position:absolute;z-index:-251656192" from="543pt,32.7pt" to="734.8pt,32.7pt" stroked="t" strokecolor="black" strokeweight="2.27pt">
            <v:stroke dashstyle="longDash"/>
          </v:line>
        </w:pict>
      </w:r>
      <w:r>
        <w:rPr>
          <w:rFonts w:ascii="Times New Roman" w:eastAsia="Times New Roman"/>
        </w:rPr>
        <w:tab/>
      </w:r>
      <w:r>
        <w:rPr>
          <w:rFonts w:ascii="Arial Narrow" w:eastAsia="Arial Narrow"/>
          <w:position w:val="9"/>
          <w:sz w:val="29"/>
        </w:rPr>
        <w:t>1</w:t>
      </w:r>
    </w:p>
    <w:p>
      <w:pPr>
        <w:spacing w:after="0"/>
        <w:rPr>
          <w:rFonts w:ascii="Arial Narrow" w:eastAsia="Arial Narrow"/>
          <w:sz w:val="29"/>
        </w:rPr>
        <w:sectPr>
          <w:type w:val="continuous"/>
          <w:pgSz w:w="17860" w:h="25260"/>
          <w:pgMar w:top="800" w:right="2080" w:bottom="280" w:left="2560" w:header="708" w:footer="708"/>
          <w:cols w:space="708"/>
        </w:sectPr>
      </w:pPr>
    </w:p>
    <w:p>
      <w:pPr>
        <w:tabs>
          <w:tab w:val="left" w:pos="5411"/>
          <w:tab w:val="left" w:pos="12552"/>
        </w:tabs>
        <w:spacing w:before="20"/>
        <w:ind w:left="140" w:right="0" w:firstLine="0"/>
        <w:jc w:val="left"/>
        <w:rPr>
          <w:rFonts w:ascii="Times New Roman" w:eastAsia="Times New Roman"/>
          <w:sz w:val="48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w w:val="99"/>
          <w:sz w:val="48"/>
          <w:u w:val="thick"/>
        </w:rPr>
        <w:t xml:space="preserve"> </w:t>
      </w:r>
      <w:r>
        <w:rPr>
          <w:rFonts w:ascii="Times New Roman" w:eastAsia="Times New Roman"/>
          <w:sz w:val="48"/>
          <w:u w:val="thick"/>
        </w:rPr>
        <w:tab/>
      </w:r>
      <w:r>
        <w:rPr>
          <w:rFonts w:ascii="Times New Roman" w:eastAsia="Times New Roman"/>
          <w:sz w:val="48"/>
          <w:u w:val="thick"/>
        </w:rPr>
        <w:t xml:space="preserve"> </w:t>
        <w:tab/>
      </w:r>
    </w:p>
    <w:p>
      <w:pPr>
        <w:pStyle w:val="BodyText"/>
        <w:spacing w:before="33" w:line="242" w:lineRule="auto"/>
        <w:ind w:right="257"/>
      </w:pPr>
      <w:r>
        <w:t>和王妃陵墓十座．该墓群始建于明宜德年间</w:t>
      </w:r>
      <w:r>
        <w:rPr>
          <w:rFonts w:ascii="Arial Narrow" w:eastAsia="Arial Narrow"/>
        </w:rPr>
        <w:t>(1434)</w:t>
      </w:r>
      <w:r>
        <w:rPr>
          <w:spacing w:val="-11"/>
        </w:rPr>
        <w:t>，距今已五百六十余年，数百</w:t>
      </w:r>
      <w:r>
        <w:rPr>
          <w:spacing w:val="-13"/>
        </w:rPr>
        <w:t>年历经沧桑．陵园地面建筑已不复存在，</w:t>
      </w:r>
      <w:r>
        <w:rPr>
          <w:spacing w:val="-357"/>
        </w:rPr>
        <w:t xml:space="preserve"> </w:t>
      </w:r>
      <w:r>
        <w:t>但山水形胜犹在，遗址尚存，特别是僖</w:t>
      </w:r>
      <w:r>
        <w:rPr>
          <w:spacing w:val="-11"/>
        </w:rPr>
        <w:t>王陵墓精巧的地下宫室保存完好。目前，</w:t>
      </w:r>
      <w:r>
        <w:rPr>
          <w:spacing w:val="-357"/>
        </w:rPr>
        <w:t xml:space="preserve"> </w:t>
      </w:r>
      <w:r>
        <w:t>其中的蜀僖陵已被国务院批准列为国家级重点文物保护单位．</w:t>
      </w:r>
    </w:p>
    <w:p>
      <w:pPr>
        <w:pStyle w:val="BodyText"/>
        <w:spacing w:before="31" w:line="242" w:lineRule="auto"/>
        <w:ind w:right="257" w:firstLine="359"/>
      </w:pPr>
      <w:r>
        <w:t>明十陵分布紧凑、布局谨严，陵区面积</w:t>
      </w:r>
      <w:r>
        <w:rPr>
          <w:spacing w:val="-87"/>
        </w:rPr>
        <w:t xml:space="preserve">约 </w:t>
      </w:r>
      <w:r>
        <w:rPr>
          <w:rFonts w:ascii="Arial Narrow" w:eastAsia="Arial Narrow"/>
        </w:rPr>
        <w:t>5</w:t>
      </w:r>
      <w:r>
        <w:rPr>
          <w:rFonts w:ascii="Arial Narrow" w:eastAsia="Arial Narrow"/>
          <w:spacing w:val="23"/>
        </w:rPr>
        <w:t xml:space="preserve"> </w:t>
      </w:r>
      <w:r>
        <w:rPr>
          <w:spacing w:val="-13"/>
        </w:rPr>
        <w:t>平方公里．为大粜村和青龙村地界，</w:t>
      </w:r>
      <w:r>
        <w:rPr>
          <w:spacing w:val="-357"/>
        </w:rPr>
        <w:t xml:space="preserve"> </w:t>
      </w:r>
      <w:r>
        <w:t>区内地形起伏，山丘连绵、良田映秀、林盘疏布。风景幽雅，东风渠由西北至东纵贯陵区．据考山间曾有千亩湖泊名青龙湖，而诸陵大多背山临湖列布。诸陵所依之山古称正觉山，现谓大梁山，</w:t>
      </w:r>
      <w:r>
        <w:rPr>
          <w:spacing w:val="1"/>
        </w:rPr>
        <w:t xml:space="preserve"> </w:t>
      </w:r>
      <w:r>
        <w:rPr>
          <w:spacing w:val="-15"/>
        </w:rPr>
        <w:t xml:space="preserve">海拔 </w:t>
      </w:r>
      <w:r>
        <w:rPr>
          <w:rFonts w:ascii="Arial Narrow" w:eastAsia="Arial Narrow"/>
        </w:rPr>
        <w:t>534</w:t>
      </w:r>
      <w:r>
        <w:rPr>
          <w:rFonts w:ascii="Arial Narrow" w:eastAsia="Arial Narrow"/>
          <w:spacing w:val="158"/>
        </w:rPr>
        <w:t xml:space="preserve"> </w:t>
      </w:r>
      <w:r>
        <w:t>米，山形呈北高而东西两冀渐</w:t>
      </w:r>
    </w:p>
    <w:p>
      <w:pPr>
        <w:pStyle w:val="BodyText"/>
        <w:spacing w:before="34" w:line="242" w:lineRule="auto"/>
        <w:ind w:right="116"/>
      </w:pPr>
      <w:r>
        <w:rPr>
          <w:spacing w:val="-23"/>
        </w:rPr>
        <w:t xml:space="preserve">低围绕之势，西南面一带山丘，海拔 </w:t>
      </w:r>
      <w:r>
        <w:rPr>
          <w:rFonts w:ascii="Arial Narrow" w:eastAsia="Arial Narrow" w:hAnsi="Arial Narrow"/>
        </w:rPr>
        <w:t>527</w:t>
      </w:r>
      <w:r>
        <w:rPr>
          <w:rFonts w:ascii="Arial Narrow" w:eastAsia="Arial Narrow" w:hAnsi="Arial Narrow"/>
          <w:spacing w:val="1"/>
        </w:rPr>
        <w:t xml:space="preserve"> </w:t>
      </w:r>
      <w:r>
        <w:t>米，比正觉山略低，为青龙埂，两山和</w:t>
      </w:r>
      <w:r>
        <w:rPr>
          <w:spacing w:val="1"/>
        </w:rPr>
        <w:t xml:space="preserve"> </w:t>
      </w:r>
      <w:r>
        <w:rPr>
          <w:spacing w:val="-1"/>
        </w:rPr>
        <w:t>合，在南偏东方向形成陵口。整个陵区，</w:t>
      </w:r>
      <w:r>
        <w:rPr>
          <w:spacing w:val="-357"/>
        </w:rPr>
        <w:t xml:space="preserve"> </w:t>
      </w:r>
      <w:r>
        <w:t>正所谓</w:t>
      </w:r>
      <w:r>
        <w:rPr>
          <w:rFonts w:ascii="Times New Roman" w:eastAsia="Times New Roman" w:hAnsi="Times New Roman"/>
        </w:rPr>
        <w:t>“</w:t>
      </w:r>
      <w:r>
        <w:t>藏风界水</w:t>
      </w:r>
      <w:r>
        <w:rPr>
          <w:rFonts w:ascii="Times New Roman" w:eastAsia="Times New Roman" w:hAnsi="Times New Roman"/>
        </w:rPr>
        <w:t>”</w:t>
      </w:r>
      <w:r>
        <w:rPr>
          <w:spacing w:val="-339"/>
        </w:rPr>
        <w:t>、</w:t>
      </w:r>
      <w:r>
        <w:rPr>
          <w:rFonts w:ascii="Times New Roman" w:eastAsia="Times New Roman" w:hAnsi="Times New Roman"/>
        </w:rPr>
        <w:t>“</w:t>
      </w:r>
      <w:r>
        <w:t>聚气凝神</w:t>
      </w:r>
      <w:r>
        <w:rPr>
          <w:rFonts w:ascii="Times New Roman" w:eastAsia="Times New Roman" w:hAnsi="Times New Roman"/>
        </w:rPr>
        <w:t>”</w:t>
      </w:r>
      <w:r>
        <w:t>的风水宝地。</w:t>
      </w:r>
    </w:p>
    <w:p>
      <w:pPr>
        <w:pStyle w:val="BodyText"/>
        <w:spacing w:before="23" w:line="242" w:lineRule="auto"/>
        <w:ind w:right="617" w:firstLine="359"/>
      </w:pPr>
      <w:r>
        <w:rPr>
          <w:spacing w:val="-12"/>
        </w:rPr>
        <w:t>陵区原有植枝当以松柏为主，据考本世</w:t>
      </w:r>
      <w:r>
        <w:t>纪五十年月陵区仍为大片松柏林，后固</w:t>
      </w:r>
    </w:p>
    <w:p>
      <w:pPr>
        <w:pStyle w:val="BodyText"/>
        <w:tabs>
          <w:tab w:val="right" w:pos="12610"/>
        </w:tabs>
        <w:spacing w:before="91"/>
        <w:ind w:left="3979"/>
        <w:rPr>
          <w:rFonts w:ascii="Arial Narrow" w:eastAsia="Arial Narrow"/>
          <w:sz w:val="29"/>
        </w:rPr>
      </w:pPr>
      <w:r>
        <w:pict>
          <v:line id="_x0000_s1027" style="mso-position-horizontal-relative:page;position:absolute;z-index:251661312" from="135.05pt,32.45pt" to="326.85pt,32.45pt" stroked="t" strokecolor="black" strokeweight="2.27pt">
            <v:stroke dashstyle="longDash"/>
          </v:line>
        </w:pict>
      </w:r>
      <w:r>
        <w:pict>
          <v:line id="_x0000_s1028" style="mso-position-horizontal-relative:page;position:absolute;z-index:-251653120" from="543pt,32.45pt" to="734.8pt,32.45pt" stroked="t" strokecolor="black" strokeweight="2.27pt">
            <v:stroke dashstyle="longDash"/>
          </v:line>
        </w:pict>
      </w:r>
      <w:r>
        <w:rPr>
          <w:rFonts w:ascii="Times New Roman" w:eastAsia="Times New Roman"/>
        </w:rPr>
        <w:tab/>
      </w:r>
      <w:r>
        <w:rPr>
          <w:rFonts w:ascii="Arial Narrow" w:eastAsia="Arial Narrow"/>
          <w:position w:val="9"/>
          <w:sz w:val="29"/>
        </w:rPr>
        <w:t>2</w:t>
      </w:r>
    </w:p>
    <w:p>
      <w:pPr>
        <w:spacing w:after="0"/>
        <w:rPr>
          <w:rFonts w:ascii="Arial Narrow" w:eastAsia="Arial Narrow"/>
          <w:sz w:val="29"/>
        </w:rPr>
      </w:pPr>
      <w:r>
        <w:rPr>
          <w:rFonts w:ascii="Arial Narrow" w:eastAsia="Arial Narrow"/>
          <w:sz w:val="29"/>
        </w:rPr>
        <w:br/>
      </w:r>
      <w:r>
        <w:rPr>
          <w:rFonts w:ascii="Arial Narrow" w:eastAsia="Arial Narrow"/>
          <w:sz w:val="2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https://d.book118.com/857156110123006025</w:t>
        </w:r>
      </w:hyperlink>
    </w:p>
    <w:p>
      <w:pPr>
        <w:spacing w:after="0"/>
        <w:rPr>
          <w:rFonts w:ascii="Arial Narrow" w:eastAsia="Arial Narrow"/>
          <w:sz w:val="29"/>
        </w:rPr>
      </w:pPr>
    </w:p>
    <w:sectPr>
      <w:pgSz w:w="17860" w:h="25260"/>
      <w:pgMar w:top="860" w:right="2080" w:bottom="280" w:left="25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79657"/>
    <w:multiLevelType w:val="hybridMultilevel"/>
    <w:tmpl w:val="00000000"/>
    <w:lvl w:ilvl="0">
      <w:start w:val="7"/>
      <w:numFmt w:val="decimal"/>
      <w:lvlText w:val="%1"/>
      <w:lvlJc w:val="left"/>
      <w:pPr>
        <w:ind w:left="140" w:hanging="12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" w:hanging="1264"/>
        <w:jc w:val="left"/>
      </w:pPr>
      <w:rPr>
        <w:rFonts w:ascii="Arial Narrow" w:eastAsia="Arial Narrow" w:hAnsi="Arial Narrow" w:cs="Arial Narrow" w:hint="default"/>
        <w:w w:val="109"/>
        <w:sz w:val="72"/>
        <w:szCs w:val="72"/>
      </w:rPr>
    </w:lvl>
    <w:lvl w:ilvl="2">
      <w:start w:val="0"/>
      <w:numFmt w:val="bullet"/>
      <w:lvlText w:val="•"/>
      <w:lvlJc w:val="left"/>
      <w:pPr>
        <w:ind w:left="2755" w:hanging="1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3" w:hanging="1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1" w:hanging="1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9" w:hanging="1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7" w:hanging="1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5" w:hanging="1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3" w:hanging="1264"/>
      </w:pPr>
      <w:rPr>
        <w:rFonts w:hint="default"/>
      </w:rPr>
    </w:lvl>
  </w:abstractNum>
  <w:abstractNum w:abstractNumId="1">
    <w:nsid w:val="1AA3C828"/>
    <w:multiLevelType w:val="hybridMultilevel"/>
    <w:tmpl w:val="00000000"/>
    <w:lvl w:ilvl="0">
      <w:start w:val="1"/>
      <w:numFmt w:val="decimal"/>
      <w:lvlText w:val="%1"/>
      <w:lvlJc w:val="left"/>
      <w:pPr>
        <w:ind w:left="140" w:hanging="126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" w:hanging="1260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2755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3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1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7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5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3" w:hanging="1260"/>
      </w:pPr>
      <w:rPr>
        <w:rFonts w:hint="default"/>
      </w:rPr>
    </w:lvl>
  </w:abstractNum>
  <w:abstractNum w:abstractNumId="2">
    <w:nsid w:val="276C1E19"/>
    <w:multiLevelType w:val="hybridMultilevel"/>
    <w:tmpl w:val="00000000"/>
    <w:lvl w:ilvl="0">
      <w:start w:val="2"/>
      <w:numFmt w:val="decimal"/>
      <w:lvlText w:val="%1"/>
      <w:lvlJc w:val="left"/>
      <w:pPr>
        <w:ind w:left="140" w:hanging="12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" w:hanging="1264"/>
        <w:jc w:val="left"/>
      </w:pPr>
      <w:rPr>
        <w:rFonts w:ascii="Arial Narrow" w:eastAsia="Arial Narrow" w:hAnsi="Arial Narrow" w:cs="Arial Narrow" w:hint="default"/>
        <w:w w:val="109"/>
        <w:sz w:val="72"/>
        <w:szCs w:val="72"/>
      </w:rPr>
    </w:lvl>
    <w:lvl w:ilvl="2">
      <w:start w:val="0"/>
      <w:numFmt w:val="bullet"/>
      <w:lvlText w:val="•"/>
      <w:lvlJc w:val="left"/>
      <w:pPr>
        <w:ind w:left="2755" w:hanging="1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3" w:hanging="1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1" w:hanging="1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9" w:hanging="1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7" w:hanging="1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5" w:hanging="1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3" w:hanging="1264"/>
      </w:pPr>
      <w:rPr>
        <w:rFonts w:hint="default"/>
      </w:rPr>
    </w:lvl>
  </w:abstractNum>
  <w:abstractNum w:abstractNumId="3">
    <w:nsid w:val="357DF9FE"/>
    <w:multiLevelType w:val="hybridMultilevel"/>
    <w:tmpl w:val="00000000"/>
    <w:lvl w:ilvl="0">
      <w:start w:val="8"/>
      <w:numFmt w:val="decimal"/>
      <w:lvlText w:val="%1"/>
      <w:lvlJc w:val="left"/>
      <w:pPr>
        <w:ind w:left="1760" w:hanging="1260"/>
        <w:jc w:val="left"/>
      </w:pPr>
      <w:rPr>
        <w:rFonts w:hint="default"/>
      </w:rPr>
    </w:lvl>
    <w:lvl w:ilvl="1">
      <w:start w:val="0"/>
      <w:numFmt w:val="decimal"/>
      <w:lvlText w:val="%1.%2"/>
      <w:lvlJc w:val="left"/>
      <w:pPr>
        <w:ind w:left="1760" w:hanging="1260"/>
        <w:jc w:val="left"/>
      </w:pPr>
      <w:rPr>
        <w:rFonts w:ascii="Arial Narrow" w:eastAsia="Arial Narrow" w:hAnsi="Arial Narrow" w:cs="Arial Narrow" w:hint="default"/>
        <w:w w:val="109"/>
        <w:sz w:val="72"/>
        <w:szCs w:val="72"/>
      </w:rPr>
    </w:lvl>
    <w:lvl w:ilvl="2">
      <w:start w:val="0"/>
      <w:numFmt w:val="bullet"/>
      <w:lvlText w:val="•"/>
      <w:lvlJc w:val="left"/>
      <w:pPr>
        <w:ind w:left="4051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7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43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5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1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7" w:hanging="1260"/>
      </w:pPr>
      <w:rPr>
        <w:rFonts w:hint="default"/>
      </w:rPr>
    </w:lvl>
  </w:abstractNum>
  <w:abstractNum w:abstractNumId="4">
    <w:nsid w:val="4F8626CC"/>
    <w:multiLevelType w:val="hybridMultilevel"/>
    <w:tmpl w:val="00000000"/>
    <w:lvl w:ilvl="0">
      <w:start w:val="6"/>
      <w:numFmt w:val="decimal"/>
      <w:lvlText w:val="%1"/>
      <w:lvlJc w:val="left"/>
      <w:pPr>
        <w:ind w:left="1760" w:hanging="126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0" w:hanging="1260"/>
        <w:jc w:val="left"/>
      </w:pPr>
      <w:rPr>
        <w:rFonts w:ascii="Arial Narrow" w:eastAsia="Arial Narrow" w:hAnsi="Arial Narrow" w:cs="Arial Narrow" w:hint="default"/>
        <w:w w:val="109"/>
        <w:sz w:val="72"/>
        <w:szCs w:val="72"/>
      </w:rPr>
    </w:lvl>
    <w:lvl w:ilvl="2">
      <w:start w:val="0"/>
      <w:numFmt w:val="bullet"/>
      <w:lvlText w:val="•"/>
      <w:lvlJc w:val="left"/>
      <w:pPr>
        <w:ind w:left="4051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7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43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5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1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7" w:hanging="1260"/>
      </w:pPr>
      <w:rPr>
        <w:rFonts w:hint="default"/>
      </w:rPr>
    </w:lvl>
  </w:abstractNum>
  <w:abstractNum w:abstractNumId="5">
    <w:nsid w:val="5198FB59"/>
    <w:multiLevelType w:val="hybridMultilevel"/>
    <w:tmpl w:val="00000000"/>
    <w:lvl w:ilvl="0">
      <w:start w:val="3"/>
      <w:numFmt w:val="decimal"/>
      <w:lvlText w:val="%1"/>
      <w:lvlJc w:val="left"/>
      <w:pPr>
        <w:ind w:left="140" w:hanging="108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" w:hanging="1080"/>
        <w:jc w:val="left"/>
      </w:pPr>
      <w:rPr>
        <w:rFonts w:ascii="Arial Narrow" w:eastAsia="Arial Narrow" w:hAnsi="Arial Narrow" w:cs="Arial Narrow" w:hint="default"/>
        <w:w w:val="109"/>
        <w:sz w:val="72"/>
        <w:szCs w:val="72"/>
      </w:rPr>
    </w:lvl>
    <w:lvl w:ilvl="2">
      <w:start w:val="0"/>
      <w:numFmt w:val="bullet"/>
      <w:lvlText w:val="•"/>
      <w:lvlJc w:val="left"/>
      <w:pPr>
        <w:ind w:left="2755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1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5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3" w:hanging="1080"/>
      </w:pPr>
      <w:rPr>
        <w:rFonts w:hint="default"/>
      </w:rPr>
    </w:lvl>
  </w:abstractNum>
  <w:abstractNum w:abstractNumId="6">
    <w:nsid w:val="557D4673"/>
    <w:multiLevelType w:val="hybridMultilevel"/>
    <w:tmpl w:val="00000000"/>
    <w:lvl w:ilvl="0">
      <w:start w:val="5"/>
      <w:numFmt w:val="decimal"/>
      <w:lvlText w:val="%1"/>
      <w:lvlJc w:val="left"/>
      <w:pPr>
        <w:ind w:left="1760" w:hanging="126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0" w:hanging="1260"/>
        <w:jc w:val="left"/>
      </w:pPr>
      <w:rPr>
        <w:rFonts w:ascii="Arial Narrow" w:eastAsia="Arial Narrow" w:hAnsi="Arial Narrow" w:cs="Arial Narrow" w:hint="default"/>
        <w:w w:val="109"/>
        <w:sz w:val="72"/>
        <w:szCs w:val="72"/>
      </w:rPr>
    </w:lvl>
    <w:lvl w:ilvl="2">
      <w:start w:val="0"/>
      <w:numFmt w:val="bullet"/>
      <w:lvlText w:val="•"/>
      <w:lvlJc w:val="left"/>
      <w:pPr>
        <w:ind w:left="4051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7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43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5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1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7" w:hanging="1260"/>
      </w:pPr>
      <w:rPr>
        <w:rFonts w:hint="default"/>
      </w:rPr>
    </w:lvl>
  </w:abstractNum>
  <w:abstractNum w:abstractNumId="7">
    <w:nsid w:val="5C9A8854"/>
    <w:multiLevelType w:val="hybridMultilevel"/>
    <w:tmpl w:val="00000000"/>
    <w:lvl w:ilvl="0">
      <w:start w:val="4"/>
      <w:numFmt w:val="decimal"/>
      <w:lvlText w:val="%1"/>
      <w:lvlJc w:val="left"/>
      <w:pPr>
        <w:ind w:left="140" w:hanging="12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" w:hanging="1264"/>
        <w:jc w:val="left"/>
      </w:pPr>
      <w:rPr>
        <w:rFonts w:ascii="Arial Narrow" w:eastAsia="Arial Narrow" w:hAnsi="Arial Narrow" w:cs="Arial Narrow" w:hint="default"/>
        <w:w w:val="109"/>
        <w:sz w:val="72"/>
        <w:szCs w:val="72"/>
      </w:rPr>
    </w:lvl>
    <w:lvl w:ilvl="2">
      <w:start w:val="0"/>
      <w:numFmt w:val="bullet"/>
      <w:lvlText w:val="•"/>
      <w:lvlJc w:val="left"/>
      <w:pPr>
        <w:ind w:left="2755" w:hanging="1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3" w:hanging="1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1" w:hanging="1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9" w:hanging="1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7" w:hanging="1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5" w:hanging="1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3" w:hanging="1264"/>
      </w:pPr>
      <w:rPr>
        <w:rFonts w:hint="default"/>
      </w:rPr>
    </w:lvl>
  </w:abstractNum>
  <w:abstractNum w:abstractNumId="8">
    <w:nsid w:val="5D414BA0"/>
    <w:multiLevelType w:val="hybridMultilevel"/>
    <w:tmpl w:val="00000000"/>
    <w:lvl w:ilvl="0">
      <w:start w:val="3"/>
      <w:numFmt w:val="decimal"/>
      <w:lvlText w:val="%1."/>
      <w:lvlJc w:val="left"/>
      <w:pPr>
        <w:ind w:left="1581" w:hanging="1081"/>
        <w:jc w:val="lef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2743" w:hanging="10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7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1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5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3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7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1" w:hanging="1081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6"/>
  </w:num>
  <w:num w:numId="5">
    <w:abstractNumId w:val="7"/>
  </w:num>
  <w:num w:numId="6">
    <w:abstractNumId w:val="5"/>
  </w:num>
  <w:num w:numId="7">
    <w:abstractNumId w:val="2"/>
  </w:num>
  <w:num w:numId="8">
    <w:abstractNumId w:val="1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40"/>
    </w:pPr>
    <w:rPr>
      <w:rFonts w:ascii="宋体" w:eastAsia="宋体" w:hAnsi="宋体" w:cs="宋体"/>
      <w:sz w:val="72"/>
      <w:szCs w:val="72"/>
    </w:rPr>
  </w:style>
  <w:style w:type="paragraph" w:styleId="Title">
    <w:name w:val="Title"/>
    <w:basedOn w:val="Normal"/>
    <w:uiPriority w:val="1"/>
    <w:qFormat/>
    <w:pPr>
      <w:ind w:left="140"/>
    </w:pPr>
    <w:rPr>
      <w:rFonts w:ascii="宋体" w:eastAsia="宋体" w:hAnsi="宋体" w:cs="宋体"/>
      <w:sz w:val="108"/>
      <w:szCs w:val="108"/>
    </w:rPr>
  </w:style>
  <w:style w:type="paragraph" w:styleId="ListParagraph">
    <w:name w:val="List Paragraph"/>
    <w:basedOn w:val="Normal"/>
    <w:uiPriority w:val="1"/>
    <w:qFormat/>
    <w:pPr>
      <w:spacing w:before="14"/>
      <w:ind w:left="140" w:hanging="126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857156110123006025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2023-10-15T03:17:28Z</dcterms:created>
  <dcterms:modified xsi:type="dcterms:W3CDTF">2023-10-15T03:17:28Z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2023-01-26T00:00:00Z</vt:filetime>
  </property>
  <property fmtid="{D5CDD505-2E9C-101B-9397-08002B2CF9AE}" pid="3" name="LastSaved">
    <vt:filetime>2023-10-15T00:00:00Z</vt:filetime>
  </property>
</Properties>
</file>