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知识付费项目规划设计方案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6" w:history="1">
        <w:r>
          <w:rPr>
            <w:rFonts w:ascii="仿宋" w:eastAsia="仿宋" w:hAnsi="仿宋" w:cs="仿宋" w:hint="eastAsia"/>
            <w:lang w:eastAsia="zh-CN"/>
          </w:rPr>
          <w:t>序言</w:t>
        </w:r>
        <w:r>
          <w:tab/>
        </w:r>
        <w:r>
          <w:fldChar w:fldCharType="begin"/>
        </w:r>
        <w:r>
          <w:instrText xml:space="preserve"> PAGEREF _Toc12346 \h </w:instrText>
        </w:r>
        <w:r>
          <w:fldChar w:fldCharType="separate"/>
        </w:r>
        <w:r>
          <w:t>3</w:t>
        </w:r>
        <w:r>
          <w:fldChar w:fldCharType="end"/>
        </w:r>
      </w:hyperlink>
    </w:p>
    <w:p>
      <w:pPr>
        <w:pStyle w:val="TOC1"/>
        <w:tabs>
          <w:tab w:val="right" w:leader="dot" w:pos="8306"/>
        </w:tabs>
      </w:pPr>
      <w:hyperlink w:anchor="_Toc7102" w:history="1">
        <w:r>
          <w:rPr>
            <w:rFonts w:ascii="仿宋" w:eastAsia="仿宋" w:hAnsi="仿宋" w:cs="仿宋" w:hint="eastAsia"/>
            <w:lang w:eastAsia="zh-CN"/>
          </w:rPr>
          <w:t>一、知识付费项目可持续发展</w:t>
        </w:r>
        <w:r>
          <w:tab/>
        </w:r>
        <w:r>
          <w:fldChar w:fldCharType="begin"/>
        </w:r>
        <w:r>
          <w:instrText xml:space="preserve"> PAGEREF _Toc7102 \h </w:instrText>
        </w:r>
        <w:r>
          <w:fldChar w:fldCharType="separate"/>
        </w:r>
        <w:r>
          <w:t>3</w:t>
        </w:r>
        <w:r>
          <w:fldChar w:fldCharType="end"/>
        </w:r>
      </w:hyperlink>
    </w:p>
    <w:p>
      <w:pPr>
        <w:pStyle w:val="TOC2"/>
        <w:tabs>
          <w:tab w:val="right" w:leader="dot" w:pos="8306"/>
        </w:tabs>
      </w:pPr>
      <w:hyperlink w:anchor="_Toc7512" w:history="1">
        <w:r>
          <w:rPr>
            <w:rFonts w:ascii="仿宋" w:eastAsia="仿宋" w:hAnsi="仿宋" w:cs="仿宋" w:hint="eastAsia"/>
            <w:lang w:eastAsia="zh-CN"/>
          </w:rPr>
          <w:t>(一)、可持续战略与实践</w:t>
        </w:r>
        <w:r>
          <w:tab/>
        </w:r>
        <w:r>
          <w:fldChar w:fldCharType="begin"/>
        </w:r>
        <w:r>
          <w:instrText xml:space="preserve"> PAGEREF _Toc7512 \h </w:instrText>
        </w:r>
        <w:r>
          <w:fldChar w:fldCharType="separate"/>
        </w:r>
        <w:r>
          <w:t>3</w:t>
        </w:r>
        <w:r>
          <w:fldChar w:fldCharType="end"/>
        </w:r>
      </w:hyperlink>
    </w:p>
    <w:p>
      <w:pPr>
        <w:pStyle w:val="TOC2"/>
        <w:tabs>
          <w:tab w:val="right" w:leader="dot" w:pos="8306"/>
        </w:tabs>
      </w:pPr>
      <w:hyperlink w:anchor="_Toc6919" w:history="1">
        <w:r>
          <w:rPr>
            <w:rFonts w:ascii="仿宋" w:eastAsia="仿宋" w:hAnsi="仿宋" w:cs="仿宋" w:hint="eastAsia"/>
            <w:lang w:eastAsia="zh-CN"/>
          </w:rPr>
          <w:t>(二)、环保与社会责任</w:t>
        </w:r>
        <w:r>
          <w:tab/>
        </w:r>
        <w:r>
          <w:fldChar w:fldCharType="begin"/>
        </w:r>
        <w:r>
          <w:instrText xml:space="preserve"> PAGEREF _Toc6919 \h </w:instrText>
        </w:r>
        <w:r>
          <w:fldChar w:fldCharType="separate"/>
        </w:r>
        <w:r>
          <w:t>4</w:t>
        </w:r>
        <w:r>
          <w:fldChar w:fldCharType="end"/>
        </w:r>
      </w:hyperlink>
    </w:p>
    <w:p>
      <w:pPr>
        <w:pStyle w:val="TOC1"/>
        <w:tabs>
          <w:tab w:val="right" w:leader="dot" w:pos="8306"/>
        </w:tabs>
      </w:pPr>
      <w:hyperlink w:anchor="_Toc28089" w:history="1">
        <w:r>
          <w:rPr>
            <w:rFonts w:ascii="仿宋" w:eastAsia="仿宋" w:hAnsi="仿宋" w:cs="仿宋" w:hint="eastAsia"/>
            <w:lang w:eastAsia="zh-CN"/>
          </w:rPr>
          <w:t>二、市场分析、调研</w:t>
        </w:r>
        <w:r>
          <w:tab/>
        </w:r>
        <w:r>
          <w:fldChar w:fldCharType="begin"/>
        </w:r>
        <w:r>
          <w:instrText xml:space="preserve"> PAGEREF _Toc28089 \h </w:instrText>
        </w:r>
        <w:r>
          <w:fldChar w:fldCharType="separate"/>
        </w:r>
        <w:r>
          <w:t>4</w:t>
        </w:r>
        <w:r>
          <w:fldChar w:fldCharType="end"/>
        </w:r>
      </w:hyperlink>
    </w:p>
    <w:p>
      <w:pPr>
        <w:pStyle w:val="TOC2"/>
        <w:tabs>
          <w:tab w:val="right" w:leader="dot" w:pos="8306"/>
        </w:tabs>
      </w:pPr>
      <w:hyperlink w:anchor="_Toc22741" w:history="1">
        <w:r>
          <w:rPr>
            <w:rFonts w:ascii="仿宋" w:eastAsia="仿宋" w:hAnsi="仿宋" w:cs="仿宋" w:hint="eastAsia"/>
            <w:lang w:eastAsia="zh-CN"/>
          </w:rPr>
          <w:t>(一)、知识付费行业分析</w:t>
        </w:r>
        <w:r>
          <w:tab/>
        </w:r>
        <w:r>
          <w:fldChar w:fldCharType="begin"/>
        </w:r>
        <w:r>
          <w:instrText xml:space="preserve"> PAGEREF _Toc22741 \h </w:instrText>
        </w:r>
        <w:r>
          <w:fldChar w:fldCharType="separate"/>
        </w:r>
        <w:r>
          <w:t>4</w:t>
        </w:r>
        <w:r>
          <w:fldChar w:fldCharType="end"/>
        </w:r>
      </w:hyperlink>
    </w:p>
    <w:p>
      <w:pPr>
        <w:pStyle w:val="TOC2"/>
        <w:tabs>
          <w:tab w:val="right" w:leader="dot" w:pos="8306"/>
        </w:tabs>
      </w:pPr>
      <w:hyperlink w:anchor="_Toc23191" w:history="1">
        <w:r>
          <w:rPr>
            <w:rFonts w:ascii="仿宋" w:eastAsia="仿宋" w:hAnsi="仿宋" w:cs="仿宋" w:hint="eastAsia"/>
            <w:lang w:eastAsia="zh-CN"/>
          </w:rPr>
          <w:t>(二)、知识付费市场分析预测</w:t>
        </w:r>
        <w:r>
          <w:tab/>
        </w:r>
        <w:r>
          <w:fldChar w:fldCharType="begin"/>
        </w:r>
        <w:r>
          <w:instrText xml:space="preserve"> PAGEREF _Toc23191 \h </w:instrText>
        </w:r>
        <w:r>
          <w:fldChar w:fldCharType="separate"/>
        </w:r>
        <w:r>
          <w:t>5</w:t>
        </w:r>
        <w:r>
          <w:fldChar w:fldCharType="end"/>
        </w:r>
      </w:hyperlink>
    </w:p>
    <w:p>
      <w:pPr>
        <w:pStyle w:val="TOC1"/>
        <w:tabs>
          <w:tab w:val="right" w:leader="dot" w:pos="8306"/>
        </w:tabs>
      </w:pPr>
      <w:hyperlink w:anchor="_Toc1536" w:history="1">
        <w:r>
          <w:rPr>
            <w:rFonts w:ascii="仿宋" w:eastAsia="仿宋" w:hAnsi="仿宋" w:cs="仿宋" w:hint="eastAsia"/>
            <w:lang w:eastAsia="zh-CN"/>
          </w:rPr>
          <w:t>三、工艺说明</w:t>
        </w:r>
        <w:r>
          <w:tab/>
        </w:r>
        <w:r>
          <w:fldChar w:fldCharType="begin"/>
        </w:r>
        <w:r>
          <w:instrText xml:space="preserve"> PAGEREF _Toc1536 \h </w:instrText>
        </w:r>
        <w:r>
          <w:fldChar w:fldCharType="separate"/>
        </w:r>
        <w:r>
          <w:t>6</w:t>
        </w:r>
        <w:r>
          <w:fldChar w:fldCharType="end"/>
        </w:r>
      </w:hyperlink>
    </w:p>
    <w:p>
      <w:pPr>
        <w:pStyle w:val="TOC2"/>
        <w:tabs>
          <w:tab w:val="right" w:leader="dot" w:pos="8306"/>
        </w:tabs>
      </w:pPr>
      <w:hyperlink w:anchor="_Toc17384" w:history="1">
        <w:r>
          <w:rPr>
            <w:rFonts w:ascii="仿宋" w:eastAsia="仿宋" w:hAnsi="仿宋" w:cs="仿宋" w:hint="eastAsia"/>
            <w:lang w:eastAsia="zh-CN"/>
          </w:rPr>
          <w:t>(一)、技术管理特点</w:t>
        </w:r>
        <w:r>
          <w:tab/>
        </w:r>
        <w:r>
          <w:fldChar w:fldCharType="begin"/>
        </w:r>
        <w:r>
          <w:instrText xml:space="preserve"> PAGEREF _Toc17384 \h </w:instrText>
        </w:r>
        <w:r>
          <w:fldChar w:fldCharType="separate"/>
        </w:r>
        <w:r>
          <w:t>6</w:t>
        </w:r>
        <w:r>
          <w:fldChar w:fldCharType="end"/>
        </w:r>
      </w:hyperlink>
    </w:p>
    <w:p>
      <w:pPr>
        <w:pStyle w:val="TOC2"/>
        <w:tabs>
          <w:tab w:val="right" w:leader="dot" w:pos="8306"/>
        </w:tabs>
      </w:pPr>
      <w:hyperlink w:anchor="_Toc4917" w:history="1">
        <w:r>
          <w:rPr>
            <w:rFonts w:ascii="仿宋" w:eastAsia="仿宋" w:hAnsi="仿宋" w:cs="仿宋" w:hint="eastAsia"/>
            <w:lang w:eastAsia="zh-CN"/>
          </w:rPr>
          <w:t>(二)、知识付费项目工艺技术设计方案</w:t>
        </w:r>
        <w:r>
          <w:tab/>
        </w:r>
        <w:r>
          <w:fldChar w:fldCharType="begin"/>
        </w:r>
        <w:r>
          <w:instrText xml:space="preserve"> PAGEREF _Toc4917 \h </w:instrText>
        </w:r>
        <w:r>
          <w:fldChar w:fldCharType="separate"/>
        </w:r>
        <w:r>
          <w:t>7</w:t>
        </w:r>
        <w:r>
          <w:fldChar w:fldCharType="end"/>
        </w:r>
      </w:hyperlink>
    </w:p>
    <w:p>
      <w:pPr>
        <w:pStyle w:val="TOC2"/>
        <w:tabs>
          <w:tab w:val="right" w:leader="dot" w:pos="8306"/>
        </w:tabs>
      </w:pPr>
      <w:hyperlink w:anchor="_Toc28144" w:history="1">
        <w:r>
          <w:rPr>
            <w:rFonts w:ascii="仿宋" w:eastAsia="仿宋" w:hAnsi="仿宋" w:cs="仿宋" w:hint="eastAsia"/>
            <w:lang w:eastAsia="zh-CN"/>
          </w:rPr>
          <w:t>(三)、设备选型方案</w:t>
        </w:r>
        <w:r>
          <w:tab/>
        </w:r>
        <w:r>
          <w:fldChar w:fldCharType="begin"/>
        </w:r>
        <w:r>
          <w:instrText xml:space="preserve"> PAGEREF _Toc28144 \h </w:instrText>
        </w:r>
        <w:r>
          <w:fldChar w:fldCharType="separate"/>
        </w:r>
        <w:r>
          <w:t>8</w:t>
        </w:r>
        <w:r>
          <w:fldChar w:fldCharType="end"/>
        </w:r>
      </w:hyperlink>
    </w:p>
    <w:p>
      <w:pPr>
        <w:pStyle w:val="TOC1"/>
        <w:tabs>
          <w:tab w:val="right" w:leader="dot" w:pos="8306"/>
        </w:tabs>
      </w:pPr>
      <w:hyperlink w:anchor="_Toc6348" w:history="1">
        <w:r>
          <w:rPr>
            <w:rFonts w:ascii="仿宋" w:eastAsia="仿宋" w:hAnsi="仿宋" w:cs="仿宋" w:hint="eastAsia"/>
            <w:lang w:eastAsia="zh-CN"/>
          </w:rPr>
          <w:t>四、知识付费项目绩效评估</w:t>
        </w:r>
        <w:r>
          <w:tab/>
        </w:r>
        <w:r>
          <w:fldChar w:fldCharType="begin"/>
        </w:r>
        <w:r>
          <w:instrText xml:space="preserve"> PAGEREF _Toc6348 \h </w:instrText>
        </w:r>
        <w:r>
          <w:fldChar w:fldCharType="separate"/>
        </w:r>
        <w:r>
          <w:t>10</w:t>
        </w:r>
        <w:r>
          <w:fldChar w:fldCharType="end"/>
        </w:r>
      </w:hyperlink>
    </w:p>
    <w:p>
      <w:pPr>
        <w:pStyle w:val="TOC2"/>
        <w:tabs>
          <w:tab w:val="right" w:leader="dot" w:pos="8306"/>
        </w:tabs>
      </w:pPr>
      <w:hyperlink w:anchor="_Toc26684" w:history="1">
        <w:r>
          <w:rPr>
            <w:rFonts w:ascii="仿宋" w:eastAsia="仿宋" w:hAnsi="仿宋" w:cs="仿宋" w:hint="eastAsia"/>
            <w:lang w:eastAsia="zh-CN"/>
          </w:rPr>
          <w:t>(一)、绩效评估指标</w:t>
        </w:r>
        <w:r>
          <w:tab/>
        </w:r>
        <w:r>
          <w:fldChar w:fldCharType="begin"/>
        </w:r>
        <w:r>
          <w:instrText xml:space="preserve"> PAGEREF _Toc26684 \h </w:instrText>
        </w:r>
        <w:r>
          <w:fldChar w:fldCharType="separate"/>
        </w:r>
        <w:r>
          <w:t>10</w:t>
        </w:r>
        <w:r>
          <w:fldChar w:fldCharType="end"/>
        </w:r>
      </w:hyperlink>
    </w:p>
    <w:p>
      <w:pPr>
        <w:pStyle w:val="TOC2"/>
        <w:tabs>
          <w:tab w:val="right" w:leader="dot" w:pos="8306"/>
        </w:tabs>
      </w:pPr>
      <w:hyperlink w:anchor="_Toc17999" w:history="1">
        <w:r>
          <w:rPr>
            <w:rFonts w:ascii="仿宋" w:eastAsia="仿宋" w:hAnsi="仿宋" w:cs="仿宋" w:hint="eastAsia"/>
            <w:lang w:eastAsia="zh-CN"/>
          </w:rPr>
          <w:t>(二)、绩效评估方法</w:t>
        </w:r>
        <w:r>
          <w:tab/>
        </w:r>
        <w:r>
          <w:fldChar w:fldCharType="begin"/>
        </w:r>
        <w:r>
          <w:instrText xml:space="preserve"> PAGEREF _Toc17999 \h </w:instrText>
        </w:r>
        <w:r>
          <w:fldChar w:fldCharType="separate"/>
        </w:r>
        <w:r>
          <w:t>11</w:t>
        </w:r>
        <w:r>
          <w:fldChar w:fldCharType="end"/>
        </w:r>
      </w:hyperlink>
    </w:p>
    <w:p>
      <w:pPr>
        <w:pStyle w:val="TOC2"/>
        <w:tabs>
          <w:tab w:val="right" w:leader="dot" w:pos="8306"/>
        </w:tabs>
      </w:pPr>
      <w:hyperlink w:anchor="_Toc20894" w:history="1">
        <w:r>
          <w:rPr>
            <w:rFonts w:ascii="仿宋" w:eastAsia="仿宋" w:hAnsi="仿宋" w:cs="仿宋" w:hint="eastAsia"/>
            <w:lang w:eastAsia="zh-CN"/>
          </w:rPr>
          <w:t>(三)、绩效评估周期</w:t>
        </w:r>
        <w:r>
          <w:tab/>
        </w:r>
        <w:r>
          <w:fldChar w:fldCharType="begin"/>
        </w:r>
        <w:r>
          <w:instrText xml:space="preserve"> PAGEREF _Toc20894 \h </w:instrText>
        </w:r>
        <w:r>
          <w:fldChar w:fldCharType="separate"/>
        </w:r>
        <w:r>
          <w:t>12</w:t>
        </w:r>
        <w:r>
          <w:fldChar w:fldCharType="end"/>
        </w:r>
      </w:hyperlink>
    </w:p>
    <w:p>
      <w:pPr>
        <w:pStyle w:val="TOC1"/>
        <w:tabs>
          <w:tab w:val="right" w:leader="dot" w:pos="8306"/>
        </w:tabs>
      </w:pPr>
      <w:hyperlink w:anchor="_Toc24332" w:history="1">
        <w:r>
          <w:rPr>
            <w:rFonts w:ascii="仿宋" w:eastAsia="仿宋" w:hAnsi="仿宋" w:cs="仿宋" w:hint="eastAsia"/>
            <w:lang w:eastAsia="zh-CN"/>
          </w:rPr>
          <w:t>五、产品规划分析</w:t>
        </w:r>
        <w:r>
          <w:tab/>
        </w:r>
        <w:r>
          <w:fldChar w:fldCharType="begin"/>
        </w:r>
        <w:r>
          <w:instrText xml:space="preserve"> PAGEREF _Toc24332 \h </w:instrText>
        </w:r>
        <w:r>
          <w:fldChar w:fldCharType="separate"/>
        </w:r>
        <w:r>
          <w:t>13</w:t>
        </w:r>
        <w:r>
          <w:fldChar w:fldCharType="end"/>
        </w:r>
      </w:hyperlink>
    </w:p>
    <w:p>
      <w:pPr>
        <w:pStyle w:val="TOC2"/>
        <w:tabs>
          <w:tab w:val="right" w:leader="dot" w:pos="8306"/>
        </w:tabs>
      </w:pPr>
      <w:hyperlink w:anchor="_Toc2274" w:history="1">
        <w:r>
          <w:rPr>
            <w:rFonts w:ascii="仿宋" w:eastAsia="仿宋" w:hAnsi="仿宋" w:cs="仿宋" w:hint="eastAsia"/>
            <w:lang w:eastAsia="zh-CN"/>
          </w:rPr>
          <w:t>(一)、产品规划</w:t>
        </w:r>
        <w:r>
          <w:tab/>
        </w:r>
        <w:r>
          <w:fldChar w:fldCharType="begin"/>
        </w:r>
        <w:r>
          <w:instrText xml:space="preserve"> PAGEREF _Toc2274 \h </w:instrText>
        </w:r>
        <w:r>
          <w:fldChar w:fldCharType="separate"/>
        </w:r>
        <w:r>
          <w:t>13</w:t>
        </w:r>
        <w:r>
          <w:fldChar w:fldCharType="end"/>
        </w:r>
      </w:hyperlink>
    </w:p>
    <w:p>
      <w:pPr>
        <w:pStyle w:val="TOC2"/>
        <w:tabs>
          <w:tab w:val="right" w:leader="dot" w:pos="8306"/>
        </w:tabs>
      </w:pPr>
      <w:hyperlink w:anchor="_Toc13422" w:history="1">
        <w:r>
          <w:rPr>
            <w:rFonts w:ascii="仿宋" w:eastAsia="仿宋" w:hAnsi="仿宋" w:cs="仿宋" w:hint="eastAsia"/>
            <w:lang w:eastAsia="zh-CN"/>
          </w:rPr>
          <w:t>(二)、建设规模</w:t>
        </w:r>
        <w:r>
          <w:tab/>
        </w:r>
        <w:r>
          <w:fldChar w:fldCharType="begin"/>
        </w:r>
        <w:r>
          <w:instrText xml:space="preserve"> PAGEREF _Toc13422 \h </w:instrText>
        </w:r>
        <w:r>
          <w:fldChar w:fldCharType="separate"/>
        </w:r>
        <w:r>
          <w:t>14</w:t>
        </w:r>
        <w:r>
          <w:fldChar w:fldCharType="end"/>
        </w:r>
      </w:hyperlink>
    </w:p>
    <w:p>
      <w:pPr>
        <w:pStyle w:val="TOC1"/>
        <w:tabs>
          <w:tab w:val="right" w:leader="dot" w:pos="8306"/>
        </w:tabs>
      </w:pPr>
      <w:hyperlink w:anchor="_Toc6228" w:history="1">
        <w:r>
          <w:rPr>
            <w:rFonts w:ascii="仿宋" w:eastAsia="仿宋" w:hAnsi="仿宋" w:cs="仿宋" w:hint="eastAsia"/>
            <w:lang w:eastAsia="zh-CN"/>
          </w:rPr>
          <w:t>六、知识付费项目建设单位说明</w:t>
        </w:r>
        <w:r>
          <w:tab/>
        </w:r>
        <w:r>
          <w:fldChar w:fldCharType="begin"/>
        </w:r>
        <w:r>
          <w:instrText xml:space="preserve"> PAGEREF _Toc6228 \h </w:instrText>
        </w:r>
        <w:r>
          <w:fldChar w:fldCharType="separate"/>
        </w:r>
        <w:r>
          <w:t>15</w:t>
        </w:r>
        <w:r>
          <w:fldChar w:fldCharType="end"/>
        </w:r>
      </w:hyperlink>
    </w:p>
    <w:p>
      <w:pPr>
        <w:pStyle w:val="TOC2"/>
        <w:tabs>
          <w:tab w:val="right" w:leader="dot" w:pos="8306"/>
        </w:tabs>
      </w:pPr>
      <w:hyperlink w:anchor="_Toc21490" w:history="1">
        <w:r>
          <w:rPr>
            <w:rFonts w:ascii="仿宋" w:eastAsia="仿宋" w:hAnsi="仿宋" w:cs="仿宋" w:hint="eastAsia"/>
            <w:lang w:eastAsia="zh-CN"/>
          </w:rPr>
          <w:t>(一)、知识付费项目承办单位基本情况</w:t>
        </w:r>
        <w:r>
          <w:tab/>
        </w:r>
        <w:r>
          <w:fldChar w:fldCharType="begin"/>
        </w:r>
        <w:r>
          <w:instrText xml:space="preserve"> PAGEREF _Toc21490 \h </w:instrText>
        </w:r>
        <w:r>
          <w:fldChar w:fldCharType="separate"/>
        </w:r>
        <w:r>
          <w:t>15</w:t>
        </w:r>
        <w:r>
          <w:fldChar w:fldCharType="end"/>
        </w:r>
      </w:hyperlink>
    </w:p>
    <w:p>
      <w:pPr>
        <w:pStyle w:val="TOC2"/>
        <w:tabs>
          <w:tab w:val="right" w:leader="dot" w:pos="8306"/>
        </w:tabs>
      </w:pPr>
      <w:hyperlink w:anchor="_Toc23122" w:history="1">
        <w:r>
          <w:rPr>
            <w:rFonts w:ascii="仿宋" w:eastAsia="仿宋" w:hAnsi="仿宋" w:cs="仿宋" w:hint="eastAsia"/>
            <w:lang w:eastAsia="zh-CN"/>
          </w:rPr>
          <w:t>(二)、公司经济效益分析</w:t>
        </w:r>
        <w:r>
          <w:tab/>
        </w:r>
        <w:r>
          <w:fldChar w:fldCharType="begin"/>
        </w:r>
        <w:r>
          <w:instrText xml:space="preserve"> PAGEREF _Toc23122 \h </w:instrText>
        </w:r>
        <w:r>
          <w:fldChar w:fldCharType="separate"/>
        </w:r>
        <w:r>
          <w:t>15</w:t>
        </w:r>
        <w:r>
          <w:fldChar w:fldCharType="end"/>
        </w:r>
      </w:hyperlink>
    </w:p>
    <w:p>
      <w:pPr>
        <w:pStyle w:val="TOC1"/>
        <w:tabs>
          <w:tab w:val="right" w:leader="dot" w:pos="8306"/>
        </w:tabs>
      </w:pPr>
      <w:hyperlink w:anchor="_Toc3573" w:history="1">
        <w:r>
          <w:rPr>
            <w:rFonts w:ascii="仿宋" w:eastAsia="仿宋" w:hAnsi="仿宋" w:cs="仿宋" w:hint="eastAsia"/>
            <w:lang w:eastAsia="zh-CN"/>
          </w:rPr>
          <w:t>七、知识付费项目风险管理</w:t>
        </w:r>
        <w:r>
          <w:tab/>
        </w:r>
        <w:r>
          <w:fldChar w:fldCharType="begin"/>
        </w:r>
        <w:r>
          <w:instrText xml:space="preserve"> PAGEREF _Toc3573 \h </w:instrText>
        </w:r>
        <w:r>
          <w:fldChar w:fldCharType="separate"/>
        </w:r>
        <w:r>
          <w:t>16</w:t>
        </w:r>
        <w:r>
          <w:fldChar w:fldCharType="end"/>
        </w:r>
      </w:hyperlink>
    </w:p>
    <w:p>
      <w:pPr>
        <w:pStyle w:val="TOC2"/>
        <w:tabs>
          <w:tab w:val="right" w:leader="dot" w:pos="8306"/>
        </w:tabs>
      </w:pPr>
      <w:hyperlink w:anchor="_Toc1911" w:history="1">
        <w:r>
          <w:rPr>
            <w:rFonts w:ascii="仿宋" w:eastAsia="仿宋" w:hAnsi="仿宋" w:cs="仿宋" w:hint="eastAsia"/>
            <w:lang w:eastAsia="zh-CN"/>
          </w:rPr>
          <w:t>(一)、风险识别与评估</w:t>
        </w:r>
        <w:r>
          <w:tab/>
        </w:r>
        <w:r>
          <w:fldChar w:fldCharType="begin"/>
        </w:r>
        <w:r>
          <w:instrText xml:space="preserve"> PAGEREF _Toc1911 \h </w:instrText>
        </w:r>
        <w:r>
          <w:fldChar w:fldCharType="separate"/>
        </w:r>
        <w:r>
          <w:t>16</w:t>
        </w:r>
        <w:r>
          <w:fldChar w:fldCharType="end"/>
        </w:r>
      </w:hyperlink>
    </w:p>
    <w:p>
      <w:pPr>
        <w:pStyle w:val="TOC2"/>
        <w:tabs>
          <w:tab w:val="right" w:leader="dot" w:pos="8306"/>
        </w:tabs>
      </w:pPr>
      <w:hyperlink w:anchor="_Toc25510" w:history="1">
        <w:r>
          <w:rPr>
            <w:rFonts w:ascii="仿宋" w:eastAsia="仿宋" w:hAnsi="仿宋" w:cs="仿宋" w:hint="eastAsia"/>
            <w:lang w:eastAsia="zh-CN"/>
          </w:rPr>
          <w:t>(二)、风险应对策略</w:t>
        </w:r>
        <w:r>
          <w:tab/>
        </w:r>
        <w:r>
          <w:fldChar w:fldCharType="begin"/>
        </w:r>
        <w:r>
          <w:instrText xml:space="preserve"> PAGEREF _Toc25510 \h </w:instrText>
        </w:r>
        <w:r>
          <w:fldChar w:fldCharType="separate"/>
        </w:r>
        <w:r>
          <w:t>17</w:t>
        </w:r>
        <w:r>
          <w:fldChar w:fldCharType="end"/>
        </w:r>
      </w:hyperlink>
    </w:p>
    <w:p>
      <w:pPr>
        <w:pStyle w:val="TOC2"/>
        <w:tabs>
          <w:tab w:val="right" w:leader="dot" w:pos="8306"/>
        </w:tabs>
      </w:pPr>
      <w:hyperlink w:anchor="_Toc8999" w:history="1">
        <w:r>
          <w:rPr>
            <w:rFonts w:ascii="仿宋" w:eastAsia="仿宋" w:hAnsi="仿宋" w:cs="仿宋" w:hint="eastAsia"/>
            <w:lang w:eastAsia="zh-CN"/>
          </w:rPr>
          <w:t>(三)、风险监控与控制</w:t>
        </w:r>
        <w:r>
          <w:tab/>
        </w:r>
        <w:r>
          <w:fldChar w:fldCharType="begin"/>
        </w:r>
        <w:r>
          <w:instrText xml:space="preserve"> PAGEREF _Toc8999 \h </w:instrText>
        </w:r>
        <w:r>
          <w:fldChar w:fldCharType="separate"/>
        </w:r>
        <w:r>
          <w:t>19</w:t>
        </w:r>
        <w:r>
          <w:fldChar w:fldCharType="end"/>
        </w:r>
      </w:hyperlink>
    </w:p>
    <w:p>
      <w:pPr>
        <w:pStyle w:val="TOC1"/>
        <w:tabs>
          <w:tab w:val="right" w:leader="dot" w:pos="8306"/>
        </w:tabs>
      </w:pPr>
      <w:hyperlink w:anchor="_Toc7655" w:history="1">
        <w:r>
          <w:rPr>
            <w:rFonts w:ascii="仿宋" w:eastAsia="仿宋" w:hAnsi="仿宋" w:cs="仿宋" w:hint="eastAsia"/>
            <w:lang w:eastAsia="zh-CN"/>
          </w:rPr>
          <w:t>八、生产安全保护</w:t>
        </w:r>
        <w:r>
          <w:tab/>
        </w:r>
        <w:r>
          <w:fldChar w:fldCharType="begin"/>
        </w:r>
        <w:r>
          <w:instrText xml:space="preserve"> PAGEREF _Toc7655 \h </w:instrText>
        </w:r>
        <w:r>
          <w:fldChar w:fldCharType="separate"/>
        </w:r>
        <w:r>
          <w:t>20</w:t>
        </w:r>
        <w:r>
          <w:fldChar w:fldCharType="end"/>
        </w:r>
      </w:hyperlink>
    </w:p>
    <w:p>
      <w:pPr>
        <w:pStyle w:val="TOC2"/>
        <w:tabs>
          <w:tab w:val="right" w:leader="dot" w:pos="8306"/>
        </w:tabs>
      </w:pPr>
      <w:hyperlink w:anchor="_Toc8586" w:history="1">
        <w:r>
          <w:rPr>
            <w:rFonts w:ascii="仿宋" w:eastAsia="仿宋" w:hAnsi="仿宋" w:cs="仿宋" w:hint="eastAsia"/>
            <w:lang w:eastAsia="zh-CN"/>
          </w:rPr>
          <w:t>(一)、消防安全</w:t>
        </w:r>
        <w:r>
          <w:tab/>
        </w:r>
        <w:r>
          <w:fldChar w:fldCharType="begin"/>
        </w:r>
        <w:r>
          <w:instrText xml:space="preserve"> PAGEREF _Toc8586 \h </w:instrText>
        </w:r>
        <w:r>
          <w:fldChar w:fldCharType="separate"/>
        </w:r>
        <w:r>
          <w:t>20</w:t>
        </w:r>
        <w:r>
          <w:fldChar w:fldCharType="end"/>
        </w:r>
      </w:hyperlink>
    </w:p>
    <w:p>
      <w:pPr>
        <w:pStyle w:val="TOC2"/>
        <w:tabs>
          <w:tab w:val="right" w:leader="dot" w:pos="8306"/>
        </w:tabs>
      </w:pPr>
      <w:hyperlink w:anchor="_Toc7144" w:history="1">
        <w:r>
          <w:rPr>
            <w:rFonts w:ascii="仿宋" w:eastAsia="仿宋" w:hAnsi="仿宋" w:cs="仿宋" w:hint="eastAsia"/>
            <w:lang w:eastAsia="zh-CN"/>
          </w:rPr>
          <w:t>(二)、防火防爆总图布置措施</w:t>
        </w:r>
        <w:r>
          <w:tab/>
        </w:r>
        <w:r>
          <w:fldChar w:fldCharType="begin"/>
        </w:r>
        <w:r>
          <w:instrText xml:space="preserve"> PAGEREF _Toc7144 \h </w:instrText>
        </w:r>
        <w:r>
          <w:fldChar w:fldCharType="separate"/>
        </w:r>
        <w:r>
          <w:t>22</w:t>
        </w:r>
        <w:r>
          <w:fldChar w:fldCharType="end"/>
        </w:r>
      </w:hyperlink>
    </w:p>
    <w:p>
      <w:pPr>
        <w:pStyle w:val="TOC2"/>
        <w:tabs>
          <w:tab w:val="right" w:leader="dot" w:pos="8306"/>
        </w:tabs>
      </w:pPr>
      <w:hyperlink w:anchor="_Toc14894" w:history="1">
        <w:r>
          <w:rPr>
            <w:rFonts w:ascii="仿宋" w:eastAsia="仿宋" w:hAnsi="仿宋" w:cs="仿宋" w:hint="eastAsia"/>
            <w:lang w:eastAsia="zh-CN"/>
          </w:rPr>
          <w:t>(三)、自然灾害防范措施</w:t>
        </w:r>
        <w:r>
          <w:tab/>
        </w:r>
        <w:r>
          <w:fldChar w:fldCharType="begin"/>
        </w:r>
        <w:r>
          <w:instrText xml:space="preserve"> PAGEREF _Toc14894 \h </w:instrText>
        </w:r>
        <w:r>
          <w:fldChar w:fldCharType="separate"/>
        </w:r>
        <w:r>
          <w:t>22</w:t>
        </w:r>
        <w:r>
          <w:fldChar w:fldCharType="end"/>
        </w:r>
      </w:hyperlink>
    </w:p>
    <w:p>
      <w:pPr>
        <w:pStyle w:val="TOC2"/>
        <w:tabs>
          <w:tab w:val="right" w:leader="dot" w:pos="8306"/>
        </w:tabs>
      </w:pPr>
      <w:hyperlink w:anchor="_Toc8109" w:history="1">
        <w:r>
          <w:rPr>
            <w:rFonts w:ascii="仿宋" w:eastAsia="仿宋" w:hAnsi="仿宋" w:cs="仿宋" w:hint="eastAsia"/>
            <w:lang w:eastAsia="zh-CN"/>
          </w:rPr>
          <w:t>(四)、安全色及安全标志使用要求</w:t>
        </w:r>
        <w:r>
          <w:tab/>
        </w:r>
        <w:r>
          <w:fldChar w:fldCharType="begin"/>
        </w:r>
        <w:r>
          <w:instrText xml:space="preserve"> PAGEREF _Toc8109 \h </w:instrText>
        </w:r>
        <w:r>
          <w:fldChar w:fldCharType="separate"/>
        </w:r>
        <w:r>
          <w:t>23</w:t>
        </w:r>
        <w:r>
          <w:fldChar w:fldCharType="end"/>
        </w:r>
      </w:hyperlink>
    </w:p>
    <w:p>
      <w:pPr>
        <w:pStyle w:val="TOC2"/>
        <w:tabs>
          <w:tab w:val="right" w:leader="dot" w:pos="8306"/>
        </w:tabs>
      </w:pPr>
      <w:hyperlink w:anchor="_Toc13546" w:history="1">
        <w:r>
          <w:rPr>
            <w:rFonts w:ascii="仿宋" w:eastAsia="仿宋" w:hAnsi="仿宋" w:cs="仿宋" w:hint="eastAsia"/>
            <w:lang w:eastAsia="zh-CN"/>
          </w:rPr>
          <w:t>(五)、防尘防毒措施</w:t>
        </w:r>
        <w:r>
          <w:tab/>
        </w:r>
        <w:r>
          <w:fldChar w:fldCharType="begin"/>
        </w:r>
        <w:r>
          <w:instrText xml:space="preserve"> PAGEREF _Toc13546 \h </w:instrText>
        </w:r>
        <w:r>
          <w:fldChar w:fldCharType="separate"/>
        </w:r>
        <w:r>
          <w:t>24</w:t>
        </w:r>
        <w:r>
          <w:fldChar w:fldCharType="end"/>
        </w:r>
      </w:hyperlink>
    </w:p>
    <w:p>
      <w:pPr>
        <w:pStyle w:val="TOC2"/>
        <w:tabs>
          <w:tab w:val="right" w:leader="dot" w:pos="8306"/>
        </w:tabs>
      </w:pPr>
      <w:hyperlink w:anchor="_Toc20470" w:history="1">
        <w:r>
          <w:rPr>
            <w:rFonts w:ascii="仿宋" w:eastAsia="仿宋" w:hAnsi="仿宋" w:cs="仿宋" w:hint="eastAsia"/>
            <w:lang w:eastAsia="zh-CN"/>
          </w:rPr>
          <w:t>(六)、防静电、触电防护及防雷措施</w:t>
        </w:r>
        <w:r>
          <w:tab/>
        </w:r>
        <w:r>
          <w:fldChar w:fldCharType="begin"/>
        </w:r>
        <w:r>
          <w:instrText xml:space="preserve"> PAGEREF _Toc20470 \h </w:instrText>
        </w:r>
        <w:r>
          <w:fldChar w:fldCharType="separate"/>
        </w:r>
        <w:r>
          <w:t>25</w:t>
        </w:r>
        <w:r>
          <w:fldChar w:fldCharType="end"/>
        </w:r>
      </w:hyperlink>
    </w:p>
    <w:p>
      <w:pPr>
        <w:pStyle w:val="TOC2"/>
        <w:tabs>
          <w:tab w:val="right" w:leader="dot" w:pos="8306"/>
        </w:tabs>
      </w:pPr>
      <w:hyperlink w:anchor="_Toc10941" w:history="1">
        <w:r>
          <w:rPr>
            <w:rFonts w:ascii="仿宋" w:eastAsia="仿宋" w:hAnsi="仿宋" w:cs="仿宋" w:hint="eastAsia"/>
            <w:lang w:eastAsia="zh-CN"/>
          </w:rPr>
          <w:t>(七)、机械设备安全保障措施</w:t>
        </w:r>
        <w:r>
          <w:tab/>
        </w:r>
        <w:r>
          <w:fldChar w:fldCharType="begin"/>
        </w:r>
        <w:r>
          <w:instrText xml:space="preserve"> PAGEREF _Toc10941 \h </w:instrText>
        </w:r>
        <w:r>
          <w:fldChar w:fldCharType="separate"/>
        </w:r>
        <w:r>
          <w:t>27</w:t>
        </w:r>
        <w:r>
          <w:fldChar w:fldCharType="end"/>
        </w:r>
      </w:hyperlink>
    </w:p>
    <w:p>
      <w:pPr>
        <w:pStyle w:val="TOC1"/>
        <w:tabs>
          <w:tab w:val="right" w:leader="dot" w:pos="8306"/>
        </w:tabs>
      </w:pPr>
      <w:hyperlink w:anchor="_Toc8724" w:history="1">
        <w:r>
          <w:rPr>
            <w:rFonts w:ascii="仿宋" w:eastAsia="仿宋" w:hAnsi="仿宋" w:cs="仿宋" w:hint="eastAsia"/>
            <w:lang w:eastAsia="zh-CN"/>
          </w:rPr>
          <w:t>九、知识付费项目环境影响分析</w:t>
        </w:r>
        <w:r>
          <w:tab/>
        </w:r>
        <w:r>
          <w:fldChar w:fldCharType="begin"/>
        </w:r>
        <w:r>
          <w:instrText xml:space="preserve"> PAGEREF _Toc8724 \h </w:instrText>
        </w:r>
        <w:r>
          <w:fldChar w:fldCharType="separate"/>
        </w:r>
        <w:r>
          <w:t>28</w:t>
        </w:r>
        <w:r>
          <w:fldChar w:fldCharType="end"/>
        </w:r>
      </w:hyperlink>
    </w:p>
    <w:p>
      <w:pPr>
        <w:pStyle w:val="TOC2"/>
        <w:tabs>
          <w:tab w:val="right" w:leader="dot" w:pos="8306"/>
        </w:tabs>
      </w:pPr>
      <w:hyperlink w:anchor="_Toc17083" w:history="1">
        <w:r>
          <w:rPr>
            <w:rFonts w:ascii="仿宋" w:eastAsia="仿宋" w:hAnsi="仿宋" w:cs="仿宋" w:hint="eastAsia"/>
            <w:lang w:eastAsia="zh-CN"/>
          </w:rPr>
          <w:t>(一)、建设区域环境质量现状</w:t>
        </w:r>
        <w:r>
          <w:tab/>
        </w:r>
        <w:r>
          <w:fldChar w:fldCharType="begin"/>
        </w:r>
        <w:r>
          <w:instrText xml:space="preserve"> PAGEREF _Toc17083 \h </w:instrText>
        </w:r>
        <w:r>
          <w:fldChar w:fldCharType="separate"/>
        </w:r>
        <w:r>
          <w:t>28</w:t>
        </w:r>
        <w:r>
          <w:fldChar w:fldCharType="end"/>
        </w:r>
      </w:hyperlink>
    </w:p>
    <w:p>
      <w:pPr>
        <w:pStyle w:val="TOC2"/>
        <w:tabs>
          <w:tab w:val="right" w:leader="dot" w:pos="8306"/>
        </w:tabs>
      </w:pPr>
      <w:hyperlink w:anchor="_Toc13232" w:history="1">
        <w:r>
          <w:rPr>
            <w:rFonts w:ascii="仿宋" w:eastAsia="仿宋" w:hAnsi="仿宋" w:cs="仿宋" w:hint="eastAsia"/>
            <w:lang w:eastAsia="zh-CN"/>
          </w:rPr>
          <w:t>(二)、建设期环境保护</w:t>
        </w:r>
        <w:r>
          <w:tab/>
        </w:r>
        <w:r>
          <w:fldChar w:fldCharType="begin"/>
        </w:r>
        <w:r>
          <w:instrText xml:space="preserve"> PAGEREF _Toc13232 \h </w:instrText>
        </w:r>
        <w:r>
          <w:fldChar w:fldCharType="separate"/>
        </w:r>
        <w:r>
          <w:t>29</w:t>
        </w:r>
        <w:r>
          <w:fldChar w:fldCharType="end"/>
        </w:r>
      </w:hyperlink>
    </w:p>
    <w:p>
      <w:pPr>
        <w:pStyle w:val="TOC2"/>
        <w:tabs>
          <w:tab w:val="right" w:leader="dot" w:pos="8306"/>
        </w:tabs>
      </w:pPr>
      <w:hyperlink w:anchor="_Toc29510" w:history="1">
        <w:r>
          <w:rPr>
            <w:rFonts w:ascii="仿宋" w:eastAsia="仿宋" w:hAnsi="仿宋" w:cs="仿宋" w:hint="eastAsia"/>
            <w:lang w:eastAsia="zh-CN"/>
          </w:rPr>
          <w:t>(三)、运营期环境保护</w:t>
        </w:r>
        <w:r>
          <w:tab/>
        </w:r>
        <w:r>
          <w:fldChar w:fldCharType="begin"/>
        </w:r>
        <w:r>
          <w:instrText xml:space="preserve"> PAGEREF _Toc29510 \h </w:instrText>
        </w:r>
        <w:r>
          <w:fldChar w:fldCharType="separate"/>
        </w:r>
        <w:r>
          <w:t>31</w:t>
        </w:r>
        <w:r>
          <w:fldChar w:fldCharType="end"/>
        </w:r>
      </w:hyperlink>
    </w:p>
    <w:p>
      <w:pPr>
        <w:pStyle w:val="TOC2"/>
        <w:tabs>
          <w:tab w:val="right" w:leader="dot" w:pos="8306"/>
        </w:tabs>
      </w:pPr>
      <w:hyperlink w:anchor="_Toc7062" w:history="1">
        <w:r>
          <w:rPr>
            <w:rFonts w:ascii="仿宋" w:eastAsia="仿宋" w:hAnsi="仿宋" w:cs="仿宋" w:hint="eastAsia"/>
            <w:lang w:eastAsia="zh-CN"/>
          </w:rPr>
          <w:t>(四)、知识付费项目建设对区域经济的影响</w:t>
        </w:r>
        <w:r>
          <w:tab/>
        </w:r>
        <w:r>
          <w:fldChar w:fldCharType="begin"/>
        </w:r>
        <w:r>
          <w:instrText xml:space="preserve"> PAGEREF _Toc7062 \h </w:instrText>
        </w:r>
        <w:r>
          <w:fldChar w:fldCharType="separate"/>
        </w:r>
        <w:r>
          <w:t>32</w:t>
        </w:r>
        <w:r>
          <w:fldChar w:fldCharType="end"/>
        </w:r>
      </w:hyperlink>
    </w:p>
    <w:p>
      <w:pPr>
        <w:pStyle w:val="TOC2"/>
        <w:tabs>
          <w:tab w:val="right" w:leader="dot" w:pos="8306"/>
        </w:tabs>
      </w:pPr>
      <w:hyperlink w:anchor="_Toc21026" w:history="1">
        <w:r>
          <w:rPr>
            <w:rFonts w:ascii="仿宋" w:eastAsia="仿宋" w:hAnsi="仿宋" w:cs="仿宋" w:hint="eastAsia"/>
            <w:lang w:eastAsia="zh-CN"/>
          </w:rPr>
          <w:t>(五)、废弃物处理</w:t>
        </w:r>
        <w:r>
          <w:tab/>
        </w:r>
        <w:r>
          <w:fldChar w:fldCharType="begin"/>
        </w:r>
        <w:r>
          <w:instrText xml:space="preserve"> PAGEREF _Toc21026 \h </w:instrText>
        </w:r>
        <w:r>
          <w:fldChar w:fldCharType="separate"/>
        </w:r>
        <w:r>
          <w:t>34</w:t>
        </w:r>
        <w:r>
          <w:fldChar w:fldCharType="end"/>
        </w:r>
      </w:hyperlink>
    </w:p>
    <w:p>
      <w:pPr>
        <w:pStyle w:val="TOC2"/>
        <w:tabs>
          <w:tab w:val="right" w:leader="dot" w:pos="8306"/>
        </w:tabs>
      </w:pPr>
      <w:hyperlink w:anchor="_Toc12794" w:history="1">
        <w:r>
          <w:rPr>
            <w:rFonts w:ascii="仿宋" w:eastAsia="仿宋" w:hAnsi="仿宋" w:cs="仿宋" w:hint="eastAsia"/>
            <w:lang w:eastAsia="zh-CN"/>
          </w:rPr>
          <w:t>(六)、特殊环境影响分析</w:t>
        </w:r>
        <w:r>
          <w:tab/>
        </w:r>
        <w:r>
          <w:fldChar w:fldCharType="begin"/>
        </w:r>
        <w:r>
          <w:instrText xml:space="preserve"> PAGEREF _Toc12794 \h </w:instrText>
        </w:r>
        <w:r>
          <w:fldChar w:fldCharType="separate"/>
        </w:r>
        <w:r>
          <w:t>35</w:t>
        </w:r>
        <w:r>
          <w:fldChar w:fldCharType="end"/>
        </w:r>
      </w:hyperlink>
    </w:p>
    <w:p>
      <w:pPr>
        <w:pStyle w:val="TOC2"/>
        <w:tabs>
          <w:tab w:val="right" w:leader="dot" w:pos="8306"/>
        </w:tabs>
      </w:pPr>
      <w:hyperlink w:anchor="_Toc4651" w:history="1">
        <w:r>
          <w:rPr>
            <w:rFonts w:ascii="仿宋" w:eastAsia="仿宋" w:hAnsi="仿宋" w:cs="仿宋" w:hint="eastAsia"/>
            <w:lang w:eastAsia="zh-CN"/>
          </w:rPr>
          <w:t>(七)、清洁生产</w:t>
        </w:r>
        <w:r>
          <w:tab/>
        </w:r>
        <w:r>
          <w:fldChar w:fldCharType="begin"/>
        </w:r>
        <w:r>
          <w:instrText xml:space="preserve"> PAGEREF _Toc4651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2" w:history="1">
        <w:r>
          <w:rPr>
            <w:rFonts w:ascii="仿宋" w:eastAsia="仿宋" w:hAnsi="仿宋" w:cs="仿宋" w:hint="eastAsia"/>
            <w:lang w:eastAsia="zh-CN"/>
          </w:rPr>
          <w:t>(八)、环境保护综合评价</w:t>
        </w:r>
        <w:r>
          <w:tab/>
        </w:r>
        <w:r>
          <w:fldChar w:fldCharType="begin"/>
        </w:r>
        <w:r>
          <w:instrText xml:space="preserve"> PAGEREF _Toc5082 \h </w:instrText>
        </w:r>
        <w:r>
          <w:fldChar w:fldCharType="separate"/>
        </w:r>
        <w:r>
          <w:t>37</w:t>
        </w:r>
        <w:r>
          <w:fldChar w:fldCharType="end"/>
        </w:r>
      </w:hyperlink>
    </w:p>
    <w:p>
      <w:pPr>
        <w:pStyle w:val="TOC1"/>
        <w:tabs>
          <w:tab w:val="right" w:leader="dot" w:pos="8306"/>
        </w:tabs>
      </w:pPr>
      <w:hyperlink w:anchor="_Toc948" w:history="1">
        <w:r>
          <w:rPr>
            <w:rFonts w:ascii="仿宋" w:eastAsia="仿宋" w:hAnsi="仿宋" w:cs="仿宋" w:hint="eastAsia"/>
            <w:lang w:eastAsia="zh-CN"/>
          </w:rPr>
          <w:t>十、知识付费项目财务管理</w:t>
        </w:r>
        <w:r>
          <w:tab/>
        </w:r>
        <w:r>
          <w:fldChar w:fldCharType="begin"/>
        </w:r>
        <w:r>
          <w:instrText xml:space="preserve"> PAGEREF _Toc948 \h </w:instrText>
        </w:r>
        <w:r>
          <w:fldChar w:fldCharType="separate"/>
        </w:r>
        <w:r>
          <w:t>39</w:t>
        </w:r>
        <w:r>
          <w:fldChar w:fldCharType="end"/>
        </w:r>
      </w:hyperlink>
    </w:p>
    <w:p>
      <w:pPr>
        <w:pStyle w:val="TOC2"/>
        <w:tabs>
          <w:tab w:val="right" w:leader="dot" w:pos="8306"/>
        </w:tabs>
      </w:pPr>
      <w:hyperlink w:anchor="_Toc610" w:history="1">
        <w:r>
          <w:rPr>
            <w:rFonts w:ascii="仿宋" w:eastAsia="仿宋" w:hAnsi="仿宋" w:cs="仿宋" w:hint="eastAsia"/>
            <w:lang w:eastAsia="zh-CN"/>
          </w:rPr>
          <w:t>(一)、资金需求大</w:t>
        </w:r>
        <w:r>
          <w:tab/>
        </w:r>
        <w:r>
          <w:fldChar w:fldCharType="begin"/>
        </w:r>
        <w:r>
          <w:instrText xml:space="preserve"> PAGEREF _Toc610 \h </w:instrText>
        </w:r>
        <w:r>
          <w:fldChar w:fldCharType="separate"/>
        </w:r>
        <w:r>
          <w:t>39</w:t>
        </w:r>
        <w:r>
          <w:fldChar w:fldCharType="end"/>
        </w:r>
      </w:hyperlink>
    </w:p>
    <w:p>
      <w:pPr>
        <w:pStyle w:val="TOC2"/>
        <w:tabs>
          <w:tab w:val="right" w:leader="dot" w:pos="8306"/>
        </w:tabs>
      </w:pPr>
      <w:hyperlink w:anchor="_Toc21716" w:history="1">
        <w:r>
          <w:rPr>
            <w:rFonts w:ascii="仿宋" w:eastAsia="仿宋" w:hAnsi="仿宋" w:cs="仿宋" w:hint="eastAsia"/>
            <w:lang w:eastAsia="zh-CN"/>
          </w:rPr>
          <w:t>(二)、研发周期长</w:t>
        </w:r>
        <w:r>
          <w:tab/>
        </w:r>
        <w:r>
          <w:fldChar w:fldCharType="begin"/>
        </w:r>
        <w:r>
          <w:instrText xml:space="preserve"> PAGEREF _Toc21716 \h </w:instrText>
        </w:r>
        <w:r>
          <w:fldChar w:fldCharType="separate"/>
        </w:r>
        <w:r>
          <w:t>40</w:t>
        </w:r>
        <w:r>
          <w:fldChar w:fldCharType="end"/>
        </w:r>
      </w:hyperlink>
    </w:p>
    <w:p>
      <w:pPr>
        <w:pStyle w:val="TOC2"/>
        <w:tabs>
          <w:tab w:val="right" w:leader="dot" w:pos="8306"/>
        </w:tabs>
      </w:pPr>
      <w:hyperlink w:anchor="_Toc1662" w:history="1">
        <w:r>
          <w:rPr>
            <w:rFonts w:ascii="仿宋" w:eastAsia="仿宋" w:hAnsi="仿宋" w:cs="仿宋" w:hint="eastAsia"/>
            <w:lang w:eastAsia="zh-CN"/>
          </w:rPr>
          <w:t>(三)、市场风险大</w:t>
        </w:r>
        <w:r>
          <w:tab/>
        </w:r>
        <w:r>
          <w:fldChar w:fldCharType="begin"/>
        </w:r>
        <w:r>
          <w:instrText xml:space="preserve"> PAGEREF _Toc1662 \h </w:instrText>
        </w:r>
        <w:r>
          <w:fldChar w:fldCharType="separate"/>
        </w:r>
        <w:r>
          <w:t>41</w:t>
        </w:r>
        <w:r>
          <w:fldChar w:fldCharType="end"/>
        </w:r>
      </w:hyperlink>
    </w:p>
    <w:p>
      <w:pPr>
        <w:pStyle w:val="TOC2"/>
        <w:tabs>
          <w:tab w:val="right" w:leader="dot" w:pos="8306"/>
        </w:tabs>
      </w:pPr>
      <w:hyperlink w:anchor="_Toc31023" w:history="1">
        <w:r>
          <w:rPr>
            <w:rFonts w:ascii="仿宋" w:eastAsia="仿宋" w:hAnsi="仿宋" w:cs="仿宋" w:hint="eastAsia"/>
            <w:lang w:eastAsia="zh-CN"/>
          </w:rPr>
          <w:t>(四)、利润率高</w:t>
        </w:r>
        <w:r>
          <w:tab/>
        </w:r>
        <w:r>
          <w:fldChar w:fldCharType="begin"/>
        </w:r>
        <w:r>
          <w:instrText xml:space="preserve"> PAGEREF _Toc31023 \h </w:instrText>
        </w:r>
        <w:r>
          <w:fldChar w:fldCharType="separate"/>
        </w:r>
        <w:r>
          <w:t>44</w:t>
        </w:r>
        <w:r>
          <w:fldChar w:fldCharType="end"/>
        </w:r>
      </w:hyperlink>
    </w:p>
    <w:p>
      <w:pPr>
        <w:pStyle w:val="TOC1"/>
        <w:tabs>
          <w:tab w:val="right" w:leader="dot" w:pos="8306"/>
        </w:tabs>
      </w:pPr>
      <w:hyperlink w:anchor="_Toc16899" w:history="1">
        <w:r>
          <w:rPr>
            <w:rFonts w:ascii="仿宋" w:eastAsia="仿宋" w:hAnsi="仿宋" w:cs="仿宋" w:hint="eastAsia"/>
            <w:lang w:eastAsia="zh-CN"/>
          </w:rPr>
          <w:t>十一、知识付费项目创新与研发</w:t>
        </w:r>
        <w:r>
          <w:tab/>
        </w:r>
        <w:r>
          <w:fldChar w:fldCharType="begin"/>
        </w:r>
        <w:r>
          <w:instrText xml:space="preserve"> PAGEREF _Toc16899 \h </w:instrText>
        </w:r>
        <w:r>
          <w:fldChar w:fldCharType="separate"/>
        </w:r>
        <w:r>
          <w:t>46</w:t>
        </w:r>
        <w:r>
          <w:fldChar w:fldCharType="end"/>
        </w:r>
      </w:hyperlink>
    </w:p>
    <w:p>
      <w:pPr>
        <w:pStyle w:val="TOC2"/>
        <w:tabs>
          <w:tab w:val="right" w:leader="dot" w:pos="8306"/>
        </w:tabs>
      </w:pPr>
      <w:hyperlink w:anchor="_Toc7424" w:history="1">
        <w:r>
          <w:rPr>
            <w:rFonts w:ascii="仿宋" w:eastAsia="仿宋" w:hAnsi="仿宋" w:cs="仿宋" w:hint="eastAsia"/>
            <w:lang w:eastAsia="zh-CN"/>
          </w:rPr>
          <w:t>(一)、创新策略与方向</w:t>
        </w:r>
        <w:r>
          <w:tab/>
        </w:r>
        <w:r>
          <w:fldChar w:fldCharType="begin"/>
        </w:r>
        <w:r>
          <w:instrText xml:space="preserve"> PAGEREF _Toc7424 \h </w:instrText>
        </w:r>
        <w:r>
          <w:fldChar w:fldCharType="separate"/>
        </w:r>
        <w:r>
          <w:t>46</w:t>
        </w:r>
        <w:r>
          <w:fldChar w:fldCharType="end"/>
        </w:r>
      </w:hyperlink>
    </w:p>
    <w:p>
      <w:pPr>
        <w:pStyle w:val="TOC2"/>
        <w:tabs>
          <w:tab w:val="right" w:leader="dot" w:pos="8306"/>
        </w:tabs>
      </w:pPr>
      <w:hyperlink w:anchor="_Toc25363" w:history="1">
        <w:r>
          <w:rPr>
            <w:rFonts w:ascii="仿宋" w:eastAsia="仿宋" w:hAnsi="仿宋" w:cs="仿宋" w:hint="eastAsia"/>
            <w:lang w:eastAsia="zh-CN"/>
          </w:rPr>
          <w:t>(二)、研发规划与投入</w:t>
        </w:r>
        <w:r>
          <w:tab/>
        </w:r>
        <w:r>
          <w:fldChar w:fldCharType="begin"/>
        </w:r>
        <w:r>
          <w:instrText xml:space="preserve"> PAGEREF _Toc25363 \h </w:instrText>
        </w:r>
        <w:r>
          <w:fldChar w:fldCharType="separate"/>
        </w:r>
        <w:r>
          <w:t>47</w:t>
        </w:r>
        <w:r>
          <w:fldChar w:fldCharType="end"/>
        </w:r>
      </w:hyperlink>
    </w:p>
    <w:p>
      <w:pPr>
        <w:pStyle w:val="TOC1"/>
        <w:tabs>
          <w:tab w:val="right" w:leader="dot" w:pos="8306"/>
        </w:tabs>
      </w:pPr>
      <w:hyperlink w:anchor="_Toc25960" w:history="1">
        <w:r>
          <w:rPr>
            <w:rFonts w:ascii="仿宋" w:eastAsia="仿宋" w:hAnsi="仿宋" w:cs="仿宋" w:hint="eastAsia"/>
            <w:lang w:eastAsia="zh-CN"/>
          </w:rPr>
          <w:t>十二、知识付费项目经营效益</w:t>
        </w:r>
        <w:r>
          <w:tab/>
        </w:r>
        <w:r>
          <w:fldChar w:fldCharType="begin"/>
        </w:r>
        <w:r>
          <w:instrText xml:space="preserve"> PAGEREF _Toc25960 \h </w:instrText>
        </w:r>
        <w:r>
          <w:fldChar w:fldCharType="separate"/>
        </w:r>
        <w:r>
          <w:t>49</w:t>
        </w:r>
        <w:r>
          <w:fldChar w:fldCharType="end"/>
        </w:r>
      </w:hyperlink>
    </w:p>
    <w:p>
      <w:pPr>
        <w:pStyle w:val="TOC2"/>
        <w:tabs>
          <w:tab w:val="right" w:leader="dot" w:pos="8306"/>
        </w:tabs>
      </w:pPr>
      <w:hyperlink w:anchor="_Toc5032" w:history="1">
        <w:r>
          <w:rPr>
            <w:rFonts w:ascii="仿宋" w:eastAsia="仿宋" w:hAnsi="仿宋" w:cs="仿宋" w:hint="eastAsia"/>
            <w:lang w:eastAsia="zh-CN"/>
          </w:rPr>
          <w:t>(一)、经济评价财务测算</w:t>
        </w:r>
        <w:r>
          <w:tab/>
        </w:r>
        <w:r>
          <w:fldChar w:fldCharType="begin"/>
        </w:r>
        <w:r>
          <w:instrText xml:space="preserve"> PAGEREF _Toc5032 \h </w:instrText>
        </w:r>
        <w:r>
          <w:fldChar w:fldCharType="separate"/>
        </w:r>
        <w:r>
          <w:t>49</w:t>
        </w:r>
        <w:r>
          <w:fldChar w:fldCharType="end"/>
        </w:r>
      </w:hyperlink>
    </w:p>
    <w:p>
      <w:pPr>
        <w:pStyle w:val="TOC2"/>
        <w:tabs>
          <w:tab w:val="right" w:leader="dot" w:pos="8306"/>
        </w:tabs>
      </w:pPr>
      <w:hyperlink w:anchor="_Toc4184" w:history="1">
        <w:r>
          <w:rPr>
            <w:rFonts w:ascii="仿宋" w:eastAsia="仿宋" w:hAnsi="仿宋" w:cs="仿宋" w:hint="eastAsia"/>
            <w:lang w:eastAsia="zh-CN"/>
          </w:rPr>
          <w:t>(二)、知识付费项目盈利能力分析</w:t>
        </w:r>
        <w:r>
          <w:tab/>
        </w:r>
        <w:r>
          <w:fldChar w:fldCharType="begin"/>
        </w:r>
        <w:r>
          <w:instrText xml:space="preserve"> PAGEREF _Toc4184 \h </w:instrText>
        </w:r>
        <w:r>
          <w:fldChar w:fldCharType="separate"/>
        </w:r>
        <w:r>
          <w:t>50</w:t>
        </w:r>
        <w:r>
          <w:fldChar w:fldCharType="end"/>
        </w:r>
      </w:hyperlink>
    </w:p>
    <w:p>
      <w:pPr>
        <w:pStyle w:val="TOC1"/>
        <w:tabs>
          <w:tab w:val="right" w:leader="dot" w:pos="8306"/>
        </w:tabs>
      </w:pPr>
      <w:hyperlink w:anchor="_Toc20073" w:history="1">
        <w:r>
          <w:rPr>
            <w:rFonts w:ascii="仿宋" w:eastAsia="仿宋" w:hAnsi="仿宋" w:cs="仿宋" w:hint="eastAsia"/>
            <w:lang w:eastAsia="zh-CN"/>
          </w:rPr>
          <w:t>十三、知识付费项目实施时间节点</w:t>
        </w:r>
        <w:r>
          <w:tab/>
        </w:r>
        <w:r>
          <w:fldChar w:fldCharType="begin"/>
        </w:r>
        <w:r>
          <w:instrText xml:space="preserve"> PAGEREF _Toc20073 \h </w:instrText>
        </w:r>
        <w:r>
          <w:fldChar w:fldCharType="separate"/>
        </w:r>
        <w:r>
          <w:t>51</w:t>
        </w:r>
        <w:r>
          <w:fldChar w:fldCharType="end"/>
        </w:r>
      </w:hyperlink>
    </w:p>
    <w:p>
      <w:pPr>
        <w:pStyle w:val="TOC2"/>
        <w:tabs>
          <w:tab w:val="right" w:leader="dot" w:pos="8306"/>
        </w:tabs>
      </w:pPr>
      <w:hyperlink w:anchor="_Toc22661" w:history="1">
        <w:r>
          <w:rPr>
            <w:rFonts w:ascii="仿宋" w:eastAsia="仿宋" w:hAnsi="仿宋" w:cs="仿宋" w:hint="eastAsia"/>
            <w:lang w:eastAsia="zh-CN"/>
          </w:rPr>
          <w:t>(一)、知识付费项目启动阶段时间节点</w:t>
        </w:r>
        <w:r>
          <w:tab/>
        </w:r>
        <w:r>
          <w:fldChar w:fldCharType="begin"/>
        </w:r>
        <w:r>
          <w:instrText xml:space="preserve"> PAGEREF _Toc22661 \h </w:instrText>
        </w:r>
        <w:r>
          <w:fldChar w:fldCharType="separate"/>
        </w:r>
        <w:r>
          <w:t>51</w:t>
        </w:r>
        <w:r>
          <w:fldChar w:fldCharType="end"/>
        </w:r>
      </w:hyperlink>
    </w:p>
    <w:p>
      <w:pPr>
        <w:pStyle w:val="TOC2"/>
        <w:tabs>
          <w:tab w:val="right" w:leader="dot" w:pos="8306"/>
        </w:tabs>
      </w:pPr>
      <w:hyperlink w:anchor="_Toc2869" w:history="1">
        <w:r>
          <w:rPr>
            <w:rFonts w:ascii="仿宋" w:eastAsia="仿宋" w:hAnsi="仿宋" w:cs="仿宋" w:hint="eastAsia"/>
            <w:lang w:eastAsia="zh-CN"/>
          </w:rPr>
          <w:t>(二)、知识付费项目执行阶段时间节点</w:t>
        </w:r>
        <w:r>
          <w:tab/>
        </w:r>
        <w:r>
          <w:fldChar w:fldCharType="begin"/>
        </w:r>
        <w:r>
          <w:instrText xml:space="preserve"> PAGEREF _Toc2869 \h </w:instrText>
        </w:r>
        <w:r>
          <w:fldChar w:fldCharType="separate"/>
        </w:r>
        <w:r>
          <w:t>52</w:t>
        </w:r>
        <w:r>
          <w:fldChar w:fldCharType="end"/>
        </w:r>
      </w:hyperlink>
    </w:p>
    <w:p>
      <w:pPr>
        <w:pStyle w:val="TOC2"/>
        <w:tabs>
          <w:tab w:val="right" w:leader="dot" w:pos="8306"/>
        </w:tabs>
      </w:pPr>
      <w:hyperlink w:anchor="_Toc26186" w:history="1">
        <w:r>
          <w:rPr>
            <w:rFonts w:ascii="仿宋" w:eastAsia="仿宋" w:hAnsi="仿宋" w:cs="仿宋" w:hint="eastAsia"/>
            <w:lang w:eastAsia="zh-CN"/>
          </w:rPr>
          <w:t>(三)、知识付费项目完成阶段时间节点</w:t>
        </w:r>
        <w:r>
          <w:tab/>
        </w:r>
        <w:r>
          <w:fldChar w:fldCharType="begin"/>
        </w:r>
        <w:r>
          <w:instrText xml:space="preserve"> PAGEREF _Toc26186 \h </w:instrText>
        </w:r>
        <w:r>
          <w:fldChar w:fldCharType="separate"/>
        </w:r>
        <w:r>
          <w:t>53</w:t>
        </w:r>
        <w:r>
          <w:fldChar w:fldCharType="end"/>
        </w:r>
      </w:hyperlink>
    </w:p>
    <w:p>
      <w:pPr>
        <w:pStyle w:val="TOC1"/>
        <w:tabs>
          <w:tab w:val="right" w:leader="dot" w:pos="8306"/>
        </w:tabs>
      </w:pPr>
      <w:hyperlink w:anchor="_Toc2317" w:history="1">
        <w:r>
          <w:rPr>
            <w:rFonts w:ascii="仿宋" w:eastAsia="仿宋" w:hAnsi="仿宋" w:cs="仿宋" w:hint="eastAsia"/>
            <w:lang w:eastAsia="zh-CN"/>
          </w:rPr>
          <w:t>十四、风险识别与分类</w:t>
        </w:r>
        <w:r>
          <w:tab/>
        </w:r>
        <w:r>
          <w:fldChar w:fldCharType="begin"/>
        </w:r>
        <w:r>
          <w:instrText xml:space="preserve"> PAGEREF _Toc2317 \h </w:instrText>
        </w:r>
        <w:r>
          <w:fldChar w:fldCharType="separate"/>
        </w:r>
        <w:r>
          <w:t>54</w:t>
        </w:r>
        <w:r>
          <w:fldChar w:fldCharType="end"/>
        </w:r>
      </w:hyperlink>
    </w:p>
    <w:p>
      <w:pPr>
        <w:pStyle w:val="TOC2"/>
        <w:tabs>
          <w:tab w:val="right" w:leader="dot" w:pos="8306"/>
        </w:tabs>
      </w:pPr>
      <w:hyperlink w:anchor="_Toc7276" w:history="1">
        <w:r>
          <w:rPr>
            <w:rFonts w:ascii="仿宋" w:eastAsia="仿宋" w:hAnsi="仿宋" w:cs="仿宋" w:hint="eastAsia"/>
            <w:lang w:eastAsia="zh-CN"/>
          </w:rPr>
          <w:t>(一)、风险识别</w:t>
        </w:r>
        <w:r>
          <w:tab/>
        </w:r>
        <w:r>
          <w:fldChar w:fldCharType="begin"/>
        </w:r>
        <w:r>
          <w:instrText xml:space="preserve"> PAGEREF _Toc7276 \h </w:instrText>
        </w:r>
        <w:r>
          <w:fldChar w:fldCharType="separate"/>
        </w:r>
        <w:r>
          <w:t>54</w:t>
        </w:r>
        <w:r>
          <w:fldChar w:fldCharType="end"/>
        </w:r>
      </w:hyperlink>
    </w:p>
    <w:p>
      <w:pPr>
        <w:pStyle w:val="TOC2"/>
        <w:tabs>
          <w:tab w:val="right" w:leader="dot" w:pos="8306"/>
        </w:tabs>
      </w:pPr>
      <w:hyperlink w:anchor="_Toc26691" w:history="1">
        <w:r>
          <w:rPr>
            <w:rFonts w:ascii="仿宋" w:eastAsia="仿宋" w:hAnsi="仿宋" w:cs="仿宋" w:hint="eastAsia"/>
            <w:lang w:eastAsia="zh-CN"/>
          </w:rPr>
          <w:t>(二)、风险分类</w:t>
        </w:r>
        <w:r>
          <w:tab/>
        </w:r>
        <w:r>
          <w:fldChar w:fldCharType="begin"/>
        </w:r>
        <w:r>
          <w:instrText xml:space="preserve"> PAGEREF _Toc26691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02"/>
      <w:r>
        <w:rPr>
          <w:rFonts w:ascii="仿宋" w:eastAsia="仿宋" w:hAnsi="仿宋" w:cs="仿宋" w:hint="eastAsia"/>
          <w:sz w:val="28"/>
          <w:lang w:eastAsia="zh-CN"/>
        </w:rPr>
        <w:t>一、知识付费项目可持续发展</w:t>
      </w:r>
      <w:bookmarkEnd w:id="2"/>
    </w:p>
    <w:p>
      <w:pPr>
        <w:pStyle w:val="Heading2"/>
        <w:rPr>
          <w:rFonts w:ascii="仿宋" w:eastAsia="仿宋" w:hAnsi="仿宋" w:cs="仿宋" w:hint="eastAsia"/>
          <w:lang w:eastAsia="zh-CN"/>
        </w:rPr>
      </w:pPr>
      <w:bookmarkStart w:id="3" w:name="_Toc75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项目中，知识付费项目团队着眼于未来，明确了可持续发展的战略方向。制定的具体可持续发展目标包括降低资源使用、采用环保技术、最大化社会效益等。这一步骤不仅有助于知识付费项目在环保和社会责任方面达到最高标准，也为未来提供了明确的指引，确保知识付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可持续实践的融入知识付费项目管理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知识付费项目管理周期。从知识付费项目规划开始，知识付费项目团队就考虑了环境和社会的因素。在执行阶段，知识付费项目团队积极推动绿色技术的应用，优化资源利用。此外，关注员工的社会责任，通过培训和沟通活动提高员工对可持续发展的认知，使他们能够在日常工作中践行可持续实践。这些举措不仅为知识付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扎根于知识付费项目的可持续发展理念，我们深信环保与社会责任是知识付费项目成功的关键支柱。在知识付费项目的每一步，我们都致力于通过创新和实践，履行对环境和社会的坚定责任。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团队通过引入先进的环保技术、建立高效的废物处理系统以及推动能源节约措施，积极履行环保责任。定期的环保监测和评估确保知识付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不仅致力于自身可持续发展，还注重对社会的回馈。通过支持社区知识付费项目、参与慈善事业、提供培训机会等方式，知识付费项目积极履行社会责任。与当地社区建立积极互动，关注员工的工作与生活平衡，以及员工的身心健康，是知识付费项目在社会责任层面的关键举措。这样的实践不仅增强了知识付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08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41"/>
      <w:r>
        <w:rPr>
          <w:rFonts w:ascii="仿宋" w:eastAsia="仿宋" w:hAnsi="仿宋" w:cs="仿宋" w:hint="eastAsia"/>
          <w:lang w:eastAsia="zh-CN"/>
        </w:rPr>
        <w:t>(一)、知识付费行业分析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行业一直以来都是市场的关注焦点。行业内的发展趋势、竞争态势以及潜在机会都对知识付费项目的推进产生深远的影响。通过深入研究行业的整体概貌，我们将更好地理解行业的核心特征，为知识付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行业，技术一直是推动创新和发展的关键因素。我们将对当前技术趋势进行详尽分析，包括但不限于人工智能、大数据应用、先进制造技术等。这有助于知识付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知识付费项目成功的基础。我们将对主要竞争对手进行深入研究，包括其市场份额、产品特点、市场定位等。通过全面了解竞争对手的优势和劣势，知识付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191"/>
      <w:r>
        <w:rPr>
          <w:rFonts w:ascii="仿宋" w:eastAsia="仿宋" w:hAnsi="仿宋" w:cs="仿宋" w:hint="eastAsia"/>
          <w:sz w:val="28"/>
          <w:lang w:eastAsia="zh-CN"/>
        </w:rPr>
        <w:t>(二)、知识付费市场分析预测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通过对市场规模的深入调研，我们将预测知识付费市场未来的增长趋势。这包括市场的整体规模、各细分领域的发展趋势等。知识付费项目可以根据市场的扩张速度和潜在机会，制定更符合市场需求的发展策略。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知识付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知识付费项目实施过程中需要充分考虑的因素。我们将对市场风险进行全面评估，包括但不限于政策法规风险、市场竞争风险、技术变革风险等。通过对潜在风险的深入分析，知识付费项目可以制定相应的风险缓解策略，降低不确定性对知识付费项目的影响。</w:t>
      </w:r>
    </w:p>
    <w:p>
      <w:pPr>
        <w:pStyle w:val="Heading1"/>
        <w:ind w:firstLine="560" w:firstLineChars="200"/>
        <w:rPr>
          <w:rFonts w:ascii="仿宋" w:eastAsia="仿宋" w:hAnsi="仿宋" w:cs="仿宋" w:hint="eastAsia"/>
          <w:sz w:val="28"/>
          <w:lang w:eastAsia="zh-CN"/>
        </w:rPr>
      </w:pPr>
      <w:bookmarkStart w:id="8" w:name="_Toc15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3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技术管理特点体现在其创新导向。通过引入最先进的技术趋势和解决方案，知识付费项目致力于提升科技含量、提高质量和效率水平。这意味着我们将采用最新的工具和方法，确保知识付费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知识付费项目技术管理的显著特征。通过整合不同领域的技术资源，我们实现了跨学科的协同工作。这有助于优化技术架构，提高整体效能。此外，整合性策略还促进了不同技术团队之间的紧密沟通和高效合作，确保知识付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知识付费项目所采用的技术。通过不断优化技术方案，知识付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知识付费项目团队将在知识付费项目初期识别可能的技术风险，并采取相应的预防和应对措施。通过建立健全的风险评估机制，知识付费项目能够在实施过程中及时发现并解决潜在的技术问题，保障知识付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知识付费项目中，技术将成为知识付费项目成功的有力支持。这一深度剖析揭示了技术管理在知识付费项目实施中的关键作用，为知识付费项目的技术基础奠定了坚实的基础。</w:t>
      </w:r>
    </w:p>
    <w:p>
      <w:pPr>
        <w:pStyle w:val="Heading2"/>
        <w:ind w:firstLine="560" w:firstLineChars="200"/>
        <w:rPr>
          <w:rFonts w:ascii="仿宋" w:eastAsia="仿宋" w:hAnsi="仿宋" w:cs="仿宋" w:hint="eastAsia"/>
          <w:sz w:val="28"/>
          <w:lang w:eastAsia="zh-CN"/>
        </w:rPr>
      </w:pPr>
      <w:bookmarkStart w:id="10" w:name="_Toc4917"/>
      <w:r>
        <w:rPr>
          <w:rFonts w:ascii="仿宋" w:eastAsia="仿宋" w:hAnsi="仿宋" w:cs="仿宋" w:hint="eastAsia"/>
          <w:sz w:val="28"/>
          <w:lang w:eastAsia="zh-CN"/>
        </w:rPr>
        <w:t>(二)、知识付费项目工艺技术设计方案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知识付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知识付费项目将严格按照相关行业规范要求进行组织。通过有效控制产品质量，知识付费项目将致力于为顾客提供优质的知识付费项目产品和良好的服务。这体现了知识付费项目对于生产活动合规性和质量标准的高度重视，为知识付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知识付费项目注重生态效益和清洁生产原则。知识付费项目建设将紧密结合地方特色经济发展，与社会经济发展规划和区域环境保护规划方案相协调一致。通过与当地区域自然生态系统的结合，知识付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知识付费项目产品具有多样化的客户需求和个性化的特点。因此，知识付费项目产品规格品种多样，且单批生产数量较小。为满足这一特点，知识付费项目承办单位将建设先进的柔性制造生产线。通过广泛应用柔性制造技术，知识付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知识付费项目采用的技术具有较高的技术含量和自动化水平，处于国内先进水平。这一技术选用不仅体现了对生产效率、质量和环境友好性的高标准要求，同时为知识付费项目的可持续发展奠定了坚实的基础。</w:t>
      </w:r>
    </w:p>
    <w:p>
      <w:pPr>
        <w:pStyle w:val="Heading2"/>
        <w:ind w:firstLine="560" w:firstLineChars="200"/>
        <w:rPr>
          <w:rFonts w:ascii="仿宋" w:eastAsia="仿宋" w:hAnsi="仿宋" w:cs="仿宋" w:hint="eastAsia"/>
          <w:sz w:val="28"/>
          <w:lang w:eastAsia="zh-CN"/>
        </w:rPr>
      </w:pPr>
      <w:bookmarkStart w:id="11" w:name="_Toc281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为确保知识付费项目的高效生产和技术实施，我们制定了一套精心设计的设备选型方案，以满足知识付费项目生产、质量和环保的要求。该方案的主要特点如下：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知识付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针对知识付费项目产品的多样性和小批量生产的特点，我们将建设柔性制造生产线。通过在设备选型中考虑柔性制造技术，可以灵活应对不同产品规格和生产需求，实现生产线的高度灵活性和适应性。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348"/>
      <w:r>
        <w:rPr>
          <w:rFonts w:ascii="仿宋" w:eastAsia="仿宋" w:hAnsi="仿宋" w:cs="仿宋" w:hint="eastAsia"/>
          <w:sz w:val="28"/>
          <w:lang w:eastAsia="zh-CN"/>
        </w:rPr>
        <w:t>四、知识付费项目绩效评估</w:t>
      </w:r>
      <w:bookmarkEnd w:id="12"/>
    </w:p>
    <w:p>
      <w:pPr>
        <w:pStyle w:val="Heading2"/>
        <w:rPr>
          <w:rFonts w:ascii="仿宋" w:eastAsia="仿宋" w:hAnsi="仿宋" w:cs="仿宋" w:hint="eastAsia"/>
          <w:lang w:eastAsia="zh-CN"/>
        </w:rPr>
      </w:pPr>
      <w:bookmarkStart w:id="13" w:name="_Toc2668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项目中，我们设计了一套全面的绩效评估指标，以确保知识付费项目的可控和成功交付。这些指标跨足知识付费项目目标、成本、进度和质量等多个维度，为我们提供了全面洞察知识付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目标达成率是我们关注的首要指标。我们设定了明确的目标，并通过定期监测和评估，迅速发现并应对潜在的目标偏差。这为知识付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成本绩效是另一个核心关注点。通过实际成本与预算成本的对比分析，我们深入了解成本差异的原因，及时调整资源分配，保持知识付费项目在经济效益方面的合理水平。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进度作为关键的绩效指标之一，得到了精心的关注。我们制定了详细的知识付费项目进度计划，并设立了进度符合度指标，确保实际进度与计划进度保持一致。这使我们能够快速发现和解决潜在的进度问题，保持知识付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知识付费项目绩效的不可或缺的一环。我们引入了一系列的质量标准和客户满意度指标，以确保知识付费项目交付的成果在质量上达到或超越预期水平。通过持续监测这些指标，我们努力提升知识付费项目整体质量水平，为知识付费项目的成功交付提供有力保障。通过这些科学且全面的绩效评估，我们能够更好地引导知识付费项目的持续改进，确保知识付费项目目标的顺利达成。</w:t>
      </w:r>
    </w:p>
    <w:p>
      <w:pPr>
        <w:pStyle w:val="Heading2"/>
        <w:ind w:firstLine="560" w:firstLineChars="200"/>
        <w:rPr>
          <w:rFonts w:ascii="仿宋" w:eastAsia="仿宋" w:hAnsi="仿宋" w:cs="仿宋" w:hint="eastAsia"/>
          <w:sz w:val="28"/>
          <w:lang w:eastAsia="zh-CN"/>
        </w:rPr>
      </w:pPr>
      <w:bookmarkStart w:id="14" w:name="_Toc1799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绩效评估是知识付费项目中的关键环节，为确保知识付费项目达到预期目标，我们采用了多层次、多维度的绩效评估方法。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知识付费项目的战略目标对齐，确保每个决策和行动都与知识付费项目整体目标保持一致。团队会定期召开战略对齐会议，审视当前工作与知识付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知识付费项目进度、质量、成本和风险等方面。这些指标通过数据收集和分析，为知识付费项目管理团队提供了客观的评估依据。例如，我们通过知识付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绩效评估不仅仅停留在知识付费项目内部，还考虑了知识付费项目对外部环境的影响。我们定期进行干系人满意度调查，以了解各利益相关方对知识付费项目的期望和满意度，并及时做出调整。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这种多层次、多角度的绩效评估方法，使得我们能够全面了解知识付费项目的运行状态，及时做出调整，确保知识付费项目在不断变化的环境中保持稳健前行。</w:t>
      </w:r>
    </w:p>
    <w:p>
      <w:pPr>
        <w:pStyle w:val="Heading2"/>
        <w:ind w:firstLine="560" w:firstLineChars="200"/>
        <w:rPr>
          <w:rFonts w:ascii="仿宋" w:eastAsia="仿宋" w:hAnsi="仿宋" w:cs="仿宋" w:hint="eastAsia"/>
          <w:sz w:val="28"/>
          <w:lang w:eastAsia="zh-CN"/>
        </w:rPr>
      </w:pPr>
      <w:bookmarkStart w:id="15" w:name="_Toc2089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为了确保知识付费项目的有效管理和不断优化，我们采用了精心设计的绩效评估周期。这个周期旨在实现灵活、实时和全面的评估，以适应知识付费项目执行中的各种挑战。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知识付费项目的不同需求，分为短期、中期和长期。短期评估关注每个迭代或工作周期，以及时发现和解决当前任务中的问题。中期评估涵盖几个迭代，深入了解整体知识付费项目的趋势和性能。长期评估则着眼于整个知识付费项目阶段，确保知识付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知识付费项目管理工具和协作平台，团队成员能够随时更新和分享知识付费项目数据。这种实时性的反馈机制使我们能够及时察觉潜在问题，快速调整，保持知识付费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知识付费项目的决策制定密不可分。每个周期的知识付费项目回顾会议成为集体总结经验、识别问题深层次原因并找到创新解决方案的平台。这种定期的反思与调整机制使知识付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33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27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知识付费项目的主要产品是XXXX，预计年产值为XXX万元。这一产品在市场中占据着重要的地位，其广泛的应用范围使得该知识付费项目的市场前景非常广阔。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知识付费项目的xxx产品作为重要的原材料之一，将在多个领域发挥关键作用。其在建筑、交通、能源等方面的广泛应用将为整个产业链提供强大的支持，形成产业协同效应。知识付费项目的年产值XXX万XXX万XXX万万元不仅反映了其在市场上的巨大潜力，更预示着它对国民经济的积极贡献。这种关联度高、涉及面广的产业关系，使得该知识付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42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总征地面积为XXXX平方米，相当于约XX.XX亩，其中净用地面积为XXXX平方米，红线范围内相当于约XX.XX亩。这一用地规模充分考虑了知识付费项目的建设需求，保障了知识付费项目在合适的空间内得以充分发展。知识付费项目规划的总建筑面积为XXXX平方米，其中主体工程建设占XXXX平方米，计容建筑面积达XXXX平方米。预计建筑工程的投资将达到XXXX万元，为知识付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计划购置的设备共计XXXX台（套），设备购置费用为XXXX万元。这一设备购置计划充分考虑到知识付费项目的生产需求和技术要求，确保了知识付费项目在生产运营中具备先进的技术装备和高效的生产能力。设备的合理配置将为知识付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计划总投资为XXXX万元，预计年实现营业收入为XXXX万元。这一产能规模的设定旨在确保知识付费项目能够在投资与回报之间取得平衡，实现长期可持续的发展。知识付费项目的总投资充分考虑到各个方面的需求，包括用地建设、设备购置等多个环节，以确保知识付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228"/>
      <w:r>
        <w:rPr>
          <w:rFonts w:ascii="仿宋" w:eastAsia="仿宋" w:hAnsi="仿宋" w:cs="仿宋" w:hint="eastAsia"/>
          <w:sz w:val="28"/>
          <w:lang w:eastAsia="zh-CN"/>
        </w:rPr>
        <w:t>六、知识付费项目建设单位说明</w:t>
      </w:r>
      <w:bookmarkEnd w:id="19"/>
    </w:p>
    <w:p>
      <w:pPr>
        <w:pStyle w:val="Heading2"/>
        <w:rPr>
          <w:rFonts w:ascii="仿宋" w:eastAsia="仿宋" w:hAnsi="仿宋" w:cs="仿宋" w:hint="eastAsia"/>
          <w:lang w:eastAsia="zh-CN"/>
        </w:rPr>
      </w:pPr>
      <w:bookmarkStart w:id="20" w:name="_Toc21490"/>
      <w:r>
        <w:rPr>
          <w:rFonts w:ascii="仿宋" w:eastAsia="仿宋" w:hAnsi="仿宋" w:cs="仿宋" w:hint="eastAsia"/>
          <w:lang w:eastAsia="zh-CN"/>
        </w:rPr>
        <w:t>(一)、知识付费项目承办单位基本情况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312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知识付费项目承办单位的XXXX，我们着眼于实现可持续的经济效益。通过技术创新和解决方案的提供，公司预计在知识付费项目执行期间将获得可观的收入增长。这一收入来源主要包括知识付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同时，我们注重成本控制和效率提升，以确保知识付费项目的可持续盈利。透过精细的管理和资源优化，公司期望实现知识付费项目利润最大化。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知识付费项目实施进行全面的投资评估，包括知识付费项目启动阶段的资金投入和后续运营成本。通过对知识付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知识付费项目实施过程中具备足够的资金流动性，公司将进行详尽的现金流分析。这包括资金需求的合理预测、知识付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3573"/>
      <w:r>
        <w:rPr>
          <w:rFonts w:ascii="仿宋" w:eastAsia="仿宋" w:hAnsi="仿宋" w:cs="仿宋" w:hint="eastAsia"/>
          <w:sz w:val="28"/>
          <w:lang w:eastAsia="zh-CN"/>
        </w:rPr>
        <w:t>七、知识付费项目风险管理</w:t>
      </w:r>
      <w:bookmarkEnd w:id="22"/>
    </w:p>
    <w:p>
      <w:pPr>
        <w:pStyle w:val="Heading2"/>
        <w:rPr>
          <w:rFonts w:ascii="仿宋" w:eastAsia="仿宋" w:hAnsi="仿宋" w:cs="仿宋" w:hint="eastAsia"/>
          <w:lang w:eastAsia="zh-CN"/>
        </w:rPr>
      </w:pPr>
      <w:bookmarkStart w:id="23" w:name="_Toc1911"/>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https://d.book118.com/858023007033006030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66B88"/>
    <w:rsid w:val="0E866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2300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2024-01-21T05:29:00Z</dcterms:created>
  <dcterms:modified xsi:type="dcterms:W3CDTF">2024-01-21T05:30:05Z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4F02F863891A442D8E57A3B33C74D7FE_11</vt:lpwstr>
  </property>
  <property fmtid="{D5CDD505-2E9C-101B-9397-08002B2CF9AE}" pid="3" name="KSOProductBuildVer">
    <vt:lpwstr>2052-12.1.0.16120</vt:lpwstr>
  </property>
</Properties>
</file>