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2018-2023年太原幼儿师范高等专科学校高职单招（数学／语文／英语）历年常考试题库含答案解析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“举案齐眉”、“乘舟梦日”、“鲈鱼堪脍”三个典故所涉及的人物依次是（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B.盂光、伊尹、季鹰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我国第一部叙事详细的编年体史书是（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C.《后汉书》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“快乐在人生里，好比引诱小孩子吃药的方糖，更像跑狗场里引诱狗赛跑的电兔子”所用的修辞方法是（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“狡兔三窟”这一成语出自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《风波》的时代意义在于（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A.暴露民众的愚昧落后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B.揭露帝制余孽的阴谋复辟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C.揭示辛亥革命的不彻底性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D.昭示革命难以唤醒民众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“贻笑大方”这个成语出自于（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C.《秋水》（节选）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下列选项中，加点的字“于”表示被动的一项是（）。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A.夫祸患常积于忽微，而智勇多困于所溺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B.王知如此，则无望民之多于邻国也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C.此其自多也，不似尔向之自多于水乎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D.邦分崩离析而不能守也，而谋动干戈于邦内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与“古道西风瘦马”构成反衬关系的景象是（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“饮冰室主人”指的是（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A.康有为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C.谭嗣同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D.黄遵宪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孟子和孔子同属（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D.名家学派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A.被后人称作“三苏”的作家是苏洵、苏轼、苏辙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B.“济南二安”指的是李清照和辛弃疾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C.苍凉悲壮是曹操诗歌的主要艺术风格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D.曹雪芹是我国明代伟大的浪漫主义作家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梁启超《论毅力》写于（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A.戊戌变法之前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B.戊戌变法失败后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C.五四运动之时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D.五四运动之后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https://d.book118.com/858055123132006040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5805512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