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硫醇行业相关公司筹备报告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_Toc26779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_Toc31992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_Toc30812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_Toc9964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_Toc10501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5" w:history="1">
        <w:r>
          <w:rPr>
            <w:rFonts w:ascii="仿宋" w:eastAsia="仿宋" w:hAnsi="仿宋" w:cs="仿宋" w:hint="eastAsia"/>
            <w:lang w:eastAsia="zh-CN"/>
          </w:rPr>
          <w:t>(一)、硫醇项目选址原则</w:t>
        </w:r>
        <w:r>
          <w:tab/>
        </w:r>
        <w:r>
          <w:fldChar w:fldCharType="begin"/>
        </w:r>
        <w:r>
          <w:instrText xml:space="preserve"> PAGEREF _Toc24065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_Toc10213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8" w:history="1">
        <w:r>
          <w:rPr>
            <w:rFonts w:ascii="仿宋" w:eastAsia="仿宋" w:hAnsi="仿宋" w:cs="仿宋" w:hint="eastAsia"/>
            <w:lang w:eastAsia="zh-CN"/>
          </w:rPr>
          <w:t>(五)、硫醇项目选址综合评价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_Toc15057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_Toc20907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_Toc21344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_Toc21805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(七)、硫醇项目建设必要性分析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1" w:history="1">
        <w:r>
          <w:rPr>
            <w:rFonts w:ascii="仿宋" w:eastAsia="仿宋" w:hAnsi="仿宋" w:cs="仿宋" w:hint="eastAsia"/>
            <w:lang w:eastAsia="zh-CN"/>
          </w:rPr>
          <w:t>(一)、硫醇项目进度安排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3" w:history="1">
        <w:r>
          <w:rPr>
            <w:rFonts w:ascii="仿宋" w:eastAsia="仿宋" w:hAnsi="仿宋" w:cs="仿宋" w:hint="eastAsia"/>
            <w:lang w:eastAsia="zh-CN"/>
          </w:rPr>
          <w:t>(二)、硫醇项目实施保障措施</w:t>
        </w:r>
        <w:r>
          <w:tab/>
        </w:r>
        <w:r>
          <w:fldChar w:fldCharType="begin"/>
        </w:r>
        <w:r>
          <w:instrText xml:space="preserve"> PAGEREF _Toc4913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(一)、硫醇项目背景分析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(二)、硫醇项目建设必要性分析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_Toc18044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_Toc29234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_Toc30609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_Toc23167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_Toc27646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_Toc22545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_Toc7829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_Toc9598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_Toc23609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_Toc24509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_Toc14952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_Toc12567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_Toc27019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_Toc10499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_Toc23241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_Toc15736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_Toc26335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_Toc10700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_Toc25024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_Toc16120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_Toc20789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_Toc6145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_Toc6538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十三、硫醇项目总结分析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4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4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7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6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https://d.book118.com/865104223331011043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104223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2023-12-31T19:06:00Z</dcterms:created>
  <dcterms:modified xsi:type="dcterms:W3CDTF">2023-12-31T19:06:44Z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3C4D237F97174C32BB033BD33BFDC54E_11</vt:lpwstr>
  </property>
  <property fmtid="{D5CDD505-2E9C-101B-9397-08002B2CF9AE}" pid="3" name="KSOProductBuildVer">
    <vt:lpwstr>2052-12.1.0.16120</vt:lpwstr>
  </property>
</Properties>
</file>