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2024年会计职称考试-中级会计历年考题高频考点荟萃带答案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融资租赁方式下，租赁期满，设备必须作价转让给承租人。</w:t>
      </w:r>
    </w:p>
    <w:p>
      <w:pPr>
        <w:pStyle w:val="Normal0"/>
        <w:jc w:val="left"/>
        <w:rPr>
          <w:rFonts w:ascii="黑体" w:eastAsia="黑体" w:hAnsi="黑体" w:cs="黑体" w:hint="eastAsia"/>
          <w:sz w:val="24"/>
          <w:szCs w:val="28"/>
        </w:rPr>
      </w:pPr>
    </w:p>
    <w:p>
      <w:pPr>
        <w:pStyle w:val="Normal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下列各项中，属于证券资产特点的有（）。</w:t>
      </w:r>
    </w:p>
    <w:p>
      <w:pPr>
        <w:pStyle w:val="Normal1"/>
        <w:jc w:val="left"/>
        <w:rPr>
          <w:rFonts w:ascii="黑体" w:eastAsia="黑体" w:hAnsi="黑体" w:cs="黑体" w:hint="eastAsia"/>
          <w:sz w:val="24"/>
          <w:szCs w:val="28"/>
        </w:rPr>
      </w:pPr>
      <w:r>
        <w:rPr>
          <w:rFonts w:ascii="黑体" w:eastAsia="黑体" w:hAnsi="黑体" w:cs="黑体" w:hint="eastAsia"/>
          <w:sz w:val="24"/>
          <w:szCs w:val="28"/>
        </w:rPr>
        <w:t>A、可分割性</w:t>
      </w:r>
    </w:p>
    <w:p>
      <w:pPr>
        <w:pStyle w:val="Normal1"/>
        <w:jc w:val="left"/>
        <w:rPr>
          <w:rFonts w:ascii="黑体" w:eastAsia="黑体" w:hAnsi="黑体" w:cs="黑体" w:hint="eastAsia"/>
          <w:sz w:val="24"/>
          <w:szCs w:val="28"/>
        </w:rPr>
      </w:pPr>
      <w:r>
        <w:rPr>
          <w:rFonts w:ascii="黑体" w:eastAsia="黑体" w:hAnsi="黑体" w:cs="黑体" w:hint="eastAsia"/>
          <w:sz w:val="24"/>
          <w:szCs w:val="28"/>
        </w:rPr>
        <w:t>B、高风险性</w:t>
      </w:r>
    </w:p>
    <w:p>
      <w:pPr>
        <w:pStyle w:val="Normal1"/>
        <w:jc w:val="left"/>
        <w:rPr>
          <w:rFonts w:ascii="黑体" w:eastAsia="黑体" w:hAnsi="黑体" w:cs="黑体" w:hint="eastAsia"/>
          <w:sz w:val="24"/>
          <w:szCs w:val="28"/>
        </w:rPr>
      </w:pPr>
      <w:r>
        <w:rPr>
          <w:rFonts w:ascii="黑体" w:eastAsia="黑体" w:hAnsi="黑体" w:cs="黑体" w:hint="eastAsia"/>
          <w:sz w:val="24"/>
          <w:szCs w:val="28"/>
        </w:rPr>
        <w:t>C、强流动性</w:t>
      </w:r>
    </w:p>
    <w:p>
      <w:pPr>
        <w:pStyle w:val="Normal1"/>
        <w:jc w:val="left"/>
        <w:rPr>
          <w:rFonts w:ascii="黑体" w:eastAsia="黑体" w:hAnsi="黑体" w:cs="黑体" w:hint="eastAsia"/>
          <w:sz w:val="24"/>
          <w:szCs w:val="28"/>
        </w:rPr>
      </w:pPr>
      <w:r>
        <w:rPr>
          <w:rFonts w:ascii="黑体" w:eastAsia="黑体" w:hAnsi="黑体" w:cs="黑体" w:hint="eastAsia"/>
          <w:sz w:val="24"/>
          <w:szCs w:val="28"/>
        </w:rPr>
        <w:t>D、持有目的多元性</w:t>
      </w:r>
    </w:p>
    <w:p>
      <w:pPr>
        <w:pStyle w:val="Normal1"/>
        <w:jc w:val="left"/>
        <w:rPr>
          <w:rFonts w:ascii="黑体" w:eastAsia="黑体" w:hAnsi="黑体" w:cs="黑体" w:hint="eastAsia"/>
          <w:sz w:val="24"/>
          <w:szCs w:val="28"/>
        </w:rPr>
      </w:pPr>
    </w:p>
    <w:p>
      <w:pPr>
        <w:pStyle w:val="Normal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德凯公司拟为新三板上市造势，在无真实交易意图的情况下，短期内以业务合作为由邀请多家公司来其主要办公地点洽谈。其中，真诚公司安排授权代表往返十余次，每次都准备了详尽可操作的合作方案，德凯公司佯装感兴趣并屡次表达将签署合同的意愿，但均在最后一刻推脱拒签。期间，德凯公司还将知悉的真诚公司的部分商业秘密不当泄露。有关本案的下列说法中，正确的是（）。</w:t>
      </w:r>
    </w:p>
    <w:p>
      <w:pPr>
        <w:pStyle w:val="Normal2"/>
        <w:jc w:val="left"/>
        <w:rPr>
          <w:rFonts w:ascii="黑体" w:eastAsia="黑体" w:hAnsi="黑体" w:cs="黑体" w:hint="eastAsia"/>
          <w:sz w:val="24"/>
          <w:szCs w:val="28"/>
        </w:rPr>
      </w:pPr>
      <w:r>
        <w:rPr>
          <w:rFonts w:ascii="黑体" w:eastAsia="黑体" w:hAnsi="黑体" w:cs="黑体" w:hint="eastAsia"/>
          <w:sz w:val="24"/>
          <w:szCs w:val="28"/>
        </w:rPr>
        <w:t>A、未缔结合同，则德凯公司就磋商事宜无需承担责任</w:t>
      </w:r>
    </w:p>
    <w:p>
      <w:pPr>
        <w:pStyle w:val="Normal2"/>
        <w:jc w:val="left"/>
        <w:rPr>
          <w:rFonts w:ascii="黑体" w:eastAsia="黑体" w:hAnsi="黑体" w:cs="黑体" w:hint="eastAsia"/>
          <w:sz w:val="24"/>
          <w:szCs w:val="28"/>
        </w:rPr>
      </w:pPr>
      <w:r>
        <w:rPr>
          <w:rFonts w:ascii="黑体" w:eastAsia="黑体" w:hAnsi="黑体" w:cs="黑体" w:hint="eastAsia"/>
          <w:sz w:val="24"/>
          <w:szCs w:val="28"/>
        </w:rPr>
        <w:t>B、虽未缔结合同，但德凯公司构成恶意磋商。应赔偿损失</w:t>
      </w:r>
    </w:p>
    <w:p>
      <w:pPr>
        <w:pStyle w:val="Normal2"/>
        <w:jc w:val="left"/>
        <w:rPr>
          <w:rFonts w:ascii="黑体" w:eastAsia="黑体" w:hAnsi="黑体" w:cs="黑体" w:hint="eastAsia"/>
          <w:sz w:val="24"/>
          <w:szCs w:val="28"/>
        </w:rPr>
      </w:pPr>
      <w:r>
        <w:rPr>
          <w:rFonts w:ascii="黑体" w:eastAsia="黑体" w:hAnsi="黑体" w:cs="黑体" w:hint="eastAsia"/>
          <w:sz w:val="24"/>
          <w:szCs w:val="28"/>
        </w:rPr>
        <w:t>C、未缔结合同，则商业秘密属于真诚公司自愿披露，不应禁止外泄</w:t>
      </w:r>
    </w:p>
    <w:p>
      <w:pPr>
        <w:pStyle w:val="Normal2"/>
        <w:jc w:val="left"/>
        <w:rPr>
          <w:rFonts w:ascii="黑体" w:eastAsia="黑体" w:hAnsi="黑体" w:cs="黑体" w:hint="eastAsia"/>
          <w:sz w:val="24"/>
          <w:szCs w:val="28"/>
        </w:rPr>
      </w:pPr>
      <w:r>
        <w:rPr>
          <w:rFonts w:ascii="黑体" w:eastAsia="黑体" w:hAnsi="黑体" w:cs="黑体" w:hint="eastAsia"/>
          <w:sz w:val="24"/>
          <w:szCs w:val="28"/>
        </w:rPr>
        <w:t>D、德凯公司也付出了大量的工作成本，如被对方主张赔偿，则据此可主张抵销</w:t>
      </w:r>
    </w:p>
    <w:p>
      <w:pPr>
        <w:pStyle w:val="Normal2"/>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关于售后回购，下列说法中正确的有（）。</w:t>
      </w:r>
    </w:p>
    <w:p>
      <w:pPr>
        <w:pStyle w:val="Normal3"/>
        <w:jc w:val="left"/>
        <w:rPr>
          <w:rFonts w:ascii="黑体" w:eastAsia="黑体" w:hAnsi="黑体" w:cs="黑体" w:hint="eastAsia"/>
          <w:sz w:val="24"/>
          <w:szCs w:val="28"/>
        </w:rPr>
      </w:pPr>
      <w:r>
        <w:rPr>
          <w:rFonts w:ascii="黑体" w:eastAsia="黑体" w:hAnsi="黑体" w:cs="黑体" w:hint="eastAsia"/>
          <w:sz w:val="24"/>
          <w:szCs w:val="28"/>
        </w:rPr>
        <w:t>A、售后回购无论何种情况下均应确认收入</w:t>
      </w:r>
    </w:p>
    <w:p>
      <w:pPr>
        <w:pStyle w:val="Normal3"/>
        <w:jc w:val="left"/>
        <w:rPr>
          <w:rFonts w:ascii="黑体" w:eastAsia="黑体" w:hAnsi="黑体" w:cs="黑体" w:hint="eastAsia"/>
          <w:sz w:val="24"/>
          <w:szCs w:val="28"/>
        </w:rPr>
      </w:pPr>
      <w:r>
        <w:rPr>
          <w:rFonts w:ascii="黑体" w:eastAsia="黑体" w:hAnsi="黑体" w:cs="黑体" w:hint="eastAsia"/>
          <w:sz w:val="24"/>
          <w:szCs w:val="28"/>
        </w:rPr>
        <w:t>B、售后回购无论何种情况下均不能确认收入</w:t>
      </w:r>
    </w:p>
    <w:p>
      <w:pPr>
        <w:pStyle w:val="Normal3"/>
        <w:jc w:val="left"/>
        <w:rPr>
          <w:rFonts w:ascii="黑体" w:eastAsia="黑体" w:hAnsi="黑体" w:cs="黑体" w:hint="eastAsia"/>
          <w:sz w:val="24"/>
          <w:szCs w:val="28"/>
        </w:rPr>
      </w:pPr>
      <w:r>
        <w:rPr>
          <w:rFonts w:ascii="黑体" w:eastAsia="黑体" w:hAnsi="黑体" w:cs="黑体" w:hint="eastAsia"/>
          <w:sz w:val="24"/>
          <w:szCs w:val="28"/>
        </w:rPr>
        <w:t>C、如果商品所有权上的主要风险和报酬已经转移，则在销售商品时应确认收入</w:t>
      </w:r>
    </w:p>
    <w:p>
      <w:pPr>
        <w:pStyle w:val="Normal3"/>
        <w:jc w:val="left"/>
        <w:rPr>
          <w:rFonts w:ascii="黑体" w:eastAsia="黑体" w:hAnsi="黑体" w:cs="黑体" w:hint="eastAsia"/>
          <w:sz w:val="24"/>
          <w:szCs w:val="28"/>
        </w:rPr>
      </w:pPr>
      <w:r>
        <w:rPr>
          <w:rFonts w:ascii="黑体" w:eastAsia="黑体" w:hAnsi="黑体" w:cs="黑体" w:hint="eastAsia"/>
          <w:sz w:val="24"/>
          <w:szCs w:val="28"/>
        </w:rPr>
        <w:t>D、如果商品所有权上的主要风险和报酬没有转移，不确认收入，应将售价与回购价的差额，在回购期间按期计提利息</w:t>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民事法律行为部分无效，不影响其他部分效力的，其他部分仍然有效。</w:t>
      </w:r>
    </w:p>
    <w:p>
      <w:pPr>
        <w:pStyle w:val="Normal4"/>
        <w:jc w:val="left"/>
        <w:rPr>
          <w:rFonts w:ascii="黑体" w:eastAsia="黑体" w:hAnsi="黑体" w:cs="黑体" w:hint="eastAsia"/>
          <w:sz w:val="24"/>
          <w:szCs w:val="28"/>
        </w:rPr>
        <w:sectPr>
          <w:headerReference w:type="even" r:id="rId11"/>
          <w:headerReference w:type="default" r:id="rId12"/>
          <w:footerReference w:type="even" r:id="rId13"/>
          <w:headerReference w:type="first" r:id="rId14"/>
          <w:footerReference w:type="first" r:id="rId15"/>
          <w:type w:val="continuous"/>
          <w:pgSz w:w="11906" w:h="16838"/>
          <w:pgMar w:top="720" w:right="720" w:bottom="720" w:left="720" w:header="851" w:footer="992" w:gutter="0"/>
          <w:pgNumType w:start="2"/>
          <w:cols w:num="1" w:space="720"/>
          <w:docGrid w:type="lines" w:linePitch="312" w:charSpace="0"/>
        </w:sectPr>
      </w:pPr>
    </w:p>
    <w:p>
      <w:pPr>
        <w:pStyle w:val="Normal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2017年7月1日，甲公司与丁公司签订合同，自丁公司购买管理系统软件，合同价款为5000万元，款项分五次支付，其中合同签订之日支付购买价款的20%，其余款项分四次自次年起每年7月1日支付1000万元。管理系统软件购买价款的现值为4546万元，折现率为5%。该软件预计使用年限为5年，预计净残值为零，采用直线法摊销。不考虑其他因素，甲公司2017年未确认融资费用摊销额为（）万元。</w:t>
      </w:r>
    </w:p>
    <w:p>
      <w:pPr>
        <w:pStyle w:val="Normal5"/>
        <w:jc w:val="left"/>
        <w:rPr>
          <w:rFonts w:ascii="黑体" w:eastAsia="黑体" w:hAnsi="黑体" w:cs="黑体" w:hint="eastAsia"/>
          <w:sz w:val="24"/>
          <w:szCs w:val="28"/>
        </w:rPr>
      </w:pPr>
      <w:r>
        <w:rPr>
          <w:rFonts w:ascii="黑体" w:eastAsia="黑体" w:hAnsi="黑体" w:cs="黑体" w:hint="eastAsia"/>
          <w:sz w:val="24"/>
          <w:szCs w:val="28"/>
        </w:rPr>
        <w:t>A、227.3</w:t>
      </w:r>
    </w:p>
    <w:p>
      <w:pPr>
        <w:pStyle w:val="Normal5"/>
        <w:jc w:val="left"/>
        <w:rPr>
          <w:rFonts w:ascii="黑体" w:eastAsia="黑体" w:hAnsi="黑体" w:cs="黑体" w:hint="eastAsia"/>
          <w:sz w:val="24"/>
          <w:szCs w:val="28"/>
        </w:rPr>
      </w:pPr>
      <w:r>
        <w:rPr>
          <w:rFonts w:ascii="黑体" w:eastAsia="黑体" w:hAnsi="黑体" w:cs="黑体" w:hint="eastAsia"/>
          <w:sz w:val="24"/>
          <w:szCs w:val="28"/>
        </w:rPr>
        <w:t>B、113.65</w:t>
      </w:r>
    </w:p>
    <w:p>
      <w:pPr>
        <w:pStyle w:val="Normal5"/>
        <w:jc w:val="left"/>
        <w:rPr>
          <w:rFonts w:ascii="黑体" w:eastAsia="黑体" w:hAnsi="黑体" w:cs="黑体" w:hint="eastAsia"/>
          <w:sz w:val="24"/>
          <w:szCs w:val="28"/>
        </w:rPr>
      </w:pPr>
      <w:r>
        <w:rPr>
          <w:rFonts w:ascii="黑体" w:eastAsia="黑体" w:hAnsi="黑体" w:cs="黑体" w:hint="eastAsia"/>
          <w:sz w:val="24"/>
          <w:szCs w:val="28"/>
        </w:rPr>
        <w:t>C、88.65</w:t>
      </w:r>
    </w:p>
    <w:p>
      <w:pPr>
        <w:pStyle w:val="Normal5"/>
        <w:jc w:val="left"/>
        <w:rPr>
          <w:rFonts w:ascii="黑体" w:eastAsia="黑体" w:hAnsi="黑体" w:cs="黑体" w:hint="eastAsia"/>
          <w:sz w:val="24"/>
          <w:szCs w:val="28"/>
        </w:rPr>
      </w:pPr>
      <w:r>
        <w:rPr>
          <w:rFonts w:ascii="黑体" w:eastAsia="黑体" w:hAnsi="黑体" w:cs="黑体" w:hint="eastAsia"/>
          <w:sz w:val="24"/>
          <w:szCs w:val="28"/>
        </w:rPr>
        <w:t>D、177.3</w:t>
      </w:r>
    </w:p>
    <w:p>
      <w:pPr>
        <w:pStyle w:val="Normal5"/>
        <w:jc w:val="left"/>
        <w:rPr>
          <w:rFonts w:ascii="黑体" w:eastAsia="黑体" w:hAnsi="黑体" w:cs="黑体" w:hint="eastAsia"/>
          <w:sz w:val="24"/>
          <w:szCs w:val="28"/>
        </w:rPr>
      </w:pPr>
    </w:p>
    <w:p>
      <w:pPr>
        <w:pStyle w:val="Normal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下列各项中，与丧失现金折扣的机会成本呈反向变化的是（）。</w:t>
      </w:r>
    </w:p>
    <w:p>
      <w:pPr>
        <w:pStyle w:val="Normal6"/>
        <w:jc w:val="left"/>
        <w:rPr>
          <w:rFonts w:ascii="黑体" w:eastAsia="黑体" w:hAnsi="黑体" w:cs="黑体" w:hint="eastAsia"/>
          <w:sz w:val="24"/>
          <w:szCs w:val="28"/>
        </w:rPr>
      </w:pPr>
      <w:r>
        <w:rPr>
          <w:rFonts w:ascii="黑体" w:eastAsia="黑体" w:hAnsi="黑体" w:cs="黑体" w:hint="eastAsia"/>
          <w:sz w:val="24"/>
          <w:szCs w:val="28"/>
        </w:rPr>
        <w:t>A、现金折扣率</w:t>
      </w:r>
    </w:p>
    <w:p>
      <w:pPr>
        <w:pStyle w:val="Normal6"/>
        <w:jc w:val="left"/>
        <w:rPr>
          <w:rFonts w:ascii="黑体" w:eastAsia="黑体" w:hAnsi="黑体" w:cs="黑体" w:hint="eastAsia"/>
          <w:sz w:val="24"/>
          <w:szCs w:val="28"/>
        </w:rPr>
      </w:pPr>
      <w:r>
        <w:rPr>
          <w:rFonts w:ascii="黑体" w:eastAsia="黑体" w:hAnsi="黑体" w:cs="黑体" w:hint="eastAsia"/>
          <w:sz w:val="24"/>
          <w:szCs w:val="28"/>
        </w:rPr>
        <w:t>B、折扣期</w:t>
      </w:r>
    </w:p>
    <w:p>
      <w:pPr>
        <w:pStyle w:val="Normal6"/>
        <w:jc w:val="left"/>
        <w:rPr>
          <w:rFonts w:ascii="黑体" w:eastAsia="黑体" w:hAnsi="黑体" w:cs="黑体" w:hint="eastAsia"/>
          <w:sz w:val="24"/>
          <w:szCs w:val="28"/>
        </w:rPr>
      </w:pPr>
      <w:r>
        <w:rPr>
          <w:rFonts w:ascii="黑体" w:eastAsia="黑体" w:hAnsi="黑体" w:cs="黑体" w:hint="eastAsia"/>
          <w:sz w:val="24"/>
          <w:szCs w:val="28"/>
        </w:rPr>
        <w:t>C、信用标准</w:t>
      </w:r>
    </w:p>
    <w:p>
      <w:pPr>
        <w:pStyle w:val="Normal6"/>
        <w:jc w:val="left"/>
        <w:rPr>
          <w:rFonts w:ascii="黑体" w:eastAsia="黑体" w:hAnsi="黑体" w:cs="黑体" w:hint="eastAsia"/>
          <w:sz w:val="24"/>
          <w:szCs w:val="28"/>
        </w:rPr>
      </w:pPr>
      <w:r>
        <w:rPr>
          <w:rFonts w:ascii="黑体" w:eastAsia="黑体" w:hAnsi="黑体" w:cs="黑体" w:hint="eastAsia"/>
          <w:sz w:val="24"/>
          <w:szCs w:val="28"/>
        </w:rPr>
        <w:t>D、信用期</w:t>
      </w:r>
    </w:p>
    <w:p>
      <w:pPr>
        <w:pStyle w:val="Normal6"/>
        <w:jc w:val="left"/>
        <w:rPr>
          <w:rFonts w:ascii="黑体" w:eastAsia="黑体" w:hAnsi="黑体" w:cs="黑体" w:hint="eastAsia"/>
          <w:sz w:val="24"/>
          <w:szCs w:val="28"/>
        </w:rPr>
      </w:pPr>
    </w:p>
    <w:p>
      <w:pPr>
        <w:pStyle w:val="Normal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企业是依法设立的，运用各种生产要素（土地、劳动力、资本和技术等），向市场提供商品或服务，实行自主经营、自负盈亏、独立核算的法人或者不以营利为目的的其他社会经济组织。</w:t>
      </w:r>
    </w:p>
    <w:p>
      <w:pPr>
        <w:pStyle w:val="Normal7"/>
        <w:jc w:val="left"/>
        <w:rPr>
          <w:rFonts w:ascii="黑体" w:eastAsia="黑体" w:hAnsi="黑体" w:cs="黑体" w:hint="eastAsia"/>
          <w:sz w:val="24"/>
          <w:szCs w:val="28"/>
        </w:rPr>
      </w:pPr>
    </w:p>
    <w:p>
      <w:pPr>
        <w:pStyle w:val="Normal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关于受托代理资产入账价值的确定，下列会计处理中正确的有（）。</w:t>
      </w:r>
    </w:p>
    <w:p>
      <w:pPr>
        <w:pStyle w:val="Normal8"/>
        <w:jc w:val="left"/>
        <w:rPr>
          <w:rFonts w:ascii="黑体" w:eastAsia="黑体" w:hAnsi="黑体" w:cs="黑体" w:hint="eastAsia"/>
          <w:sz w:val="24"/>
          <w:szCs w:val="28"/>
        </w:rPr>
      </w:pPr>
      <w:r>
        <w:rPr>
          <w:rFonts w:ascii="黑体" w:eastAsia="黑体" w:hAnsi="黑体" w:cs="黑体" w:hint="eastAsia"/>
          <w:sz w:val="24"/>
          <w:szCs w:val="28"/>
        </w:rPr>
        <w:t>A、如果受托代理资产为现金，应当按照实际收到的金额作为受托代理资产的入账价值</w:t>
      </w:r>
    </w:p>
    <w:p>
      <w:pPr>
        <w:pStyle w:val="Normal8"/>
        <w:jc w:val="left"/>
        <w:rPr>
          <w:rFonts w:ascii="黑体" w:eastAsia="黑体" w:hAnsi="黑体" w:cs="黑体" w:hint="eastAsia"/>
          <w:sz w:val="24"/>
          <w:szCs w:val="28"/>
        </w:rPr>
      </w:pPr>
      <w:r>
        <w:rPr>
          <w:rFonts w:ascii="黑体" w:eastAsia="黑体" w:hAnsi="黑体" w:cs="黑体" w:hint="eastAsia"/>
          <w:sz w:val="24"/>
          <w:szCs w:val="28"/>
        </w:rPr>
        <w:t>B、如果受托代理资产为固定资产，且委托方提供了有关凭据与公允价值相差不大，应当按照凭据上标明的金额作为入账价值</w:t>
      </w:r>
    </w:p>
    <w:p>
      <w:pPr>
        <w:pStyle w:val="Normal8"/>
        <w:jc w:val="left"/>
        <w:rPr>
          <w:rFonts w:ascii="黑体" w:eastAsia="黑体" w:hAnsi="黑体" w:cs="黑体" w:hint="eastAsia"/>
          <w:sz w:val="24"/>
          <w:szCs w:val="28"/>
        </w:rPr>
      </w:pPr>
      <w:r>
        <w:rPr>
          <w:rFonts w:ascii="黑体" w:eastAsia="黑体" w:hAnsi="黑体" w:cs="黑体" w:hint="eastAsia"/>
          <w:sz w:val="24"/>
          <w:szCs w:val="28"/>
        </w:rPr>
        <w:t>C、如果受托代理资产为固定资产，捐赠方没有提供有关凭据的，受托代理资产应当按照捐赠方账面价值作为入账价值</w:t>
      </w:r>
    </w:p>
    <w:p>
      <w:pPr>
        <w:pStyle w:val="Normal8"/>
        <w:jc w:val="left"/>
        <w:rPr>
          <w:rFonts w:ascii="黑体" w:eastAsia="黑体" w:hAnsi="黑体" w:cs="黑体" w:hint="eastAsia"/>
          <w:sz w:val="24"/>
          <w:szCs w:val="28"/>
        </w:rPr>
      </w:pPr>
      <w:r>
        <w:rPr>
          <w:rFonts w:ascii="黑体" w:eastAsia="黑体" w:hAnsi="黑体" w:cs="黑体" w:hint="eastAsia"/>
          <w:sz w:val="24"/>
          <w:szCs w:val="28"/>
        </w:rPr>
        <w:t>D、如果受托代理资产为无形资产，捐赠方没有提供有关凭据的，受托代理资产应当按1元计量</w:t>
      </w:r>
    </w:p>
    <w:p>
      <w:pPr>
        <w:pStyle w:val="Normal8"/>
        <w:jc w:val="left"/>
        <w:rPr>
          <w:rFonts w:ascii="黑体" w:eastAsia="黑体" w:hAnsi="黑体" w:cs="黑体" w:hint="eastAsia"/>
          <w:sz w:val="24"/>
          <w:szCs w:val="28"/>
        </w:rPr>
      </w:pPr>
    </w:p>
    <w:p>
      <w:pPr>
        <w:pStyle w:val="Normal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某自行车厂为增值税一般纳税人，主要生产“和谐”牌自行车，2010年度实现会计利润600万元，全年已累计预缴企业所得税税款150万元。2011年年初，该厂财务人员对2010年度企业所得税进行汇算清缴，相关财务资料和汇算清缴企业所得税计算情况如下：</w:t>
      </w:r>
    </w:p>
    <w:p>
      <w:pPr>
        <w:pStyle w:val="Normal9"/>
        <w:jc w:val="left"/>
        <w:rPr>
          <w:rFonts w:ascii="黑体" w:eastAsia="黑体" w:hAnsi="黑体" w:cs="黑体" w:hint="eastAsia"/>
          <w:sz w:val="24"/>
          <w:szCs w:val="28"/>
        </w:rPr>
      </w:pPr>
      <w:r>
        <w:rPr>
          <w:rFonts w:ascii="黑体" w:eastAsia="黑体" w:hAnsi="黑体" w:cs="黑体" w:hint="eastAsia"/>
          <w:sz w:val="24"/>
          <w:szCs w:val="28"/>
        </w:rPr>
        <w:t>（一）相关财务资料</w:t>
      </w:r>
    </w:p>
    <w:p>
      <w:pPr>
        <w:pStyle w:val="Normal9"/>
        <w:jc w:val="left"/>
        <w:rPr>
          <w:rFonts w:ascii="黑体" w:eastAsia="黑体" w:hAnsi="黑体" w:cs="黑体" w:hint="eastAsia"/>
          <w:sz w:val="24"/>
          <w:szCs w:val="28"/>
        </w:rPr>
      </w:pPr>
      <w:r>
        <w:rPr>
          <w:rFonts w:ascii="黑体" w:eastAsia="黑体" w:hAnsi="黑体" w:cs="黑体" w:hint="eastAsia"/>
          <w:sz w:val="24"/>
          <w:szCs w:val="28"/>
        </w:rPr>
        <w:t>（1）销售自行车取得不含增值税销售收入5950万元，同时收取包装费58．5万元。取得到期国债利息收入25万元、企业债券利息收入12万元。</w:t>
      </w:r>
    </w:p>
    <w:p>
      <w:pPr>
        <w:pStyle w:val="Normal9"/>
        <w:jc w:val="left"/>
        <w:rPr>
          <w:rFonts w:ascii="黑体" w:eastAsia="黑体" w:hAnsi="黑体" w:cs="黑体" w:hint="eastAsia"/>
          <w:sz w:val="24"/>
          <w:szCs w:val="28"/>
        </w:rPr>
      </w:pPr>
      <w:r>
        <w:rPr>
          <w:rFonts w:ascii="黑体" w:eastAsia="黑体" w:hAnsi="黑体" w:cs="黑体" w:hint="eastAsia"/>
          <w:sz w:val="24"/>
          <w:szCs w:val="28"/>
        </w:rPr>
        <w:t>（2）发生财务费用125万元，其中：支付银行借款利息54万元，支付因向某商场借款1000万元而发生的全年借款利息71万元。</w:t>
      </w:r>
    </w:p>
    <w:p>
      <w:pPr>
        <w:pStyle w:val="Normal9"/>
        <w:jc w:val="left"/>
        <w:rPr>
          <w:rFonts w:ascii="黑体" w:eastAsia="黑体" w:hAnsi="黑体" w:cs="黑体" w:hint="eastAsia"/>
          <w:sz w:val="24"/>
          <w:szCs w:val="28"/>
        </w:rPr>
      </w:pPr>
      <w:r>
        <w:rPr>
          <w:rFonts w:ascii="黑体" w:eastAsia="黑体" w:hAnsi="黑体" w:cs="黑体" w:hint="eastAsia"/>
          <w:sz w:val="24"/>
          <w:szCs w:val="28"/>
        </w:rPr>
        <w:t>（3）发生销售费用1400万元，其中：广告费用750万元，业务宣传费186万元。</w:t>
      </w:r>
    </w:p>
    <w:p>
      <w:pPr>
        <w:pStyle w:val="Normal9"/>
        <w:jc w:val="left"/>
        <w:rPr>
          <w:rFonts w:ascii="黑体" w:eastAsia="黑体" w:hAnsi="黑体" w:cs="黑体" w:hint="eastAsia"/>
          <w:sz w:val="24"/>
          <w:szCs w:val="28"/>
        </w:rPr>
      </w:pPr>
      <w:r>
        <w:rPr>
          <w:rFonts w:ascii="黑体" w:eastAsia="黑体" w:hAnsi="黑体" w:cs="黑体" w:hint="eastAsia"/>
          <w:sz w:val="24"/>
          <w:szCs w:val="28"/>
        </w:rPr>
        <w:t>（4）发生管理费用320万元，其中：业务招待费55万元，补充养老保险费62万元。</w:t>
      </w:r>
    </w:p>
    <w:p>
      <w:pPr>
        <w:pStyle w:val="Normal9"/>
        <w:jc w:val="left"/>
        <w:rPr>
          <w:rFonts w:ascii="黑体" w:eastAsia="黑体" w:hAnsi="黑体" w:cs="黑体" w:hint="eastAsia"/>
          <w:sz w:val="24"/>
          <w:szCs w:val="28"/>
        </w:rPr>
      </w:pPr>
      <w:r>
        <w:rPr>
          <w:rFonts w:ascii="黑体" w:eastAsia="黑体" w:hAnsi="黑体" w:cs="黑体" w:hint="eastAsia"/>
          <w:sz w:val="24"/>
          <w:szCs w:val="28"/>
        </w:rPr>
        <w:t>（5）发生营业外支出91万元，其中：通过具备法定资格的公益性社会组织捐赠85万元，用于该市所属某边远山区饮用水工程建设。当年因拖欠应缴税款，被税务机关加收滞纳金6万元。</w:t>
      </w:r>
    </w:p>
    <w:p>
      <w:pPr>
        <w:pStyle w:val="Normal9"/>
        <w:jc w:val="left"/>
        <w:rPr>
          <w:rFonts w:ascii="黑体" w:eastAsia="黑体" w:hAnsi="黑体" w:cs="黑体" w:hint="eastAsia"/>
          <w:sz w:val="24"/>
          <w:szCs w:val="28"/>
        </w:rPr>
      </w:pPr>
      <w:r>
        <w:rPr>
          <w:rFonts w:ascii="黑体" w:eastAsia="黑体" w:hAnsi="黑体" w:cs="黑体" w:hint="eastAsia"/>
          <w:sz w:val="24"/>
          <w:szCs w:val="28"/>
        </w:rPr>
        <w:t>已知：增值税税率为17％，企业所得税税率为25％，同期同类银行贷款年利率为6．1％，当年实际发放工资总额560万元（已计入相关成本费用）。</w:t>
      </w:r>
    </w:p>
    <w:p>
      <w:pPr>
        <w:pStyle w:val="Normal9"/>
        <w:jc w:val="left"/>
        <w:rPr>
          <w:rFonts w:ascii="黑体" w:eastAsia="黑体" w:hAnsi="黑体" w:cs="黑体" w:hint="eastAsia"/>
          <w:sz w:val="24"/>
          <w:szCs w:val="28"/>
        </w:rPr>
      </w:pPr>
      <w:r>
        <w:rPr>
          <w:rFonts w:ascii="黑体" w:eastAsia="黑体" w:hAnsi="黑体" w:cs="黑体" w:hint="eastAsia"/>
          <w:sz w:val="24"/>
          <w:szCs w:val="28"/>
        </w:rPr>
        <w:t>（二）汇算清缴企业所得税计算情况</w:t>
      </w:r>
    </w:p>
    <w:p>
      <w:pPr>
        <w:pStyle w:val="Normal9"/>
        <w:jc w:val="left"/>
        <w:rPr>
          <w:rFonts w:ascii="黑体" w:eastAsia="黑体" w:hAnsi="黑体" w:cs="黑体" w:hint="eastAsia"/>
          <w:sz w:val="24"/>
          <w:szCs w:val="28"/>
        </w:rPr>
      </w:pPr>
      <w:r>
        <w:rPr>
          <w:rFonts w:ascii="黑体" w:eastAsia="黑体" w:hAnsi="黑体" w:cs="黑体" w:hint="eastAsia"/>
          <w:sz w:val="24"/>
          <w:szCs w:val="28"/>
        </w:rPr>
        <w:t>（1）国债利息收入和企业债券利息收入调减应纳税所得额=25+12=37（万元）</w:t>
      </w:r>
    </w:p>
    <w:p>
      <w:pPr>
        <w:pStyle w:val="Normal9"/>
        <w:jc w:val="left"/>
        <w:rPr>
          <w:rFonts w:ascii="黑体" w:eastAsia="黑体" w:hAnsi="黑体" w:cs="黑体" w:hint="eastAsia"/>
          <w:sz w:val="24"/>
          <w:szCs w:val="28"/>
        </w:rPr>
      </w:pPr>
      <w:r>
        <w:rPr>
          <w:rFonts w:ascii="黑体" w:eastAsia="黑体" w:hAnsi="黑体" w:cs="黑体" w:hint="eastAsia"/>
          <w:sz w:val="24"/>
          <w:szCs w:val="28"/>
        </w:rPr>
        <w:t>（2）业务招待费调增应纳税所得额=55-55×60％=22（万元）</w:t>
      </w:r>
    </w:p>
    <w:p>
      <w:pPr>
        <w:pStyle w:val="Normal9"/>
        <w:jc w:val="left"/>
        <w:rPr>
          <w:rFonts w:ascii="黑体" w:eastAsia="黑体" w:hAnsi="黑体" w:cs="黑体" w:hint="eastAsia"/>
          <w:sz w:val="24"/>
          <w:szCs w:val="28"/>
        </w:rPr>
      </w:pPr>
      <w:r>
        <w:rPr>
          <w:rFonts w:ascii="黑体" w:eastAsia="黑体" w:hAnsi="黑体" w:cs="黑体" w:hint="eastAsia"/>
          <w:sz w:val="24"/>
          <w:szCs w:val="28"/>
        </w:rPr>
        <w:t>（3）补充养老保险费支出调增应纳税所得额=62-560×10％=6（万元）</w:t>
      </w:r>
    </w:p>
    <w:p>
      <w:pPr>
        <w:pStyle w:val="Normal9"/>
        <w:jc w:val="left"/>
        <w:rPr>
          <w:rFonts w:ascii="黑体" w:eastAsia="黑体" w:hAnsi="黑体" w:cs="黑体" w:hint="eastAsia"/>
          <w:sz w:val="24"/>
          <w:szCs w:val="28"/>
        </w:rPr>
      </w:pPr>
      <w:r>
        <w:rPr>
          <w:rFonts w:ascii="黑体" w:eastAsia="黑体" w:hAnsi="黑体" w:cs="黑体" w:hint="eastAsia"/>
          <w:sz w:val="24"/>
          <w:szCs w:val="28"/>
        </w:rPr>
        <w:t>（4）全年应纳税所得额=600-37+22+6=591（万元）</w:t>
      </w:r>
    </w:p>
    <w:p>
      <w:pPr>
        <w:pStyle w:val="Normal9"/>
        <w:jc w:val="left"/>
        <w:rPr>
          <w:rFonts w:ascii="黑体" w:eastAsia="黑体" w:hAnsi="黑体" w:cs="黑体" w:hint="eastAsia"/>
          <w:sz w:val="24"/>
          <w:szCs w:val="28"/>
        </w:rPr>
        <w:sectPr>
          <w:headerReference w:type="even" r:id="rId16"/>
          <w:headerReference w:type="default" r:id="rId17"/>
          <w:footerReference w:type="even" r:id="rId18"/>
          <w:headerReference w:type="first" r:id="rId19"/>
          <w:footerReference w:type="first" r:id="rId20"/>
          <w:type w:val="nextPage"/>
          <w:pgSz w:w="11906" w:h="16838"/>
          <w:pgMar w:top="720" w:right="720" w:bottom="720" w:left="720" w:header="851" w:footer="992" w:gutter="0"/>
          <w:pgNumType w:start="3"/>
          <w:cols w:num="1" w:space="720"/>
          <w:titlePg w:val="0"/>
          <w:docGrid w:type="lines" w:linePitch="312" w:charSpace="0"/>
        </w:sectPr>
      </w:pPr>
      <w:r>
        <w:rPr>
          <w:rFonts w:ascii="黑体" w:eastAsia="黑体" w:hAnsi="黑体" w:cs="黑体" w:hint="eastAsia"/>
          <w:sz w:val="24"/>
          <w:szCs w:val="28"/>
        </w:rPr>
        <w:t>（5）全年应纳企业所得税税额=591×25％=147．75（万元）</w:t>
      </w:r>
    </w:p>
    <w:p>
      <w:pPr>
        <w:pStyle w:val="Normal9"/>
        <w:jc w:val="left"/>
        <w:rPr>
          <w:rFonts w:ascii="黑体" w:eastAsia="黑体" w:hAnsi="黑体" w:cs="黑体" w:hint="eastAsia"/>
          <w:sz w:val="24"/>
          <w:szCs w:val="28"/>
        </w:rPr>
      </w:pPr>
      <w:r>
        <w:rPr>
          <w:rFonts w:ascii="黑体" w:eastAsia="黑体" w:hAnsi="黑体" w:cs="黑体" w:hint="eastAsia"/>
          <w:sz w:val="24"/>
          <w:szCs w:val="28"/>
        </w:rPr>
        <w:t>（6）当年应退企业所得税税额=150-147．75=2．25（万元）分析指出该自行车厂财务人员在汇算清缴企业所得税时存在的不合法之处，并说明理由。</w:t>
      </w:r>
    </w:p>
    <w:p>
      <w:pPr>
        <w:pStyle w:val="Normal9"/>
        <w:jc w:val="left"/>
        <w:rPr>
          <w:rFonts w:ascii="黑体" w:eastAsia="黑体" w:hAnsi="黑体" w:cs="黑体" w:hint="eastAsia"/>
          <w:sz w:val="24"/>
          <w:szCs w:val="28"/>
        </w:rPr>
      </w:pPr>
    </w:p>
    <w:p>
      <w:pPr>
        <w:pStyle w:val="Normal1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根据期限匹配融资策略，固定资产比重较大的上市公司主要应通过自发性负债、长期负债和发行股票筹集资金。</w:t>
      </w:r>
    </w:p>
    <w:p>
      <w:pPr>
        <w:pStyle w:val="Normal10"/>
        <w:jc w:val="left"/>
        <w:rPr>
          <w:rFonts w:ascii="黑体" w:eastAsia="黑体" w:hAnsi="黑体" w:cs="黑体" w:hint="eastAsia"/>
          <w:sz w:val="24"/>
          <w:szCs w:val="28"/>
        </w:rPr>
      </w:pPr>
    </w:p>
    <w:p>
      <w:pPr>
        <w:pStyle w:val="Normal1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张某于2013年3月成立一家个人独资企业；同年5月，该企业与甲公司签订一份买卖合同，根据合同，该企业应于同年8月支付给甲公司货款15万元，后该企业一直未支付该款项。2016年1月，该企业因故解散。2017年4月，甲公司起诉张某，要求张某偿还上述15万元债务。对甲公司的诉讼请求，人民法院可予以支持。</w:t>
      </w:r>
    </w:p>
    <w:p>
      <w:pPr>
        <w:pStyle w:val="Normal11"/>
        <w:jc w:val="left"/>
        <w:rPr>
          <w:rFonts w:ascii="黑体" w:eastAsia="黑体" w:hAnsi="黑体" w:cs="黑体" w:hint="eastAsia"/>
          <w:sz w:val="24"/>
          <w:szCs w:val="28"/>
        </w:rPr>
      </w:pPr>
    </w:p>
    <w:p>
      <w:pPr>
        <w:pStyle w:val="Normal1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2016年，甲公司以定向增发股票方式取得了乙公司的控制权，但不构成反向购买。本次投资前，甲公司不持有乙公司的股份，且与乙公司不存在关联方关系。甲、乙公司的会计政策和会计期间相一致。相关资料如下：</w:t>
      </w:r>
    </w:p>
    <w:p>
      <w:pPr>
        <w:pStyle w:val="Normal12"/>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资料一：1月1日，甲公司定向增发每股面值为I元、公允价值为12元的普通股股票1500万股，取得乙公司80%有表决权的股份，能够对乙公司实施控制，相关手续已于当日办妥。</w:t>
      </w:r>
    </w:p>
    <w:p>
      <w:pPr>
        <w:pStyle w:val="Normal12"/>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资料二：1月1日，乙公司可辨认净资产的账面价值为18000万元，其中，股本5000万元，资本公积3000万元，盈余公积1000万元，未分配利润9000万元。除销售中心业务大楼的公允价值高于账面价值2000万元外，其余各项可辨认资产、负债的公允价值与账面价值均相同。</w:t>
      </w:r>
    </w:p>
    <w:p>
      <w:pPr>
        <w:pStyle w:val="Normal12"/>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资料三：1月1日，甲、乙公司均预计销售中心业务大楼尚可使用10年，预计净残值为0，采用年限平均法计提折旧。</w:t>
      </w:r>
    </w:p>
    <w:p>
      <w:pPr>
        <w:pStyle w:val="Normal12"/>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资料四：5月1日，甲公司以赊销方式向乙公司销售一批成本为600万元的产品，销售价格为800万元。至当年年末，乙公司已将该批产品的60%出售给非关联方。</w:t>
      </w:r>
    </w:p>
    <w:p>
      <w:pPr>
        <w:pStyle w:val="Normal12"/>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资料五：12月31日，甲公司尚未收到乙公司所欠上述货款，对该应收账款计提了坏账准备16万元。</w:t>
      </w:r>
    </w:p>
    <w:p>
      <w:pPr>
        <w:pStyle w:val="Normal12"/>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资料六：乙公司2016年度实现的净利润为7000万元，计提盈余公积700万元，无其他利润分配事项。</w:t>
      </w:r>
    </w:p>
    <w:p>
      <w:pPr>
        <w:pStyle w:val="Normal12"/>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假设不考虑增值税、所得税等相关税费及其他因素。</w:t>
      </w:r>
    </w:p>
    <w:p>
      <w:pPr>
        <w:pStyle w:val="Normal12"/>
        <w:jc w:val="left"/>
        <w:rPr>
          <w:rFonts w:ascii="黑体" w:eastAsia="黑体" w:hAnsi="黑体" w:cs="黑体" w:hint="eastAsia"/>
          <w:sz w:val="24"/>
          <w:szCs w:val="28"/>
        </w:rPr>
      </w:pPr>
      <w:r>
        <w:rPr>
          <w:rFonts w:ascii="黑体" w:eastAsia="黑体" w:hAnsi="黑体" w:cs="黑体" w:hint="eastAsia"/>
          <w:sz w:val="24"/>
          <w:szCs w:val="28"/>
        </w:rPr>
        <w:t>分别计算甲公司2016年1月1日合并资产负债表中，商誉和少数股东权益的金额。</w:t>
      </w:r>
    </w:p>
    <w:p>
      <w:pPr>
        <w:pStyle w:val="Normal12"/>
        <w:jc w:val="left"/>
        <w:rPr>
          <w:rFonts w:ascii="黑体" w:eastAsia="黑体" w:hAnsi="黑体" w:cs="黑体" w:hint="eastAsia"/>
          <w:sz w:val="24"/>
          <w:szCs w:val="28"/>
        </w:rPr>
      </w:pPr>
    </w:p>
    <w:p>
      <w:pPr>
        <w:pStyle w:val="Normal1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由于信息不对称和预期差异，投资者会把股票回购当做公司认为其股票价格被高估的信号。</w:t>
      </w:r>
    </w:p>
    <w:p>
      <w:pPr>
        <w:pStyle w:val="Normal13"/>
        <w:jc w:val="left"/>
        <w:rPr>
          <w:rFonts w:ascii="黑体" w:eastAsia="黑体" w:hAnsi="黑体" w:cs="黑体" w:hint="eastAsia"/>
          <w:sz w:val="24"/>
          <w:szCs w:val="28"/>
        </w:rPr>
      </w:pPr>
    </w:p>
    <w:p>
      <w:pPr>
        <w:pStyle w:val="Normal1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丁公司2013年12月31日总资产为600000元，其中流动资产为450000元，非流动资产为150000元；股东权益为400000元。丁公司年度运营分析报告显示，2013年的存货周转次数为8次，营业成本为500000元，净资产收益率为20％，非经营净收益为-20000元。期末的流动比率为2．5。</w:t>
      </w:r>
    </w:p>
    <w:p>
      <w:pPr>
        <w:pStyle w:val="Normal14"/>
        <w:jc w:val="left"/>
        <w:rPr>
          <w:rFonts w:ascii="黑体" w:eastAsia="黑体" w:hAnsi="黑体" w:cs="黑体" w:hint="eastAsia"/>
          <w:sz w:val="24"/>
          <w:szCs w:val="28"/>
        </w:rPr>
      </w:pPr>
      <w:r>
        <w:rPr>
          <w:rFonts w:ascii="黑体" w:eastAsia="黑体" w:hAnsi="黑体" w:cs="黑体" w:hint="eastAsia"/>
          <w:sz w:val="24"/>
          <w:szCs w:val="28"/>
        </w:rPr>
        <w:t>计算2013年年末流动负债。</w:t>
      </w:r>
    </w:p>
    <w:p>
      <w:pPr>
        <w:pStyle w:val="Normal14"/>
        <w:jc w:val="left"/>
        <w:rPr>
          <w:rFonts w:ascii="黑体" w:eastAsia="黑体" w:hAnsi="黑体" w:cs="黑体" w:hint="eastAsia"/>
          <w:sz w:val="24"/>
          <w:szCs w:val="28"/>
        </w:rPr>
      </w:pPr>
    </w:p>
    <w:p>
      <w:pPr>
        <w:pStyle w:val="Normal1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8月20日，甲公司与乙公司签订买卖合同，约定由甲公司提供6台德国产接触器，价款总额为10万元，乙公司预付货款2万元，其余款项在收到货物后15日内付清；合同生效后30日内交付货物，甲公司负责运输，但双方对运输费用的承担没有约定。</w:t>
      </w:r>
    </w:p>
    <w:p>
      <w:pPr>
        <w:pStyle w:val="Normal15"/>
        <w:jc w:val="left"/>
        <w:rPr>
          <w:rFonts w:ascii="黑体" w:eastAsia="黑体" w:hAnsi="黑体" w:cs="黑体" w:hint="eastAsia"/>
          <w:sz w:val="24"/>
          <w:szCs w:val="28"/>
        </w:rPr>
      </w:pPr>
      <w:r>
        <w:rPr>
          <w:rFonts w:ascii="黑体" w:eastAsia="黑体" w:hAnsi="黑体" w:cs="黑体" w:hint="eastAsia"/>
          <w:sz w:val="24"/>
          <w:szCs w:val="28"/>
        </w:rPr>
        <w:t>合同签订后，乙公司于8月25日支付货款2万元。甲公司分别于9月2日、3日、6日通过中国铁路小件货物快运先后向乙公司发运3台、2台、1台接触器。9月15日，乙公司致电甲公司，只接到5台接触器，且其中9月3日发运的2台接触器相关技术指标不符合要求，根本无法使用。经查，甲公司于9月6日发运的1台接触器因遇不可抗力在运输途中灭失。乙公司能否以其中2台接触器相关技术指标不符合要求，根本无法使用为由，要求解除整个买卖合同？简要说明理由。</w:t>
      </w:r>
    </w:p>
    <w:p>
      <w:pPr>
        <w:pStyle w:val="Normal15"/>
        <w:jc w:val="left"/>
        <w:rPr>
          <w:rFonts w:ascii="黑体" w:eastAsia="黑体" w:hAnsi="黑体" w:cs="黑体" w:hint="eastAsia"/>
          <w:sz w:val="24"/>
          <w:szCs w:val="28"/>
        </w:rPr>
      </w:pPr>
    </w:p>
    <w:p>
      <w:pPr>
        <w:pStyle w:val="Normal16"/>
        <w:jc w:val="left"/>
        <w:rPr>
          <w:rFonts w:ascii="黑体" w:eastAsia="黑体" w:hAnsi="黑体" w:cs="黑体" w:hint="eastAsia"/>
          <w:sz w:val="24"/>
          <w:szCs w:val="28"/>
        </w:rPr>
        <w:sectPr>
          <w:headerReference w:type="even" r:id="rId21"/>
          <w:headerReference w:type="default" r:id="rId22"/>
          <w:footerReference w:type="even" r:id="rId23"/>
          <w:headerReference w:type="first" r:id="rId24"/>
          <w:footerReference w:type="first" r:id="rId25"/>
          <w:type w:val="nextPage"/>
          <w:pgSz w:w="11906" w:h="16838"/>
          <w:pgMar w:top="720" w:right="720" w:bottom="720" w:left="720" w:header="851" w:footer="992" w:gutter="0"/>
          <w:pgNumType w:start="4"/>
          <w:cols w:num="1" w:space="720"/>
          <w:titlePg w:val="0"/>
          <w:docGrid w:type="lines" w:linePitch="312" w:charSpace="0"/>
        </w:sectPr>
      </w:pPr>
      <w:r>
        <w:rPr>
          <w:rFonts w:ascii="黑体" w:eastAsia="黑体" w:hAnsi="黑体" w:cs="黑体" w:hint="eastAsia"/>
          <w:sz w:val="24"/>
          <w:szCs w:val="28"/>
        </w:rPr>
        <w:t>17.</w:t>
      </w:r>
    </w:p>
    <w:p>
      <w:pPr>
        <w:pStyle w:val="Normal16"/>
        <w:jc w:val="left"/>
        <w:rPr>
          <w:rFonts w:ascii="黑体" w:eastAsia="黑体" w:hAnsi="黑体" w:cs="黑体" w:hint="eastAsia"/>
          <w:sz w:val="24"/>
          <w:szCs w:val="28"/>
        </w:rPr>
      </w:pPr>
      <w:r>
        <w:rPr>
          <w:rFonts w:ascii="黑体" w:eastAsia="黑体" w:hAnsi="黑体" w:cs="黑体" w:hint="eastAsia"/>
          <w:sz w:val="24"/>
          <w:szCs w:val="28"/>
        </w:rPr>
        <w:t>某企业只生产和销售A产品，其总成本习性模型为Y=10000+3×。该企业2017年度A产品销售量为10000件，每件售价为5元；按市场预测2018年A产品的销售数量将增长10％。</w:t>
      </w:r>
    </w:p>
    <w:p>
      <w:pPr>
        <w:pStyle w:val="Normal16"/>
        <w:jc w:val="left"/>
        <w:rPr>
          <w:rFonts w:ascii="黑体" w:eastAsia="黑体" w:hAnsi="黑体" w:cs="黑体" w:hint="eastAsia"/>
          <w:sz w:val="24"/>
          <w:szCs w:val="28"/>
        </w:rPr>
      </w:pPr>
      <w:r>
        <w:rPr>
          <w:rFonts w:ascii="黑体" w:eastAsia="黑体" w:hAnsi="黑体" w:cs="黑体" w:hint="eastAsia"/>
          <w:sz w:val="24"/>
          <w:szCs w:val="28"/>
        </w:rPr>
        <w:t>计算2018年的经营杠杆系数。</w:t>
      </w:r>
    </w:p>
    <w:p>
      <w:pPr>
        <w:pStyle w:val="Normal16"/>
        <w:jc w:val="left"/>
        <w:rPr>
          <w:rFonts w:ascii="黑体" w:eastAsia="黑体" w:hAnsi="黑体" w:cs="黑体" w:hint="eastAsia"/>
          <w:sz w:val="24"/>
          <w:szCs w:val="28"/>
        </w:rPr>
      </w:pPr>
    </w:p>
    <w:p>
      <w:pPr>
        <w:pStyle w:val="Normal1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企业已确认收入的商品发生销售退回时（非资产负债表日后事项），其冲减的销售收入应在退回当期记入（）科目。</w:t>
      </w:r>
    </w:p>
    <w:p>
      <w:pPr>
        <w:pStyle w:val="Normal17"/>
        <w:jc w:val="left"/>
        <w:rPr>
          <w:rFonts w:ascii="黑体" w:eastAsia="黑体" w:hAnsi="黑体" w:cs="黑体" w:hint="eastAsia"/>
          <w:sz w:val="24"/>
          <w:szCs w:val="28"/>
        </w:rPr>
      </w:pPr>
      <w:r>
        <w:rPr>
          <w:rFonts w:ascii="黑体" w:eastAsia="黑体" w:hAnsi="黑体" w:cs="黑体" w:hint="eastAsia"/>
          <w:sz w:val="24"/>
          <w:szCs w:val="28"/>
        </w:rPr>
        <w:t>A、以前年度损益调整</w:t>
      </w:r>
    </w:p>
    <w:p>
      <w:pPr>
        <w:pStyle w:val="Normal17"/>
        <w:jc w:val="left"/>
        <w:rPr>
          <w:rFonts w:ascii="黑体" w:eastAsia="黑体" w:hAnsi="黑体" w:cs="黑体" w:hint="eastAsia"/>
          <w:sz w:val="24"/>
          <w:szCs w:val="28"/>
        </w:rPr>
      </w:pPr>
      <w:r>
        <w:rPr>
          <w:rFonts w:ascii="黑体" w:eastAsia="黑体" w:hAnsi="黑体" w:cs="黑体" w:hint="eastAsia"/>
          <w:sz w:val="24"/>
          <w:szCs w:val="28"/>
        </w:rPr>
        <w:t>B、营业外支出</w:t>
      </w:r>
    </w:p>
    <w:p>
      <w:pPr>
        <w:pStyle w:val="Normal17"/>
        <w:jc w:val="left"/>
        <w:rPr>
          <w:rFonts w:ascii="黑体" w:eastAsia="黑体" w:hAnsi="黑体" w:cs="黑体" w:hint="eastAsia"/>
          <w:sz w:val="24"/>
          <w:szCs w:val="28"/>
        </w:rPr>
      </w:pPr>
      <w:r>
        <w:rPr>
          <w:rFonts w:ascii="黑体" w:eastAsia="黑体" w:hAnsi="黑体" w:cs="黑体" w:hint="eastAsia"/>
          <w:sz w:val="24"/>
          <w:szCs w:val="28"/>
        </w:rPr>
        <w:t>C、营业外收入</w:t>
      </w:r>
    </w:p>
    <w:p>
      <w:pPr>
        <w:pStyle w:val="Normal17"/>
        <w:jc w:val="left"/>
        <w:rPr>
          <w:rFonts w:ascii="黑体" w:eastAsia="黑体" w:hAnsi="黑体" w:cs="黑体" w:hint="eastAsia"/>
          <w:sz w:val="24"/>
          <w:szCs w:val="28"/>
        </w:rPr>
      </w:pPr>
      <w:r>
        <w:rPr>
          <w:rFonts w:ascii="黑体" w:eastAsia="黑体" w:hAnsi="黑体" w:cs="黑体" w:hint="eastAsia"/>
          <w:sz w:val="24"/>
          <w:szCs w:val="28"/>
        </w:rPr>
        <w:t>D、主营业务收入</w:t>
      </w:r>
    </w:p>
    <w:p>
      <w:pPr>
        <w:pStyle w:val="Normal17"/>
        <w:jc w:val="left"/>
        <w:rPr>
          <w:rFonts w:ascii="黑体" w:eastAsia="黑体" w:hAnsi="黑体" w:cs="黑体" w:hint="eastAsia"/>
          <w:sz w:val="24"/>
          <w:szCs w:val="28"/>
        </w:rPr>
      </w:pPr>
    </w:p>
    <w:p>
      <w:pPr>
        <w:pStyle w:val="Normal1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8月20日，甲公司与乙公司签订买卖合同，约定由甲公司提供6台德国产接触器，价款总额为10万元，乙公司预付货款2万元，其余款项在收到货物后15日内付清；合同生效后30日内交付货物，甲公司负责运输，但双方对运输费用的承担没有约定。</w:t>
      </w:r>
    </w:p>
    <w:p>
      <w:pPr>
        <w:pStyle w:val="Normal18"/>
        <w:jc w:val="left"/>
        <w:rPr>
          <w:rFonts w:ascii="黑体" w:eastAsia="黑体" w:hAnsi="黑体" w:cs="黑体" w:hint="eastAsia"/>
          <w:sz w:val="24"/>
          <w:szCs w:val="28"/>
        </w:rPr>
      </w:pPr>
      <w:r>
        <w:rPr>
          <w:rFonts w:ascii="黑体" w:eastAsia="黑体" w:hAnsi="黑体" w:cs="黑体" w:hint="eastAsia"/>
          <w:sz w:val="24"/>
          <w:szCs w:val="28"/>
        </w:rPr>
        <w:t>合同签订后，乙公司于8月25日支付货款2万元。甲公司分别于9月2日、3日、6日通过中国铁路小件货物快运先后向乙公司发运3台、2台、1台接触器。9月15日，乙公司致电甲公司，只接到5台接触器，且其中9月3日发运的2台接触器相关技术指标不符合要求，根本无法使用。经查，甲公司于9月6日发运的1台接触器因遇不可抗力在运输途中灭失。如果甲公司和乙公司就通过中国铁路小件货物快运发货产生的费用无法达成补充协议，也无法按照合同有关条款或者交易习惯确定，甲公司是否有权要求乙公司承担该费用？简要说明理由。</w:t>
      </w:r>
    </w:p>
    <w:p>
      <w:pPr>
        <w:pStyle w:val="Normal18"/>
        <w:jc w:val="left"/>
        <w:rPr>
          <w:rFonts w:ascii="黑体" w:eastAsia="黑体" w:hAnsi="黑体" w:cs="黑体" w:hint="eastAsia"/>
          <w:sz w:val="24"/>
          <w:szCs w:val="28"/>
        </w:rPr>
      </w:pPr>
    </w:p>
    <w:p>
      <w:pPr>
        <w:pStyle w:val="Normal1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根据企业所得税法律制度的规定，下列各项中，属于不征税收入的是（）。</w:t>
      </w:r>
    </w:p>
    <w:p>
      <w:pPr>
        <w:pStyle w:val="Normal19"/>
        <w:jc w:val="left"/>
        <w:rPr>
          <w:rFonts w:ascii="黑体" w:eastAsia="黑体" w:hAnsi="黑体" w:cs="黑体" w:hint="eastAsia"/>
          <w:sz w:val="24"/>
          <w:szCs w:val="28"/>
        </w:rPr>
      </w:pPr>
      <w:r>
        <w:rPr>
          <w:rFonts w:ascii="黑体" w:eastAsia="黑体" w:hAnsi="黑体" w:cs="黑体" w:hint="eastAsia"/>
          <w:sz w:val="24"/>
          <w:szCs w:val="28"/>
        </w:rPr>
        <w:t>A、接受捐赠收入</w:t>
      </w:r>
    </w:p>
    <w:p>
      <w:pPr>
        <w:pStyle w:val="Normal19"/>
        <w:jc w:val="left"/>
        <w:rPr>
          <w:rFonts w:ascii="黑体" w:eastAsia="黑体" w:hAnsi="黑体" w:cs="黑体" w:hint="eastAsia"/>
          <w:sz w:val="24"/>
          <w:szCs w:val="28"/>
        </w:rPr>
      </w:pPr>
      <w:r>
        <w:rPr>
          <w:rFonts w:ascii="黑体" w:eastAsia="黑体" w:hAnsi="黑体" w:cs="黑体" w:hint="eastAsia"/>
          <w:sz w:val="24"/>
          <w:szCs w:val="28"/>
        </w:rPr>
        <w:t>B、国债利息收入</w:t>
      </w:r>
    </w:p>
    <w:p>
      <w:pPr>
        <w:pStyle w:val="Normal19"/>
        <w:jc w:val="left"/>
        <w:rPr>
          <w:rFonts w:ascii="黑体" w:eastAsia="黑体" w:hAnsi="黑体" w:cs="黑体" w:hint="eastAsia"/>
          <w:sz w:val="24"/>
          <w:szCs w:val="28"/>
        </w:rPr>
      </w:pPr>
      <w:r>
        <w:rPr>
          <w:rFonts w:ascii="黑体" w:eastAsia="黑体" w:hAnsi="黑体" w:cs="黑体" w:hint="eastAsia"/>
          <w:sz w:val="24"/>
          <w:szCs w:val="28"/>
        </w:rPr>
        <w:t>C、销售货物收入</w:t>
      </w:r>
    </w:p>
    <w:p>
      <w:pPr>
        <w:pStyle w:val="Normal19"/>
        <w:jc w:val="left"/>
        <w:rPr>
          <w:rFonts w:ascii="黑体" w:eastAsia="黑体" w:hAnsi="黑体" w:cs="黑体" w:hint="eastAsia"/>
          <w:sz w:val="24"/>
          <w:szCs w:val="28"/>
        </w:rPr>
      </w:pPr>
      <w:r>
        <w:rPr>
          <w:rFonts w:ascii="黑体" w:eastAsia="黑体" w:hAnsi="黑体" w:cs="黑体" w:hint="eastAsia"/>
          <w:sz w:val="24"/>
          <w:szCs w:val="28"/>
        </w:rPr>
        <w:t>D、财政拨款</w:t>
      </w:r>
    </w:p>
    <w:p>
      <w:pPr>
        <w:pStyle w:val="Normal19"/>
        <w:jc w:val="left"/>
        <w:rPr>
          <w:rFonts w:ascii="黑体" w:eastAsia="黑体" w:hAnsi="黑体" w:cs="黑体" w:hint="eastAsia"/>
          <w:sz w:val="24"/>
          <w:szCs w:val="28"/>
        </w:rPr>
      </w:pPr>
    </w:p>
    <w:p>
      <w:pPr>
        <w:pStyle w:val="Normal2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丁公司是一家处于初创阶段的电子产品生产企业，相关资料如下：</w:t>
      </w:r>
    </w:p>
    <w:p>
      <w:pPr>
        <w:pStyle w:val="Normal20"/>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资料一：2016年开始生产和销售P产品，售价为0．9万元／件，全年生产20000件，产销平衡。丁公司适用的所得税税率为25％。</w:t>
      </w:r>
    </w:p>
    <w:p>
      <w:pPr>
        <w:pStyle w:val="Normal20"/>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资料二：2016年财务报表部分数据如下表所示。</w:t>
      </w:r>
    </w:p>
    <w:p>
      <w:pPr>
        <w:pStyle w:val="Normal20"/>
        <w:jc w:val="left"/>
        <w:rPr>
          <w:rFonts w:ascii="黑体" w:eastAsia="黑体" w:hAnsi="黑体" w:cs="黑体" w:hint="eastAsia"/>
          <w:sz w:val="24"/>
          <w:szCs w:val="28"/>
        </w:rPr>
      </w:pPr>
      <w:r>
        <w:rPr>
          <w:rFonts w:ascii="黑体" w:eastAsia="黑体" w:hAnsi="黑体" w:cs="黑体" w:hint="eastAsia"/>
          <w:sz w:val="24"/>
          <w:szCs w:val="28"/>
        </w:rPr>
        <w:tab/>
      </w:r>
      <w:r>
        <w:drawing>
          <wp:inline distT="0" distB="0" distL="0" distR="0">
            <wp:extent cx="5515554" cy="2200506"/>
            <wp:effectExtent l="0" t="0" r="0" b="0"/>
            <wp:docPr id="35" name="_x0000_i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_x0000_i0035"/>
                    <pic:cNvPicPr/>
                  </pic:nvPicPr>
                  <pic:blipFill>
                    <a:blip xmlns:r="http://schemas.openxmlformats.org/officeDocument/2006/relationships" r:embed="rId26"/>
                    <a:stretch>
                      <a:fillRect/>
                    </a:stretch>
                  </pic:blipFill>
                  <pic:spPr>
                    <a:xfrm>
                      <a:off x="0" y="0"/>
                      <a:ext cx="5515554" cy="2200506"/>
                    </a:xfrm>
                    <a:prstGeom prst="rect">
                      <a:avLst/>
                    </a:prstGeom>
                  </pic:spPr>
                </pic:pic>
              </a:graphicData>
            </a:graphic>
          </wp:inline>
        </w:drawing>
      </w:r>
    </w:p>
    <w:p>
      <w:pPr>
        <w:pStyle w:val="Normal20"/>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资料三：所在行业的相关财务指标平均水平。总资产净利率为4％。总资产周转次数为0．5次，营业净利率为8％，权益乘数为2。</w:t>
      </w:r>
    </w:p>
    <w:p>
      <w:pPr>
        <w:pStyle w:val="Normal20"/>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资料四：公司2016年营业成本中固定成本为4000万元。变动成本为7000万元，期间费用中固定成本为2000万元，变动成本为1000万元。利息费用为1000万元，假设2017年成本性态不变。</w:t>
      </w:r>
    </w:p>
    <w:p>
      <w:pPr>
        <w:pStyle w:val="Normal20"/>
        <w:jc w:val="left"/>
        <w:rPr>
          <w:rFonts w:ascii="黑体" w:eastAsia="黑体" w:hAnsi="黑体" w:cs="黑体" w:hint="eastAsia"/>
          <w:sz w:val="24"/>
          <w:szCs w:val="28"/>
        </w:rPr>
        <w:sectPr>
          <w:headerReference w:type="even" r:id="rId27"/>
          <w:headerReference w:type="default" r:id="rId28"/>
          <w:footerReference w:type="even" r:id="rId29"/>
          <w:headerReference w:type="first" r:id="rId30"/>
          <w:footerReference w:type="first" r:id="rId31"/>
          <w:type w:val="nextPage"/>
          <w:pgSz w:w="11906" w:h="16838"/>
          <w:pgMar w:top="720" w:right="720" w:bottom="720" w:left="720" w:header="851" w:footer="992" w:gutter="0"/>
          <w:pgNumType w:start="5"/>
          <w:cols w:num="1" w:space="720"/>
          <w:titlePg w:val="0"/>
          <w:docGrid w:type="lines" w:linePitch="312" w:charSpace="0"/>
        </w:sectPr>
      </w:pPr>
      <w:r>
        <w:rPr>
          <w:rFonts w:ascii="黑体" w:eastAsia="黑体" w:hAnsi="黑体" w:cs="黑体" w:hint="eastAsia"/>
          <w:sz w:val="24"/>
          <w:szCs w:val="28"/>
        </w:rPr>
        <w:tab/>
      </w:r>
      <w:r>
        <w:rPr>
          <w:rFonts w:ascii="黑体" w:eastAsia="黑体" w:hAnsi="黑体" w:cs="黑体" w:hint="eastAsia"/>
          <w:sz w:val="24"/>
          <w:szCs w:val="28"/>
        </w:rPr>
        <w:t>资料五：公司2017年目标净利润为2640万元，预计利息费用为1200万元。</w:t>
      </w:r>
    </w:p>
    <w:p>
      <w:pPr>
        <w:pStyle w:val="Normal20"/>
        <w:jc w:val="left"/>
        <w:rPr>
          <w:rFonts w:ascii="黑体" w:eastAsia="黑体" w:hAnsi="黑体" w:cs="黑体" w:hint="eastAsia"/>
          <w:sz w:val="24"/>
          <w:szCs w:val="28"/>
        </w:rPr>
      </w:pPr>
      <w:r>
        <w:rPr>
          <w:rFonts w:ascii="黑体" w:eastAsia="黑体" w:hAnsi="黑体" w:cs="黑体" w:hint="eastAsia"/>
          <w:sz w:val="24"/>
          <w:szCs w:val="28"/>
        </w:rPr>
        <w:t>根据上一题的计算结果和资料三，完成下列要求：①依据所在行业平均水平对丁公司偿债能力和营运能力进行评价；②说明丁公司总资产净利率与行业平均水平差异形成的原因。</w:t>
      </w:r>
    </w:p>
    <w:p>
      <w:pPr>
        <w:pStyle w:val="Normal20"/>
        <w:jc w:val="left"/>
        <w:rPr>
          <w:rFonts w:ascii="黑体" w:eastAsia="黑体" w:hAnsi="黑体" w:cs="黑体" w:hint="eastAsia"/>
          <w:sz w:val="24"/>
          <w:szCs w:val="28"/>
        </w:rPr>
      </w:pPr>
    </w:p>
    <w:p>
      <w:pPr>
        <w:pStyle w:val="Normal2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下列属于利用税收优惠政策减少应纳税额的方法有（）。</w:t>
      </w:r>
    </w:p>
    <w:p>
      <w:pPr>
        <w:pStyle w:val="Normal21"/>
        <w:jc w:val="left"/>
        <w:rPr>
          <w:rFonts w:ascii="黑体" w:eastAsia="黑体" w:hAnsi="黑体" w:cs="黑体" w:hint="eastAsia"/>
          <w:sz w:val="24"/>
          <w:szCs w:val="28"/>
        </w:rPr>
      </w:pPr>
      <w:r>
        <w:rPr>
          <w:rFonts w:ascii="黑体" w:eastAsia="黑体" w:hAnsi="黑体" w:cs="黑体" w:hint="eastAsia"/>
          <w:sz w:val="24"/>
          <w:szCs w:val="28"/>
        </w:rPr>
        <w:t>A、利用税率差异</w:t>
      </w:r>
    </w:p>
    <w:p>
      <w:pPr>
        <w:pStyle w:val="Normal21"/>
        <w:jc w:val="left"/>
        <w:rPr>
          <w:rFonts w:ascii="黑体" w:eastAsia="黑体" w:hAnsi="黑体" w:cs="黑体" w:hint="eastAsia"/>
          <w:sz w:val="24"/>
          <w:szCs w:val="28"/>
        </w:rPr>
      </w:pPr>
      <w:r>
        <w:rPr>
          <w:rFonts w:ascii="黑体" w:eastAsia="黑体" w:hAnsi="黑体" w:cs="黑体" w:hint="eastAsia"/>
          <w:sz w:val="24"/>
          <w:szCs w:val="28"/>
        </w:rPr>
        <w:t>B、利用退税政策</w:t>
      </w:r>
    </w:p>
    <w:p>
      <w:pPr>
        <w:pStyle w:val="Normal21"/>
        <w:jc w:val="left"/>
        <w:rPr>
          <w:rFonts w:ascii="黑体" w:eastAsia="黑体" w:hAnsi="黑体" w:cs="黑体" w:hint="eastAsia"/>
          <w:sz w:val="24"/>
          <w:szCs w:val="28"/>
        </w:rPr>
      </w:pPr>
      <w:r>
        <w:rPr>
          <w:rFonts w:ascii="黑体" w:eastAsia="黑体" w:hAnsi="黑体" w:cs="黑体" w:hint="eastAsia"/>
          <w:sz w:val="24"/>
          <w:szCs w:val="28"/>
        </w:rPr>
        <w:t>C、转让定价筹划</w:t>
      </w:r>
    </w:p>
    <w:p>
      <w:pPr>
        <w:pStyle w:val="Normal21"/>
        <w:jc w:val="left"/>
        <w:rPr>
          <w:rFonts w:ascii="黑体" w:eastAsia="黑体" w:hAnsi="黑体" w:cs="黑体" w:hint="eastAsia"/>
          <w:sz w:val="24"/>
          <w:szCs w:val="28"/>
        </w:rPr>
      </w:pPr>
      <w:r>
        <w:rPr>
          <w:rFonts w:ascii="黑体" w:eastAsia="黑体" w:hAnsi="黑体" w:cs="黑体" w:hint="eastAsia"/>
          <w:sz w:val="24"/>
          <w:szCs w:val="28"/>
        </w:rPr>
        <w:t>D、递延纳税</w:t>
      </w:r>
    </w:p>
    <w:p>
      <w:pPr>
        <w:pStyle w:val="Normal21"/>
        <w:jc w:val="left"/>
        <w:rPr>
          <w:rFonts w:ascii="黑体" w:eastAsia="黑体" w:hAnsi="黑体" w:cs="黑体" w:hint="eastAsia"/>
          <w:sz w:val="24"/>
          <w:szCs w:val="28"/>
        </w:rPr>
      </w:pPr>
    </w:p>
    <w:p>
      <w:pPr>
        <w:pStyle w:val="Normal2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企业选定记账本位币时，应当考虑的因素有（）。</w:t>
      </w:r>
    </w:p>
    <w:p>
      <w:pPr>
        <w:pStyle w:val="Normal22"/>
        <w:jc w:val="left"/>
        <w:rPr>
          <w:rFonts w:ascii="黑体" w:eastAsia="黑体" w:hAnsi="黑体" w:cs="黑体" w:hint="eastAsia"/>
          <w:sz w:val="24"/>
          <w:szCs w:val="28"/>
        </w:rPr>
      </w:pPr>
      <w:r>
        <w:rPr>
          <w:rFonts w:ascii="黑体" w:eastAsia="黑体" w:hAnsi="黑体" w:cs="黑体" w:hint="eastAsia"/>
          <w:sz w:val="24"/>
          <w:szCs w:val="28"/>
        </w:rPr>
        <w:t>A、该货币主要影响商品和劳务的销售价格，通常以该货币进行商品和劳务的计价和结算</w:t>
      </w:r>
    </w:p>
    <w:p>
      <w:pPr>
        <w:pStyle w:val="Normal22"/>
        <w:jc w:val="left"/>
        <w:rPr>
          <w:rFonts w:ascii="黑体" w:eastAsia="黑体" w:hAnsi="黑体" w:cs="黑体" w:hint="eastAsia"/>
          <w:sz w:val="24"/>
          <w:szCs w:val="28"/>
        </w:rPr>
      </w:pPr>
      <w:r>
        <w:rPr>
          <w:rFonts w:ascii="黑体" w:eastAsia="黑体" w:hAnsi="黑体" w:cs="黑体" w:hint="eastAsia"/>
          <w:sz w:val="24"/>
          <w:szCs w:val="28"/>
        </w:rPr>
        <w:t>B、该货币主要影响商品和劳务所需人工、材料和其他费用，通常以该货币进行上述费用的计价和结算</w:t>
      </w:r>
    </w:p>
    <w:p>
      <w:pPr>
        <w:pStyle w:val="Normal22"/>
        <w:jc w:val="left"/>
        <w:rPr>
          <w:rFonts w:ascii="黑体" w:eastAsia="黑体" w:hAnsi="黑体" w:cs="黑体" w:hint="eastAsia"/>
          <w:sz w:val="24"/>
          <w:szCs w:val="28"/>
        </w:rPr>
      </w:pPr>
      <w:r>
        <w:rPr>
          <w:rFonts w:ascii="黑体" w:eastAsia="黑体" w:hAnsi="黑体" w:cs="黑体" w:hint="eastAsia"/>
          <w:sz w:val="24"/>
          <w:szCs w:val="28"/>
        </w:rPr>
        <w:t>C、融资活动获得的货币以及保存从经营活动中收取款项所使用的货币</w:t>
      </w:r>
    </w:p>
    <w:p>
      <w:pPr>
        <w:pStyle w:val="Normal22"/>
        <w:jc w:val="left"/>
        <w:rPr>
          <w:rFonts w:ascii="黑体" w:eastAsia="黑体" w:hAnsi="黑体" w:cs="黑体" w:hint="eastAsia"/>
          <w:sz w:val="24"/>
          <w:szCs w:val="28"/>
        </w:rPr>
      </w:pPr>
      <w:r>
        <w:rPr>
          <w:rFonts w:ascii="黑体" w:eastAsia="黑体" w:hAnsi="黑体" w:cs="黑体" w:hint="eastAsia"/>
          <w:sz w:val="24"/>
          <w:szCs w:val="28"/>
        </w:rPr>
        <w:t>D、影响当期汇兑差额数额的大小</w:t>
      </w:r>
    </w:p>
    <w:p>
      <w:pPr>
        <w:pStyle w:val="Normal22"/>
        <w:jc w:val="left"/>
        <w:rPr>
          <w:rFonts w:ascii="黑体" w:eastAsia="黑体" w:hAnsi="黑体" w:cs="黑体" w:hint="eastAsia"/>
          <w:sz w:val="24"/>
          <w:szCs w:val="28"/>
        </w:rPr>
      </w:pPr>
    </w:p>
    <w:p>
      <w:pPr>
        <w:pStyle w:val="Normal2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2017年1月1日，甲公司长期股权投资账面价值为2000万元。当日，甲公司将持有的乙公司80%股权中的一半以1200万元出售给非关联方，剩余对乙公司的股权投资具有重大影响。甲公司原取得乙公司股权时，乙公司可辨认净资产的账面价值为2200万元，各项可辨认资产、负债的公允价值与其账面价值相同。自甲公司取得乙公司股权投资至处置投资日，乙公司实现净利润1500万元，增加其他综合收益300万元。假定不考虑增值税等相关税费及其他因素。下列关于2017年1月1日甲公司个别财务报表中对长期股权投资的会计处理表述中，正确的有（）。</w:t>
      </w:r>
    </w:p>
    <w:p>
      <w:pPr>
        <w:pStyle w:val="Normal23"/>
        <w:jc w:val="left"/>
        <w:rPr>
          <w:rFonts w:ascii="黑体" w:eastAsia="黑体" w:hAnsi="黑体" w:cs="黑体" w:hint="eastAsia"/>
          <w:sz w:val="24"/>
          <w:szCs w:val="28"/>
        </w:rPr>
      </w:pPr>
      <w:r>
        <w:rPr>
          <w:rFonts w:ascii="黑体" w:eastAsia="黑体" w:hAnsi="黑体" w:cs="黑体" w:hint="eastAsia"/>
          <w:sz w:val="24"/>
          <w:szCs w:val="28"/>
        </w:rPr>
        <w:t>A、增加盈余公积60万元</w:t>
      </w:r>
    </w:p>
    <w:p>
      <w:pPr>
        <w:pStyle w:val="Normal23"/>
        <w:jc w:val="left"/>
        <w:rPr>
          <w:rFonts w:ascii="黑体" w:eastAsia="黑体" w:hAnsi="黑体" w:cs="黑体" w:hint="eastAsia"/>
          <w:sz w:val="24"/>
          <w:szCs w:val="28"/>
        </w:rPr>
      </w:pPr>
      <w:r>
        <w:rPr>
          <w:rFonts w:ascii="黑体" w:eastAsia="黑体" w:hAnsi="黑体" w:cs="黑体" w:hint="eastAsia"/>
          <w:sz w:val="24"/>
          <w:szCs w:val="28"/>
        </w:rPr>
        <w:t>B、增加未分配利润540万元</w:t>
      </w:r>
    </w:p>
    <w:p>
      <w:pPr>
        <w:pStyle w:val="Normal23"/>
        <w:jc w:val="left"/>
        <w:rPr>
          <w:rFonts w:ascii="黑体" w:eastAsia="黑体" w:hAnsi="黑体" w:cs="黑体" w:hint="eastAsia"/>
          <w:sz w:val="24"/>
          <w:szCs w:val="28"/>
        </w:rPr>
      </w:pPr>
      <w:r>
        <w:rPr>
          <w:rFonts w:ascii="黑体" w:eastAsia="黑体" w:hAnsi="黑体" w:cs="黑体" w:hint="eastAsia"/>
          <w:sz w:val="24"/>
          <w:szCs w:val="28"/>
        </w:rPr>
        <w:t>C、增加投资收益320万元</w:t>
      </w:r>
    </w:p>
    <w:p>
      <w:pPr>
        <w:pStyle w:val="Normal23"/>
        <w:jc w:val="left"/>
        <w:rPr>
          <w:rFonts w:ascii="黑体" w:eastAsia="黑体" w:hAnsi="黑体" w:cs="黑体" w:hint="eastAsia"/>
          <w:sz w:val="24"/>
          <w:szCs w:val="28"/>
        </w:rPr>
      </w:pPr>
      <w:r>
        <w:rPr>
          <w:rFonts w:ascii="黑体" w:eastAsia="黑体" w:hAnsi="黑体" w:cs="黑体" w:hint="eastAsia"/>
          <w:sz w:val="24"/>
          <w:szCs w:val="28"/>
        </w:rPr>
        <w:t>D、增加其他综合收益120万元</w:t>
      </w:r>
    </w:p>
    <w:p>
      <w:pPr>
        <w:pStyle w:val="Normal23"/>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若企业设定的定价目标是应付和避免竞争，则（）。</w:t>
      </w:r>
    </w:p>
    <w:p>
      <w:pPr>
        <w:pStyle w:val="Normal24"/>
        <w:jc w:val="left"/>
        <w:rPr>
          <w:rFonts w:ascii="黑体" w:eastAsia="黑体" w:hAnsi="黑体" w:cs="黑体" w:hint="eastAsia"/>
          <w:sz w:val="24"/>
          <w:szCs w:val="28"/>
        </w:rPr>
      </w:pPr>
      <w:r>
        <w:rPr>
          <w:rFonts w:ascii="黑体" w:eastAsia="黑体" w:hAnsi="黑体" w:cs="黑体" w:hint="eastAsia"/>
          <w:sz w:val="24"/>
          <w:szCs w:val="28"/>
        </w:rPr>
        <w:t>A、通常要为产品制定一个较高的价格</w:t>
      </w:r>
    </w:p>
    <w:p>
      <w:pPr>
        <w:pStyle w:val="Normal24"/>
        <w:jc w:val="left"/>
        <w:rPr>
          <w:rFonts w:ascii="黑体" w:eastAsia="黑体" w:hAnsi="黑体" w:cs="黑体" w:hint="eastAsia"/>
          <w:sz w:val="24"/>
          <w:szCs w:val="28"/>
        </w:rPr>
      </w:pPr>
      <w:r>
        <w:rPr>
          <w:rFonts w:ascii="黑体" w:eastAsia="黑体" w:hAnsi="黑体" w:cs="黑体" w:hint="eastAsia"/>
          <w:sz w:val="24"/>
          <w:szCs w:val="28"/>
        </w:rPr>
        <w:t>B、其产品价格往往需要低于同类产品价格</w:t>
      </w:r>
    </w:p>
    <w:p>
      <w:pPr>
        <w:pStyle w:val="Normal24"/>
        <w:jc w:val="left"/>
        <w:rPr>
          <w:rFonts w:ascii="黑体" w:eastAsia="黑体" w:hAnsi="黑体" w:cs="黑体" w:hint="eastAsia"/>
          <w:sz w:val="24"/>
          <w:szCs w:val="28"/>
        </w:rPr>
      </w:pPr>
      <w:r>
        <w:rPr>
          <w:rFonts w:ascii="黑体" w:eastAsia="黑体" w:hAnsi="黑体" w:cs="黑体" w:hint="eastAsia"/>
          <w:sz w:val="24"/>
          <w:szCs w:val="28"/>
        </w:rPr>
        <w:t>C、通常做法是跟随行业中的领导企业所制定的价格，与之保持一定的比例关系</w:t>
      </w:r>
    </w:p>
    <w:p>
      <w:pPr>
        <w:pStyle w:val="Normal24"/>
        <w:jc w:val="left"/>
        <w:rPr>
          <w:rFonts w:ascii="黑体" w:eastAsia="黑体" w:hAnsi="黑体" w:cs="黑体" w:hint="eastAsia"/>
          <w:sz w:val="24"/>
          <w:szCs w:val="28"/>
        </w:rPr>
      </w:pPr>
      <w:r>
        <w:rPr>
          <w:rFonts w:ascii="黑体" w:eastAsia="黑体" w:hAnsi="黑体" w:cs="黑体" w:hint="eastAsia"/>
          <w:sz w:val="24"/>
          <w:szCs w:val="28"/>
        </w:rPr>
        <w:t>D、参照对市场有决定性影响的竞争对手的产品价格变动情况，随时调整企业产品价格</w:t>
      </w:r>
    </w:p>
    <w:p>
      <w:pPr>
        <w:pStyle w:val="Normal24"/>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p>
    <w:p>
      <w:pPr>
        <w:pStyle w:val="Normal24"/>
        <w:jc w:val="center"/>
        <w:rPr>
          <w:rFonts w:ascii="宋体" w:hAnsi="宋体" w:cs="宋体" w:hint="eastAsia"/>
          <w:b/>
          <w:color w:val="000000"/>
          <w:sz w:val="32"/>
          <w:szCs w:val="28"/>
        </w:rPr>
      </w:pPr>
      <w:r>
        <w:rPr>
          <w:rFonts w:ascii="宋体" w:eastAsia="宋体" w:hAnsi="宋体" w:cs="宋体" w:hint="eastAsia"/>
          <w:b/>
          <w:color w:val="000000"/>
          <w:sz w:val="32"/>
          <w:szCs w:val="28"/>
        </w:rPr>
        <w:t>第2卷</w:t>
      </w:r>
    </w:p>
    <w:p>
      <w:pPr>
        <w:pStyle w:val="Normal24"/>
        <w:jc w:val="center"/>
        <w:rPr>
          <w:rFonts w:ascii="宋体" w:hAnsi="宋体" w:cs="宋体" w:hint="eastAsia"/>
          <w:b/>
          <w:color w:val="000000"/>
          <w:sz w:val="32"/>
          <w:szCs w:val="28"/>
        </w:rPr>
      </w:pPr>
    </w:p>
    <w:p>
      <w:pPr>
        <w:pStyle w:val="Normal24"/>
        <w:jc w:val="center"/>
        <w:rPr>
          <w:rFonts w:ascii="宋体" w:hAnsi="宋体" w:cs="宋体" w:hint="eastAsia"/>
          <w:b/>
          <w:color w:val="000000"/>
          <w:sz w:val="32"/>
          <w:szCs w:val="28"/>
        </w:rPr>
      </w:pPr>
    </w:p>
    <w:p>
      <w:pPr>
        <w:pStyle w:val="Normal24"/>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25"/>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根据合伙企业法律制度的规定，下列各项中，属于普通合伙人当然退伙的情形是（）。</w:t>
      </w:r>
    </w:p>
    <w:p>
      <w:pPr>
        <w:pStyle w:val="Normal25"/>
        <w:jc w:val="left"/>
        <w:rPr>
          <w:rFonts w:ascii="黑体" w:eastAsia="黑体" w:hAnsi="黑体" w:cs="黑体" w:hint="eastAsia"/>
          <w:sz w:val="24"/>
          <w:szCs w:val="28"/>
        </w:rPr>
      </w:pPr>
      <w:r>
        <w:rPr>
          <w:rFonts w:ascii="黑体" w:eastAsia="黑体" w:hAnsi="黑体" w:cs="黑体" w:hint="eastAsia"/>
          <w:sz w:val="24"/>
          <w:szCs w:val="28"/>
        </w:rPr>
        <w:t>A、合伙人在执行合伙企业事务中有侵占合伙企业财产的行为</w:t>
      </w:r>
    </w:p>
    <w:p>
      <w:pPr>
        <w:pStyle w:val="Normal25"/>
        <w:jc w:val="left"/>
        <w:rPr>
          <w:rFonts w:ascii="黑体" w:eastAsia="黑体" w:hAnsi="黑体" w:cs="黑体" w:hint="eastAsia"/>
          <w:sz w:val="24"/>
          <w:szCs w:val="28"/>
        </w:rPr>
      </w:pPr>
      <w:r>
        <w:rPr>
          <w:rFonts w:ascii="黑体" w:eastAsia="黑体" w:hAnsi="黑体" w:cs="黑体" w:hint="eastAsia"/>
          <w:sz w:val="24"/>
          <w:szCs w:val="28"/>
        </w:rPr>
        <w:t>B、合伙人未履行出资义务</w:t>
      </w:r>
    </w:p>
    <w:p>
      <w:pPr>
        <w:pStyle w:val="Normal25"/>
        <w:jc w:val="left"/>
        <w:rPr>
          <w:rFonts w:ascii="黑体" w:eastAsia="黑体" w:hAnsi="黑体" w:cs="黑体" w:hint="eastAsia"/>
          <w:sz w:val="24"/>
          <w:szCs w:val="28"/>
        </w:rPr>
      </w:pPr>
      <w:r>
        <w:rPr>
          <w:rFonts w:ascii="黑体" w:eastAsia="黑体" w:hAnsi="黑体" w:cs="黑体" w:hint="eastAsia"/>
          <w:sz w:val="24"/>
          <w:szCs w:val="28"/>
        </w:rPr>
        <w:t>C、合伙人被法院强制执行其在合伙企业中的全部财产份额</w:t>
      </w:r>
    </w:p>
    <w:p>
      <w:pPr>
        <w:pStyle w:val="Normal25"/>
        <w:jc w:val="left"/>
        <w:rPr>
          <w:rFonts w:ascii="黑体" w:eastAsia="黑体" w:hAnsi="黑体" w:cs="黑体" w:hint="eastAsia"/>
          <w:sz w:val="24"/>
          <w:szCs w:val="28"/>
        </w:rPr>
        <w:sectPr>
          <w:headerReference w:type="even" r:id="rId32"/>
          <w:headerReference w:type="default" r:id="rId33"/>
          <w:footerReference w:type="even" r:id="rId34"/>
          <w:headerReference w:type="first" r:id="rId35"/>
          <w:footerReference w:type="first" r:id="rId36"/>
          <w:type w:val="nextPage"/>
          <w:pgSz w:w="11906" w:h="16838"/>
          <w:pgMar w:top="720" w:right="720" w:bottom="720" w:left="720" w:header="851" w:footer="992" w:gutter="0"/>
          <w:pgNumType w:start="6"/>
          <w:cols w:num="1" w:space="720"/>
          <w:titlePg w:val="0"/>
          <w:docGrid w:type="lines" w:linePitch="312" w:charSpace="0"/>
        </w:sectPr>
      </w:pPr>
      <w:r>
        <w:rPr>
          <w:rFonts w:ascii="黑体" w:eastAsia="黑体" w:hAnsi="黑体" w:cs="黑体" w:hint="eastAsia"/>
          <w:sz w:val="24"/>
          <w:szCs w:val="28"/>
        </w:rPr>
        <w:t>D、合伙人因重大过失给合伙企业造成损失</w:t>
      </w:r>
    </w:p>
    <w:p>
      <w:pPr>
        <w:pStyle w:val="Normal25"/>
        <w:jc w:val="left"/>
        <w:rPr>
          <w:rFonts w:ascii="黑体" w:eastAsia="黑体" w:hAnsi="黑体" w:cs="黑体" w:hint="eastAsia"/>
          <w:sz w:val="24"/>
          <w:szCs w:val="28"/>
        </w:rPr>
      </w:pPr>
    </w:p>
    <w:p>
      <w:pPr>
        <w:pStyle w:val="Normal26"/>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在资本化期间内外币借款本金及利息的汇兑差额，应当予以资本化。</w:t>
      </w:r>
    </w:p>
    <w:p>
      <w:pPr>
        <w:pStyle w:val="Normal26"/>
        <w:jc w:val="left"/>
        <w:rPr>
          <w:rFonts w:ascii="黑体" w:eastAsia="黑体" w:hAnsi="黑体" w:cs="黑体" w:hint="eastAsia"/>
          <w:sz w:val="24"/>
          <w:szCs w:val="28"/>
        </w:rPr>
      </w:pPr>
    </w:p>
    <w:p>
      <w:pPr>
        <w:pStyle w:val="Normal27"/>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股票回购容易造成资金紧缺，资产流动性变差，影响公司后续发展。</w:t>
      </w:r>
    </w:p>
    <w:p>
      <w:pPr>
        <w:pStyle w:val="Normal27"/>
        <w:jc w:val="left"/>
        <w:rPr>
          <w:rFonts w:ascii="黑体" w:eastAsia="黑体" w:hAnsi="黑体" w:cs="黑体" w:hint="eastAsia"/>
          <w:sz w:val="24"/>
          <w:szCs w:val="28"/>
        </w:rPr>
      </w:pPr>
    </w:p>
    <w:p>
      <w:pPr>
        <w:pStyle w:val="Normal28"/>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甲公司为增值税一般纳税人，主要从事化妆品销售业务，2017年发生如下事项：</w:t>
      </w:r>
    </w:p>
    <w:p>
      <w:pPr>
        <w:pStyle w:val="Normal28"/>
        <w:jc w:val="left"/>
        <w:rPr>
          <w:rFonts w:ascii="黑体" w:eastAsia="黑体" w:hAnsi="黑体" w:cs="黑体" w:hint="eastAsia"/>
          <w:sz w:val="24"/>
          <w:szCs w:val="28"/>
        </w:rPr>
      </w:pPr>
      <w:r>
        <w:rPr>
          <w:rFonts w:ascii="黑体" w:eastAsia="黑体" w:hAnsi="黑体" w:cs="黑体" w:hint="eastAsia"/>
          <w:sz w:val="24"/>
          <w:szCs w:val="28"/>
        </w:rPr>
        <w:t>（1）1月，将本公司于2016年10月购入的一处房产销售给乙公司，取得舍税销售额1332万元。</w:t>
      </w:r>
    </w:p>
    <w:p>
      <w:pPr>
        <w:pStyle w:val="Normal28"/>
        <w:jc w:val="left"/>
        <w:rPr>
          <w:rFonts w:ascii="黑体" w:eastAsia="黑体" w:hAnsi="黑体" w:cs="黑体" w:hint="eastAsia"/>
          <w:sz w:val="24"/>
          <w:szCs w:val="28"/>
        </w:rPr>
      </w:pPr>
      <w:r>
        <w:rPr>
          <w:rFonts w:ascii="黑体" w:eastAsia="黑体" w:hAnsi="黑体" w:cs="黑体" w:hint="eastAsia"/>
          <w:sz w:val="24"/>
          <w:szCs w:val="28"/>
        </w:rPr>
        <w:t>（2）5月，以附赠促销的方式销售A化妆品400件，同时赠送B化妆品200件。已知，A化妆品每件不含税售价为0．2万元，B化妆品每件不合税售价为0．1万元。</w:t>
      </w:r>
    </w:p>
    <w:p>
      <w:pPr>
        <w:pStyle w:val="Normal28"/>
        <w:jc w:val="left"/>
        <w:rPr>
          <w:rFonts w:ascii="黑体" w:eastAsia="黑体" w:hAnsi="黑体" w:cs="黑体" w:hint="eastAsia"/>
          <w:sz w:val="24"/>
          <w:szCs w:val="28"/>
        </w:rPr>
      </w:pPr>
      <w:r>
        <w:rPr>
          <w:rFonts w:ascii="黑体" w:eastAsia="黑体" w:hAnsi="黑体" w:cs="黑体" w:hint="eastAsia"/>
          <w:sz w:val="24"/>
          <w:szCs w:val="28"/>
        </w:rPr>
        <w:t>（3）7月，从一般纳税人处购进化妆品取得的增值税专用发票上注明的价款为30万元。另外向运输企业（一般纳税人）支付该批货物的不含税运费3万元，取得了运输企业开具的增值税专用发票。</w:t>
      </w:r>
    </w:p>
    <w:p>
      <w:pPr>
        <w:pStyle w:val="Normal28"/>
        <w:jc w:val="left"/>
        <w:rPr>
          <w:rFonts w:ascii="黑体" w:eastAsia="黑体" w:hAnsi="黑体" w:cs="黑体" w:hint="eastAsia"/>
          <w:sz w:val="24"/>
          <w:szCs w:val="28"/>
        </w:rPr>
      </w:pPr>
      <w:r>
        <w:rPr>
          <w:rFonts w:ascii="黑体" w:eastAsia="黑体" w:hAnsi="黑体" w:cs="黑体" w:hint="eastAsia"/>
          <w:sz w:val="24"/>
          <w:szCs w:val="28"/>
        </w:rPr>
        <w:t>已知，甲公司取得的增值税专用发票均已通过认证。</w:t>
      </w:r>
    </w:p>
    <w:p>
      <w:pPr>
        <w:pStyle w:val="Normal28"/>
        <w:jc w:val="left"/>
        <w:rPr>
          <w:rFonts w:ascii="黑体" w:eastAsia="黑体" w:hAnsi="黑体" w:cs="黑体" w:hint="eastAsia"/>
          <w:sz w:val="24"/>
          <w:szCs w:val="28"/>
        </w:rPr>
      </w:pPr>
      <w:r>
        <w:rPr>
          <w:rFonts w:ascii="黑体" w:eastAsia="黑体" w:hAnsi="黑体" w:cs="黑体" w:hint="eastAsia"/>
          <w:sz w:val="24"/>
          <w:szCs w:val="28"/>
        </w:rPr>
        <w:t>根据上述资料和增值税法律制度的规定，回答问题（答案中的金额单位用“万元”表示）。计算事项（1）中甲公司的销项税额。</w:t>
      </w:r>
    </w:p>
    <w:p>
      <w:pPr>
        <w:pStyle w:val="Normal28"/>
        <w:jc w:val="left"/>
        <w:rPr>
          <w:rFonts w:ascii="黑体" w:eastAsia="黑体" w:hAnsi="黑体" w:cs="黑体" w:hint="eastAsia"/>
          <w:sz w:val="24"/>
          <w:szCs w:val="28"/>
        </w:rPr>
      </w:pPr>
    </w:p>
    <w:p>
      <w:pPr>
        <w:pStyle w:val="Normal29"/>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2017年6月，甲公司将一台价值900万元的机床委托乙仓库保管，双方签订的保管合同约定：保管期限从6月2113至10月20日，保管费用2万元，由甲公司在保管到期提取机床时一次付清。</w:t>
      </w:r>
    </w:p>
    <w:p>
      <w:pPr>
        <w:pStyle w:val="Normal29"/>
        <w:jc w:val="left"/>
        <w:rPr>
          <w:rFonts w:ascii="黑体" w:eastAsia="黑体" w:hAnsi="黑体" w:cs="黑体" w:hint="eastAsia"/>
          <w:sz w:val="24"/>
          <w:szCs w:val="28"/>
        </w:rPr>
      </w:pPr>
      <w:r>
        <w:rPr>
          <w:rFonts w:ascii="黑体" w:eastAsia="黑体" w:hAnsi="黑体" w:cs="黑体" w:hint="eastAsia"/>
          <w:sz w:val="24"/>
          <w:szCs w:val="28"/>
        </w:rPr>
        <w:t>8月，甲公司急需向丙公司购进一批原材料，但因资金紧张，暂时无法付款。经丙公司同意，甲公司以机床做抵押，购入丙公司原材料。双方约定：至12月8日，如甲公司不能偿付全部原材料款，丙公司有权将机床变卖，以其价款抵偿原材料款。</w:t>
      </w:r>
    </w:p>
    <w:p>
      <w:pPr>
        <w:pStyle w:val="Normal29"/>
        <w:jc w:val="left"/>
        <w:rPr>
          <w:rFonts w:ascii="黑体" w:eastAsia="黑体" w:hAnsi="黑体" w:cs="黑体" w:hint="eastAsia"/>
          <w:sz w:val="24"/>
          <w:szCs w:val="28"/>
        </w:rPr>
      </w:pPr>
      <w:r>
        <w:rPr>
          <w:rFonts w:ascii="黑体" w:eastAsia="黑体" w:hAnsi="黑体" w:cs="黑体" w:hint="eastAsia"/>
          <w:sz w:val="24"/>
          <w:szCs w:val="28"/>
        </w:rPr>
        <w:t>10月10日，经丙公司同意，甲公司与丁公司签订了转让机床合同，合同约定：甲公司将该机床作价860万元卖给丁公司，甲公司于10月31日前交货，丁公司在收货后10日内付清货款。</w:t>
      </w:r>
    </w:p>
    <w:p>
      <w:pPr>
        <w:pStyle w:val="Normal29"/>
        <w:jc w:val="left"/>
        <w:rPr>
          <w:rFonts w:ascii="黑体" w:eastAsia="黑体" w:hAnsi="黑体" w:cs="黑体" w:hint="eastAsia"/>
          <w:sz w:val="24"/>
          <w:szCs w:val="28"/>
        </w:rPr>
      </w:pPr>
      <w:r>
        <w:rPr>
          <w:rFonts w:ascii="黑体" w:eastAsia="黑体" w:hAnsi="黑体" w:cs="黑体" w:hint="eastAsia"/>
          <w:sz w:val="24"/>
          <w:szCs w:val="28"/>
        </w:rPr>
        <w:t>10月下旬，甲公司掌握确切证据证明丁公司经营状况恶化，于是通知丁公司中止交货并要求丁公司提供担保，丁公司没有给予任何答复。11月上旬，甲公司发现丁公司经营状况进一步恶化，于是向丁公司提出解除合同。丁公司遂向法院提起诉讼，要求甲公司履行合同并赔偿损失。如果甲公司到期不支付机床保管费，乙仓库可以行使什么权利？</w:t>
      </w:r>
    </w:p>
    <w:p>
      <w:pPr>
        <w:pStyle w:val="Normal29"/>
        <w:jc w:val="left"/>
        <w:rPr>
          <w:rFonts w:ascii="黑体" w:eastAsia="黑体" w:hAnsi="黑体" w:cs="黑体" w:hint="eastAsia"/>
          <w:sz w:val="24"/>
          <w:szCs w:val="28"/>
        </w:rPr>
      </w:pPr>
    </w:p>
    <w:p>
      <w:pPr>
        <w:pStyle w:val="Normal30"/>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比率分析法是通过计算各种比率指标来确定财务活动变动程度的方法，比率指标的类型主要有（）。</w:t>
      </w:r>
    </w:p>
    <w:p>
      <w:pPr>
        <w:pStyle w:val="Normal30"/>
        <w:jc w:val="left"/>
        <w:rPr>
          <w:rFonts w:ascii="黑体" w:eastAsia="黑体" w:hAnsi="黑体" w:cs="黑体" w:hint="eastAsia"/>
          <w:sz w:val="24"/>
          <w:szCs w:val="28"/>
        </w:rPr>
      </w:pPr>
      <w:r>
        <w:rPr>
          <w:rFonts w:ascii="黑体" w:eastAsia="黑体" w:hAnsi="黑体" w:cs="黑体" w:hint="eastAsia"/>
          <w:sz w:val="24"/>
          <w:szCs w:val="28"/>
        </w:rPr>
        <w:t>A、构成比率</w:t>
      </w:r>
    </w:p>
    <w:p>
      <w:pPr>
        <w:pStyle w:val="Normal30"/>
        <w:jc w:val="left"/>
        <w:rPr>
          <w:rFonts w:ascii="黑体" w:eastAsia="黑体" w:hAnsi="黑体" w:cs="黑体" w:hint="eastAsia"/>
          <w:sz w:val="24"/>
          <w:szCs w:val="28"/>
        </w:rPr>
      </w:pPr>
      <w:r>
        <w:rPr>
          <w:rFonts w:ascii="黑体" w:eastAsia="黑体" w:hAnsi="黑体" w:cs="黑体" w:hint="eastAsia"/>
          <w:sz w:val="24"/>
          <w:szCs w:val="28"/>
        </w:rPr>
        <w:t>B、效率比率</w:t>
      </w:r>
    </w:p>
    <w:p>
      <w:pPr>
        <w:pStyle w:val="Normal30"/>
        <w:jc w:val="left"/>
        <w:rPr>
          <w:rFonts w:ascii="黑体" w:eastAsia="黑体" w:hAnsi="黑体" w:cs="黑体" w:hint="eastAsia"/>
          <w:sz w:val="24"/>
          <w:szCs w:val="28"/>
        </w:rPr>
      </w:pPr>
      <w:r>
        <w:rPr>
          <w:rFonts w:ascii="黑体" w:eastAsia="黑体" w:hAnsi="黑体" w:cs="黑体" w:hint="eastAsia"/>
          <w:sz w:val="24"/>
          <w:szCs w:val="28"/>
        </w:rPr>
        <w:t>C、相关比率</w:t>
      </w:r>
    </w:p>
    <w:p>
      <w:pPr>
        <w:pStyle w:val="Normal30"/>
        <w:jc w:val="left"/>
        <w:rPr>
          <w:rFonts w:ascii="黑体" w:eastAsia="黑体" w:hAnsi="黑体" w:cs="黑体" w:hint="eastAsia"/>
          <w:sz w:val="24"/>
          <w:szCs w:val="28"/>
        </w:rPr>
      </w:pPr>
      <w:r>
        <w:rPr>
          <w:rFonts w:ascii="黑体" w:eastAsia="黑体" w:hAnsi="黑体" w:cs="黑体" w:hint="eastAsia"/>
          <w:sz w:val="24"/>
          <w:szCs w:val="28"/>
        </w:rPr>
        <w:t>D、动态比率</w:t>
      </w:r>
    </w:p>
    <w:p>
      <w:pPr>
        <w:pStyle w:val="Normal30"/>
        <w:jc w:val="left"/>
        <w:rPr>
          <w:rFonts w:ascii="黑体" w:eastAsia="黑体" w:hAnsi="黑体" w:cs="黑体" w:hint="eastAsia"/>
          <w:sz w:val="24"/>
          <w:szCs w:val="28"/>
        </w:rPr>
      </w:pPr>
    </w:p>
    <w:p>
      <w:pPr>
        <w:pStyle w:val="Normal31"/>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某企业甲责任中心将A产品转让给乙责任中心时，厂内银行按A产品的单位市场售价向甲责任中心支付价款，同时按A产品的单位变动成本从乙责任中心收取价款。据此可以认为，该项内部交易采用的内部转移价格是（）。</w:t>
      </w:r>
    </w:p>
    <w:p>
      <w:pPr>
        <w:pStyle w:val="Normal31"/>
        <w:jc w:val="left"/>
        <w:rPr>
          <w:rFonts w:ascii="黑体" w:eastAsia="黑体" w:hAnsi="黑体" w:cs="黑体" w:hint="eastAsia"/>
          <w:sz w:val="24"/>
          <w:szCs w:val="28"/>
        </w:rPr>
      </w:pPr>
      <w:r>
        <w:rPr>
          <w:rFonts w:ascii="黑体" w:eastAsia="黑体" w:hAnsi="黑体" w:cs="黑体" w:hint="eastAsia"/>
          <w:sz w:val="24"/>
          <w:szCs w:val="28"/>
        </w:rPr>
        <w:t>A、市场价格</w:t>
      </w:r>
    </w:p>
    <w:p>
      <w:pPr>
        <w:pStyle w:val="Normal31"/>
        <w:jc w:val="left"/>
        <w:rPr>
          <w:rFonts w:ascii="黑体" w:eastAsia="黑体" w:hAnsi="黑体" w:cs="黑体" w:hint="eastAsia"/>
          <w:sz w:val="24"/>
          <w:szCs w:val="28"/>
        </w:rPr>
      </w:pPr>
      <w:r>
        <w:rPr>
          <w:rFonts w:ascii="黑体" w:eastAsia="黑体" w:hAnsi="黑体" w:cs="黑体" w:hint="eastAsia"/>
          <w:sz w:val="24"/>
          <w:szCs w:val="28"/>
        </w:rPr>
        <w:t>B、协商价格</w:t>
      </w:r>
    </w:p>
    <w:p>
      <w:pPr>
        <w:pStyle w:val="Normal31"/>
        <w:jc w:val="left"/>
        <w:rPr>
          <w:rFonts w:ascii="黑体" w:eastAsia="黑体" w:hAnsi="黑体" w:cs="黑体" w:hint="eastAsia"/>
          <w:sz w:val="24"/>
          <w:szCs w:val="28"/>
        </w:rPr>
      </w:pPr>
      <w:r>
        <w:rPr>
          <w:rFonts w:ascii="黑体" w:eastAsia="黑体" w:hAnsi="黑体" w:cs="黑体" w:hint="eastAsia"/>
          <w:sz w:val="24"/>
          <w:szCs w:val="28"/>
        </w:rPr>
        <w:t>C、以成本为基础的转移定价</w:t>
      </w:r>
    </w:p>
    <w:p>
      <w:pPr>
        <w:pStyle w:val="Normal31"/>
        <w:jc w:val="left"/>
        <w:rPr>
          <w:rFonts w:ascii="黑体" w:eastAsia="黑体" w:hAnsi="黑体" w:cs="黑体" w:hint="eastAsia"/>
          <w:sz w:val="24"/>
          <w:szCs w:val="28"/>
        </w:rPr>
      </w:pPr>
      <w:r>
        <w:rPr>
          <w:rFonts w:ascii="黑体" w:eastAsia="黑体" w:hAnsi="黑体" w:cs="黑体" w:hint="eastAsia"/>
          <w:sz w:val="24"/>
          <w:szCs w:val="28"/>
        </w:rPr>
        <w:t>D、双重价格</w:t>
      </w:r>
    </w:p>
    <w:p>
      <w:pPr>
        <w:pStyle w:val="Normal31"/>
        <w:jc w:val="left"/>
        <w:rPr>
          <w:rFonts w:ascii="黑体" w:eastAsia="黑体" w:hAnsi="黑体" w:cs="黑体" w:hint="eastAsia"/>
          <w:sz w:val="24"/>
          <w:szCs w:val="28"/>
        </w:rPr>
      </w:pPr>
    </w:p>
    <w:p>
      <w:pPr>
        <w:pStyle w:val="Normal32"/>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采用公允价值计量的投资性房地产，其减值准备一经计提，在持有期间不得转回。</w:t>
      </w:r>
    </w:p>
    <w:p>
      <w:pPr>
        <w:pStyle w:val="Normal32"/>
        <w:jc w:val="left"/>
        <w:rPr>
          <w:rFonts w:ascii="黑体" w:eastAsia="黑体" w:hAnsi="黑体" w:cs="黑体" w:hint="eastAsia"/>
          <w:sz w:val="24"/>
          <w:szCs w:val="28"/>
        </w:rPr>
      </w:pPr>
    </w:p>
    <w:p>
      <w:pPr>
        <w:pStyle w:val="Normal33"/>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处于初创阶段的公司，一般不宜采用的股利分配政策有（）。</w:t>
      </w:r>
    </w:p>
    <w:p>
      <w:pPr>
        <w:pStyle w:val="Normal33"/>
        <w:jc w:val="left"/>
        <w:rPr>
          <w:rFonts w:ascii="黑体" w:eastAsia="黑体" w:hAnsi="黑体" w:cs="黑体" w:hint="eastAsia"/>
          <w:sz w:val="24"/>
          <w:szCs w:val="28"/>
        </w:rPr>
      </w:pPr>
      <w:r>
        <w:rPr>
          <w:rFonts w:ascii="黑体" w:eastAsia="黑体" w:hAnsi="黑体" w:cs="黑体" w:hint="eastAsia"/>
          <w:sz w:val="24"/>
          <w:szCs w:val="28"/>
        </w:rPr>
        <w:t>A、固定股利政策</w:t>
      </w:r>
    </w:p>
    <w:p>
      <w:pPr>
        <w:pStyle w:val="Normal33"/>
        <w:jc w:val="left"/>
        <w:rPr>
          <w:rFonts w:ascii="黑体" w:eastAsia="黑体" w:hAnsi="黑体" w:cs="黑体" w:hint="eastAsia"/>
          <w:sz w:val="24"/>
          <w:szCs w:val="28"/>
        </w:rPr>
      </w:pPr>
      <w:r>
        <w:rPr>
          <w:rFonts w:ascii="黑体" w:eastAsia="黑体" w:hAnsi="黑体" w:cs="黑体" w:hint="eastAsia"/>
          <w:sz w:val="24"/>
          <w:szCs w:val="28"/>
        </w:rPr>
        <w:t>B、剩余股利政策</w:t>
      </w:r>
    </w:p>
    <w:p>
      <w:pPr>
        <w:pStyle w:val="Normal33"/>
        <w:jc w:val="left"/>
        <w:rPr>
          <w:rFonts w:ascii="黑体" w:eastAsia="黑体" w:hAnsi="黑体" w:cs="黑体" w:hint="eastAsia"/>
          <w:sz w:val="24"/>
          <w:szCs w:val="28"/>
        </w:rPr>
        <w:sectPr>
          <w:headerReference w:type="even" r:id="rId37"/>
          <w:headerReference w:type="default" r:id="rId38"/>
          <w:footerReference w:type="even" r:id="rId39"/>
          <w:headerReference w:type="first" r:id="rId40"/>
          <w:footerReference w:type="first" r:id="rId41"/>
          <w:type w:val="nextPage"/>
          <w:pgSz w:w="11906" w:h="16838"/>
          <w:pgMar w:top="720" w:right="720" w:bottom="720" w:left="720" w:header="851" w:footer="992" w:gutter="0"/>
          <w:pgNumType w:start="7"/>
          <w:cols w:num="1" w:space="720"/>
          <w:titlePg w:val="0"/>
          <w:docGrid w:type="lines" w:linePitch="312" w:charSpace="0"/>
        </w:sectPr>
      </w:pPr>
      <w:r>
        <w:rPr>
          <w:rFonts w:ascii="黑体" w:eastAsia="黑体" w:hAnsi="黑体" w:cs="黑体" w:hint="eastAsia"/>
          <w:sz w:val="24"/>
          <w:szCs w:val="28"/>
        </w:rPr>
        <w:t>C、固定股利支付率政策</w:t>
      </w:r>
    </w:p>
    <w:p>
      <w:pPr>
        <w:pStyle w:val="Normal33"/>
        <w:jc w:val="left"/>
        <w:rPr>
          <w:rFonts w:ascii="黑体" w:eastAsia="黑体" w:hAnsi="黑体" w:cs="黑体" w:hint="eastAsia"/>
          <w:sz w:val="24"/>
          <w:szCs w:val="28"/>
        </w:rPr>
      </w:pPr>
      <w:r>
        <w:rPr>
          <w:rFonts w:ascii="黑体" w:eastAsia="黑体" w:hAnsi="黑体" w:cs="黑体" w:hint="eastAsia"/>
          <w:sz w:val="24"/>
          <w:szCs w:val="28"/>
        </w:rPr>
        <w:t>D、稳定增长股利政策</w:t>
      </w:r>
    </w:p>
    <w:p>
      <w:pPr>
        <w:pStyle w:val="Normal33"/>
        <w:jc w:val="left"/>
        <w:rPr>
          <w:rFonts w:ascii="黑体" w:eastAsia="黑体" w:hAnsi="黑体" w:cs="黑体" w:hint="eastAsia"/>
          <w:sz w:val="24"/>
          <w:szCs w:val="28"/>
        </w:rPr>
      </w:pPr>
    </w:p>
    <w:p>
      <w:pPr>
        <w:pStyle w:val="Normal34"/>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甲公司2015年至2016年与F专利技术有关的资料如下：</w:t>
      </w:r>
    </w:p>
    <w:p>
      <w:pPr>
        <w:pStyle w:val="Normal34"/>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资料一：2015年1月1日，甲公司与乙公司签订F专利技术转让协议，协议约定，该专利技术的转让价款为2000万元。甲公司于协议签订日支付400万元，其余款项自当年年末起分4次每年末支付400万元。当日，甲、乙公司办妥相关手续，甲公司以银行存款支付400万元，立即将该专利技术用于产品生产，预计使用10年，预计净残值为零，采用直线法摊销。</w:t>
      </w:r>
    </w:p>
    <w:p>
      <w:pPr>
        <w:pStyle w:val="Normal34"/>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甲公司计算确定的该长期应付款项的实际年利率为6％，年金现值系数（P/A，6%，4）为3.47。</w:t>
      </w:r>
    </w:p>
    <w:p>
      <w:pPr>
        <w:pStyle w:val="Normal34"/>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资料二：2016年1月1日，甲公司因经营方向转变，将F专利技术转让给丙公司，转让价款1500万元已收讫存入银行。同日，甲、丙公司办妥相关手续。</w:t>
      </w:r>
    </w:p>
    <w:p>
      <w:pPr>
        <w:pStyle w:val="Normal34"/>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假定不考虑其他因素。</w:t>
      </w:r>
    </w:p>
    <w:p>
      <w:pPr>
        <w:pStyle w:val="Normal34"/>
        <w:jc w:val="left"/>
        <w:rPr>
          <w:rFonts w:ascii="黑体" w:eastAsia="黑体" w:hAnsi="黑体" w:cs="黑体" w:hint="eastAsia"/>
          <w:sz w:val="24"/>
          <w:szCs w:val="28"/>
        </w:rPr>
      </w:pPr>
      <w:r>
        <w:rPr>
          <w:rFonts w:ascii="黑体" w:eastAsia="黑体" w:hAnsi="黑体" w:cs="黑体" w:hint="eastAsia"/>
          <w:sz w:val="24"/>
          <w:szCs w:val="28"/>
        </w:rPr>
        <w:t>计算甲公司取得F专利技术的入账价值，并编制甲公司2015年1月1日取得F专利技术的相关会计分录。</w:t>
      </w:r>
    </w:p>
    <w:p>
      <w:pPr>
        <w:pStyle w:val="Normal34"/>
        <w:jc w:val="left"/>
        <w:rPr>
          <w:rFonts w:ascii="黑体" w:eastAsia="黑体" w:hAnsi="黑体" w:cs="黑体" w:hint="eastAsia"/>
          <w:sz w:val="24"/>
          <w:szCs w:val="28"/>
        </w:rPr>
      </w:pPr>
    </w:p>
    <w:p>
      <w:pPr>
        <w:pStyle w:val="Normal35"/>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甲百货商场为增值税一般纳税人，2017年12月发生下列业务：</w:t>
      </w:r>
    </w:p>
    <w:p>
      <w:pPr>
        <w:pStyle w:val="Normal35"/>
        <w:jc w:val="left"/>
        <w:rPr>
          <w:rFonts w:ascii="黑体" w:eastAsia="黑体" w:hAnsi="黑体" w:cs="黑体" w:hint="eastAsia"/>
          <w:sz w:val="24"/>
          <w:szCs w:val="28"/>
        </w:rPr>
      </w:pPr>
      <w:r>
        <w:rPr>
          <w:rFonts w:ascii="黑体" w:eastAsia="黑体" w:hAnsi="黑体" w:cs="黑体" w:hint="eastAsia"/>
          <w:sz w:val="24"/>
          <w:szCs w:val="28"/>
        </w:rPr>
        <w:t>（1）零售金银首饰取得含增值税销售额10．53万元，其中包括以旧换新首饰的含增值税销售额5．85万元。在以旧换新业务中，旧首饰作价的含增值税金额为3．51万元，甲百货商场实际收取的含增值税金额为2．34万元。</w:t>
      </w:r>
    </w:p>
    <w:p>
      <w:pPr>
        <w:pStyle w:val="Normal35"/>
        <w:jc w:val="left"/>
        <w:rPr>
          <w:rFonts w:ascii="黑体" w:eastAsia="黑体" w:hAnsi="黑体" w:cs="黑体" w:hint="eastAsia"/>
          <w:sz w:val="24"/>
          <w:szCs w:val="28"/>
        </w:rPr>
      </w:pPr>
      <w:r>
        <w:rPr>
          <w:rFonts w:ascii="黑体" w:eastAsia="黑体" w:hAnsi="黑体" w:cs="黑体" w:hint="eastAsia"/>
          <w:sz w:val="24"/>
          <w:szCs w:val="28"/>
        </w:rPr>
        <w:t>（2）销售食用植物油取得含增值税销售额22万元，销售家用电器取得含增值税销售额58．5万元。</w:t>
      </w:r>
    </w:p>
    <w:p>
      <w:pPr>
        <w:pStyle w:val="Normal35"/>
        <w:jc w:val="left"/>
        <w:rPr>
          <w:rFonts w:ascii="黑体" w:eastAsia="黑体" w:hAnsi="黑体" w:cs="黑体" w:hint="eastAsia"/>
          <w:sz w:val="24"/>
          <w:szCs w:val="28"/>
        </w:rPr>
      </w:pPr>
      <w:r>
        <w:rPr>
          <w:rFonts w:ascii="黑体" w:eastAsia="黑体" w:hAnsi="黑体" w:cs="黑体" w:hint="eastAsia"/>
          <w:sz w:val="24"/>
          <w:szCs w:val="28"/>
        </w:rPr>
        <w:t>（3）从增值税一般纳税人乙企业处购入电视机一批，不含增值税销售额为70万元，采用托收承付方式结算；乙企业已将货物发出并办妥托收手续，但尚未向甲百货商场开具增值税专用发票。</w:t>
      </w:r>
    </w:p>
    <w:p>
      <w:pPr>
        <w:pStyle w:val="Normal35"/>
        <w:jc w:val="left"/>
        <w:rPr>
          <w:rFonts w:ascii="黑体" w:eastAsia="黑体" w:hAnsi="黑体" w:cs="黑体" w:hint="eastAsia"/>
          <w:sz w:val="24"/>
          <w:szCs w:val="28"/>
        </w:rPr>
      </w:pPr>
      <w:r>
        <w:rPr>
          <w:rFonts w:ascii="黑体" w:eastAsia="黑体" w:hAnsi="黑体" w:cs="黑体" w:hint="eastAsia"/>
          <w:sz w:val="24"/>
          <w:szCs w:val="28"/>
        </w:rPr>
        <w:t>（4）购进一辆小汽车供办公室人员公差使用，取得普通发票，支付的全部金额为23．4万元。</w:t>
      </w:r>
    </w:p>
    <w:p>
      <w:pPr>
        <w:pStyle w:val="Normal35"/>
        <w:jc w:val="left"/>
        <w:rPr>
          <w:rFonts w:ascii="黑体" w:eastAsia="黑体" w:hAnsi="黑体" w:cs="黑体" w:hint="eastAsia"/>
          <w:sz w:val="24"/>
          <w:szCs w:val="28"/>
        </w:rPr>
      </w:pPr>
      <w:r>
        <w:rPr>
          <w:rFonts w:ascii="黑体" w:eastAsia="黑体" w:hAnsi="黑体" w:cs="黑体" w:hint="eastAsia"/>
          <w:sz w:val="24"/>
          <w:szCs w:val="28"/>
        </w:rPr>
        <w:t>（5）采购一批羊绒衫，取得增值税专用发票并于当月认证，注明增值税税额为35万元，但在采购途中，该批羊绒衫因管理不善被盗80％。请计算甲百货商场本月应纳增值税税额。</w:t>
      </w:r>
    </w:p>
    <w:p>
      <w:pPr>
        <w:pStyle w:val="Normal35"/>
        <w:jc w:val="left"/>
        <w:rPr>
          <w:rFonts w:ascii="黑体" w:eastAsia="黑体" w:hAnsi="黑体" w:cs="黑体" w:hint="eastAsia"/>
          <w:sz w:val="24"/>
          <w:szCs w:val="28"/>
        </w:rPr>
      </w:pPr>
    </w:p>
    <w:p>
      <w:pPr>
        <w:pStyle w:val="Normal36"/>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某企业2017年12月31日的资产负债表（简表）如下。</w:t>
      </w:r>
      <w:r>
        <w:drawing>
          <wp:inline distT="0" distB="0" distL="0" distR="0">
            <wp:extent cx="5410768" cy="2162402"/>
            <wp:effectExtent l="0" t="0" r="0" b="0"/>
            <wp:docPr id="36" name="_x0000_i0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_x0000_i0036"/>
                    <pic:cNvPicPr/>
                  </pic:nvPicPr>
                  <pic:blipFill>
                    <a:blip xmlns:r="http://schemas.openxmlformats.org/officeDocument/2006/relationships" r:embed="rId42"/>
                    <a:stretch>
                      <a:fillRect/>
                    </a:stretch>
                  </pic:blipFill>
                  <pic:spPr>
                    <a:xfrm>
                      <a:off x="0" y="0"/>
                      <a:ext cx="5410768" cy="2162402"/>
                    </a:xfrm>
                    <a:prstGeom prst="rect">
                      <a:avLst/>
                    </a:prstGeom>
                  </pic:spPr>
                </pic:pic>
              </a:graphicData>
            </a:graphic>
          </wp:inline>
        </w:drawing>
      </w:r>
    </w:p>
    <w:p>
      <w:pPr>
        <w:pStyle w:val="Normal36"/>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该企业2017年的营业收入为6000万元，营业净利率为10％，净利润的50％分配给投资者。预计2018年营业收入比上年增长25％，为此需要增加固定资产200万元，增加无形资产100万元，根据有关情况分析，企业流动资产项目和流动负债项目将随营业收入同比例增减。</w:t>
      </w:r>
    </w:p>
    <w:p>
      <w:pPr>
        <w:pStyle w:val="Normal36"/>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假定该企业2018年的营业净利率和利润分配政策与上年保持一致，该年度长期借款不发生变化；2018年年末固定资产和无形资产合计为2700万元。2018年企业需要增加对外筹集的资金由股东增加投入解决。（假设不考虑折旧与摊销的影响）</w:t>
      </w:r>
    </w:p>
    <w:p>
      <w:pPr>
        <w:pStyle w:val="Normal36"/>
        <w:jc w:val="left"/>
        <w:rPr>
          <w:rFonts w:ascii="黑体" w:eastAsia="黑体" w:hAnsi="黑体" w:cs="黑体" w:hint="eastAsia"/>
          <w:sz w:val="24"/>
          <w:szCs w:val="28"/>
        </w:rPr>
      </w:pPr>
      <w:r>
        <w:rPr>
          <w:rFonts w:ascii="黑体" w:eastAsia="黑体" w:hAnsi="黑体" w:cs="黑体" w:hint="eastAsia"/>
          <w:sz w:val="24"/>
          <w:szCs w:val="28"/>
        </w:rPr>
        <w:t>预测2018年需要增加的营运资金额。</w:t>
      </w:r>
    </w:p>
    <w:p>
      <w:pPr>
        <w:pStyle w:val="Normal36"/>
        <w:jc w:val="left"/>
        <w:rPr>
          <w:rFonts w:ascii="黑体" w:eastAsia="黑体" w:hAnsi="黑体" w:cs="黑体" w:hint="eastAsia"/>
          <w:sz w:val="24"/>
          <w:szCs w:val="28"/>
        </w:rPr>
      </w:pPr>
    </w:p>
    <w:p>
      <w:pPr>
        <w:pStyle w:val="Normal37"/>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br/>
      </w:r>
      <w:r>
        <w:rPr>
          <w:rFonts w:ascii="黑体" w:eastAsia="黑体" w:hAnsi="黑体" w:cs="黑体" w:hint="eastAsia"/>
          <w:sz w:val="24"/>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https://d.book118.com/865211102213011044</w:t>
        </w:r>
      </w:hyperlink>
    </w:p>
    <w:p>
      <w:pPr>
        <w:pStyle w:val="Normal37"/>
        <w:jc w:val="left"/>
        <w:rPr>
          <w:rFonts w:ascii="黑体" w:eastAsia="黑体" w:hAnsi="黑体" w:cs="黑体" w:hint="eastAsia"/>
          <w:sz w:val="24"/>
          <w:szCs w:val="28"/>
        </w:rPr>
      </w:pPr>
    </w:p>
    <w:sectPr>
      <w:headerReference w:type="even" r:id="rId44"/>
      <w:headerReference w:type="default" r:id="rId45"/>
      <w:footerReference w:type="even" r:id="rId46"/>
      <w:headerReference w:type="first" r:id="rId47"/>
      <w:footerReference w:type="first" r:id="rId48"/>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0">
    <w:name w:val="Normal_7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0">
    <w:name w:val="Normal_7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0">
    <w:name w:val="Normal_74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3.xml" /><Relationship Id="rId14" Type="http://schemas.openxmlformats.org/officeDocument/2006/relationships/header" Target="header6.xml" /><Relationship Id="rId15" Type="http://schemas.openxmlformats.org/officeDocument/2006/relationships/footer" Target="footer4.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5.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10.xml" /><Relationship Id="rId22" Type="http://schemas.openxmlformats.org/officeDocument/2006/relationships/header" Target="header11.xml" /><Relationship Id="rId23" Type="http://schemas.openxmlformats.org/officeDocument/2006/relationships/footer" Target="footer7.xml" /><Relationship Id="rId24" Type="http://schemas.openxmlformats.org/officeDocument/2006/relationships/header" Target="header12.xml" /><Relationship Id="rId25" Type="http://schemas.openxmlformats.org/officeDocument/2006/relationships/footer" Target="footer8.xml" /><Relationship Id="rId26" Type="http://schemas.openxmlformats.org/officeDocument/2006/relationships/image" Target="media/image1.jpeg" /><Relationship Id="rId27" Type="http://schemas.openxmlformats.org/officeDocument/2006/relationships/header" Target="header13.xml" /><Relationship Id="rId28" Type="http://schemas.openxmlformats.org/officeDocument/2006/relationships/header" Target="header14.xml"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header" Target="header15.xml" /><Relationship Id="rId31" Type="http://schemas.openxmlformats.org/officeDocument/2006/relationships/footer" Target="footer10.xml" /><Relationship Id="rId32" Type="http://schemas.openxmlformats.org/officeDocument/2006/relationships/header" Target="header16.xml" /><Relationship Id="rId33" Type="http://schemas.openxmlformats.org/officeDocument/2006/relationships/header" Target="header17.xml" /><Relationship Id="rId34" Type="http://schemas.openxmlformats.org/officeDocument/2006/relationships/footer" Target="footer11.xml" /><Relationship Id="rId35" Type="http://schemas.openxmlformats.org/officeDocument/2006/relationships/header" Target="header18.xml" /><Relationship Id="rId36" Type="http://schemas.openxmlformats.org/officeDocument/2006/relationships/footer" Target="footer12.xml" /><Relationship Id="rId37" Type="http://schemas.openxmlformats.org/officeDocument/2006/relationships/header" Target="header19.xml" /><Relationship Id="rId38" Type="http://schemas.openxmlformats.org/officeDocument/2006/relationships/header" Target="header20.xml" /><Relationship Id="rId39" Type="http://schemas.openxmlformats.org/officeDocument/2006/relationships/footer" Target="footer13.xml" /><Relationship Id="rId4" Type="http://schemas.openxmlformats.org/officeDocument/2006/relationships/customXml" Target="../customXml/item1.xml" /><Relationship Id="rId40" Type="http://schemas.openxmlformats.org/officeDocument/2006/relationships/header" Target="header21.xml" /><Relationship Id="rId41" Type="http://schemas.openxmlformats.org/officeDocument/2006/relationships/footer" Target="footer14.xml" /><Relationship Id="rId42" Type="http://schemas.openxmlformats.org/officeDocument/2006/relationships/image" Target="media/image2.jpeg" /><Relationship Id="rId43" Type="http://schemas.openxmlformats.org/officeDocument/2006/relationships/hyperlink" Target="https://d.book118.com/865211102213011044" TargetMode="External" /><Relationship Id="rId44" Type="http://schemas.openxmlformats.org/officeDocument/2006/relationships/header" Target="header22.xml" /><Relationship Id="rId45" Type="http://schemas.openxmlformats.org/officeDocument/2006/relationships/header" Target="header23.xml" /><Relationship Id="rId46" Type="http://schemas.openxmlformats.org/officeDocument/2006/relationships/footer" Target="footer15.xml" /><Relationship Id="rId47" Type="http://schemas.openxmlformats.org/officeDocument/2006/relationships/header" Target="header24.xml" /><Relationship Id="rId48" Type="http://schemas.openxmlformats.org/officeDocument/2006/relationships/footer" Target="footer16.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styles" Target="styles.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8</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