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印花纹理项目融资计划书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3" w:history="1">
        <w:r>
          <w:rPr>
            <w:rFonts w:ascii="仿宋" w:eastAsia="仿宋" w:hAnsi="仿宋" w:cs="仿宋" w:hint="eastAsia"/>
            <w:lang w:eastAsia="zh-CN"/>
          </w:rPr>
          <w:t>一、印花纹理项目概论</w:t>
        </w:r>
        <w:r>
          <w:tab/>
        </w:r>
        <w:r>
          <w:fldChar w:fldCharType="begin"/>
        </w:r>
        <w:r>
          <w:instrText xml:space="preserve"> PAGEREF _Toc4513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9" w:history="1">
        <w:r>
          <w:rPr>
            <w:rFonts w:ascii="仿宋" w:eastAsia="仿宋" w:hAnsi="仿宋" w:cs="仿宋" w:hint="eastAsia"/>
            <w:lang w:eastAsia="zh-CN"/>
          </w:rPr>
          <w:t>(一)、印花纹理项目申报单位概况</w:t>
        </w:r>
        <w:r>
          <w:tab/>
        </w:r>
        <w:r>
          <w:fldChar w:fldCharType="begin"/>
        </w:r>
        <w:r>
          <w:instrText xml:space="preserve"> PAGEREF _Toc12109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1" w:history="1">
        <w:r>
          <w:rPr>
            <w:rFonts w:ascii="仿宋" w:eastAsia="仿宋" w:hAnsi="仿宋" w:cs="仿宋" w:hint="eastAsia"/>
            <w:lang w:eastAsia="zh-CN"/>
          </w:rPr>
          <w:t>(二)、印花纹理项目概况</w:t>
        </w:r>
        <w:r>
          <w:tab/>
        </w:r>
        <w:r>
          <w:fldChar w:fldCharType="begin"/>
        </w:r>
        <w:r>
          <w:instrText xml:space="preserve"> PAGEREF _Toc18611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8" w:history="1">
        <w:r>
          <w:rPr>
            <w:rFonts w:ascii="仿宋" w:eastAsia="仿宋" w:hAnsi="仿宋" w:cs="仿宋" w:hint="eastAsia"/>
            <w:lang w:eastAsia="zh-CN"/>
          </w:rPr>
          <w:t>二、社交媒体与在线营销</w:t>
        </w:r>
        <w:r>
          <w:tab/>
        </w:r>
        <w:r>
          <w:fldChar w:fldCharType="begin"/>
        </w:r>
        <w:r>
          <w:instrText xml:space="preserve"> PAGEREF _Toc32498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_Toc2004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8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_Toc4478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1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_Toc20991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eastAsia="zh-CN"/>
          </w:rPr>
          <w:t>三、印花纹理项目选址说明</w:t>
        </w:r>
        <w:r>
          <w:tab/>
        </w:r>
        <w:r>
          <w:fldChar w:fldCharType="begin"/>
        </w:r>
        <w:r>
          <w:instrText xml:space="preserve"> PAGEREF _Toc22700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(一)、印花纹理项目选址原则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(二)、印花纹理项目选址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_Toc20867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_Toc24567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_Toc12194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1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_Toc7281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8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_Toc16708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3" w:history="1">
        <w:r>
          <w:rPr>
            <w:rFonts w:ascii="仿宋" w:eastAsia="仿宋" w:hAnsi="仿宋" w:cs="仿宋" w:hint="eastAsia"/>
            <w:lang w:eastAsia="zh-CN"/>
          </w:rPr>
          <w:t>四、印花纹理项目建设单位说明</w:t>
        </w:r>
        <w:r>
          <w:tab/>
        </w:r>
        <w:r>
          <w:fldChar w:fldCharType="begin"/>
        </w:r>
        <w:r>
          <w:instrText xml:space="preserve"> PAGEREF _Toc21753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" w:history="1">
        <w:r>
          <w:rPr>
            <w:rFonts w:ascii="仿宋" w:eastAsia="仿宋" w:hAnsi="仿宋" w:cs="仿宋" w:hint="eastAsia"/>
            <w:lang w:eastAsia="zh-CN"/>
          </w:rPr>
          <w:t>(一)、印花纹理项目承办单位基本情况</w:t>
        </w:r>
        <w:r>
          <w:tab/>
        </w:r>
        <w:r>
          <w:fldChar w:fldCharType="begin"/>
        </w:r>
        <w:r>
          <w:instrText xml:space="preserve"> PAGEREF _Toc1915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_Toc2687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0" w:history="1">
        <w:r>
          <w:rPr>
            <w:rFonts w:ascii="仿宋" w:eastAsia="仿宋" w:hAnsi="仿宋" w:cs="仿宋" w:hint="eastAsia"/>
            <w:lang w:eastAsia="zh-CN"/>
          </w:rPr>
          <w:t>五、市场分析预测</w:t>
        </w:r>
        <w:r>
          <w:tab/>
        </w:r>
        <w:r>
          <w:fldChar w:fldCharType="begin"/>
        </w:r>
        <w:r>
          <w:instrText xml:space="preserve"> PAGEREF _Toc18310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7" w:history="1">
        <w:r>
          <w:rPr>
            <w:rFonts w:ascii="仿宋" w:eastAsia="仿宋" w:hAnsi="仿宋" w:cs="仿宋" w:hint="eastAsia"/>
            <w:lang w:eastAsia="zh-CN"/>
          </w:rPr>
          <w:t>(一)、印花纹理行业分析</w:t>
        </w:r>
        <w:r>
          <w:tab/>
        </w:r>
        <w:r>
          <w:fldChar w:fldCharType="begin"/>
        </w:r>
        <w:r>
          <w:instrText xml:space="preserve"> PAGEREF _Toc15657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6" w:history="1">
        <w:r>
          <w:rPr>
            <w:rFonts w:ascii="仿宋" w:eastAsia="仿宋" w:hAnsi="仿宋" w:cs="仿宋" w:hint="eastAsia"/>
            <w:lang w:eastAsia="zh-CN"/>
          </w:rPr>
          <w:t>(二)、印花纹理市场分析预测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六、背景和必要性研究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1" w:history="1">
        <w:r>
          <w:rPr>
            <w:rFonts w:ascii="仿宋" w:eastAsia="仿宋" w:hAnsi="仿宋" w:cs="仿宋" w:hint="eastAsia"/>
            <w:lang w:eastAsia="zh-CN"/>
          </w:rPr>
          <w:t>(一)、印花纹理项目承办单位背景分析</w:t>
        </w:r>
        <w:r>
          <w:tab/>
        </w:r>
        <w:r>
          <w:fldChar w:fldCharType="begin"/>
        </w:r>
        <w:r>
          <w:instrText xml:space="preserve"> PAGEREF _Toc25151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5" w:history="1">
        <w:r>
          <w:rPr>
            <w:rFonts w:ascii="仿宋" w:eastAsia="仿宋" w:hAnsi="仿宋" w:cs="仿宋" w:hint="eastAsia"/>
            <w:lang w:eastAsia="zh-CN"/>
          </w:rPr>
          <w:t>(二)、印花纹理项目背景分析</w:t>
        </w:r>
        <w:r>
          <w:tab/>
        </w:r>
        <w:r>
          <w:fldChar w:fldCharType="begin"/>
        </w:r>
        <w:r>
          <w:instrText xml:space="preserve"> PAGEREF _Toc21955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七、产品规划分析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八、运营风险管理的一般程序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7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_Toc25287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1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_Toc16101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7" w:history="1">
        <w:r>
          <w:rPr>
            <w:rFonts w:ascii="仿宋" w:eastAsia="仿宋" w:hAnsi="仿宋" w:cs="仿宋" w:hint="eastAsia"/>
            <w:lang w:eastAsia="zh-CN"/>
          </w:rPr>
          <w:t>九、环境保护措施</w:t>
        </w:r>
        <w:r>
          <w:tab/>
        </w:r>
        <w:r>
          <w:fldChar w:fldCharType="begin"/>
        </w:r>
        <w:r>
          <w:instrText xml:space="preserve"> PAGEREF _Toc15367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7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_Toc4187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6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_Toc9926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3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_Toc31483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2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_Toc15522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eastAsia="zh-CN"/>
          </w:rPr>
          <w:t>十、环境影响分析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_Toc2629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_Toc2680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0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_Toc18650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7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5" w:history="1">
        <w:r>
          <w:rPr>
            <w:rFonts w:ascii="仿宋" w:eastAsia="仿宋" w:hAnsi="仿宋" w:cs="仿宋" w:hint="eastAsia"/>
            <w:lang w:eastAsia="zh-CN"/>
          </w:rPr>
          <w:t>十一、员工社会责任履行及参与公益活动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4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_Toc16944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4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_Toc16414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0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_Toc15930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0" w:history="1">
        <w:r>
          <w:rPr>
            <w:rFonts w:ascii="仿宋" w:eastAsia="仿宋" w:hAnsi="仿宋" w:cs="仿宋" w:hint="eastAsia"/>
            <w:lang w:eastAsia="zh-CN"/>
          </w:rPr>
          <w:t>十二、印花纹理项目背景、必要性</w:t>
        </w:r>
        <w:r>
          <w:tab/>
        </w:r>
        <w:r>
          <w:fldChar w:fldCharType="begin"/>
        </w:r>
        <w:r>
          <w:instrText xml:space="preserve"> PAGEREF _Toc14370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_Toc6626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9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4" w:history="1">
        <w:r>
          <w:rPr>
            <w:rFonts w:ascii="仿宋" w:eastAsia="仿宋" w:hAnsi="仿宋" w:cs="仿宋" w:hint="eastAsia"/>
            <w:lang w:eastAsia="zh-CN"/>
          </w:rPr>
          <w:t>(二)、知识产权</w:t>
        </w:r>
        <w:r>
          <w:tab/>
        </w:r>
        <w:r>
          <w:fldChar w:fldCharType="begin"/>
        </w:r>
        <w:r>
          <w:instrText xml:space="preserve"> PAGEREF _Toc22534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1" w:history="1">
        <w:r>
          <w:rPr>
            <w:rFonts w:ascii="仿宋" w:eastAsia="仿宋" w:hAnsi="仿宋" w:cs="仿宋" w:hint="eastAsia"/>
            <w:lang w:eastAsia="zh-CN"/>
          </w:rPr>
          <w:t>(三)、税务合规</w:t>
        </w:r>
        <w:r>
          <w:tab/>
        </w:r>
        <w:r>
          <w:fldChar w:fldCharType="begin"/>
        </w:r>
        <w:r>
          <w:instrText xml:space="preserve"> PAGEREF _Toc31721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" w:history="1">
        <w:r>
          <w:rPr>
            <w:rFonts w:ascii="仿宋" w:eastAsia="仿宋" w:hAnsi="仿宋" w:cs="仿宋" w:hint="eastAsia"/>
            <w:lang w:eastAsia="zh-CN"/>
          </w:rPr>
          <w:t>十四、工程设计方案</w:t>
        </w:r>
        <w:r>
          <w:tab/>
        </w:r>
        <w:r>
          <w:fldChar w:fldCharType="begin"/>
        </w:r>
        <w:r>
          <w:instrText xml:space="preserve"> PAGEREF _Toc1090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6" w:history="1">
        <w:r>
          <w:rPr>
            <w:rFonts w:ascii="仿宋" w:eastAsia="仿宋" w:hAnsi="仿宋" w:cs="仿宋" w:hint="eastAsia"/>
            <w:lang w:eastAsia="zh-CN"/>
          </w:rPr>
          <w:t>(二)、印花纹理项目工程建设标准规范</w:t>
        </w:r>
        <w:r>
          <w:tab/>
        </w:r>
        <w:r>
          <w:fldChar w:fldCharType="begin"/>
        </w:r>
        <w:r>
          <w:instrText xml:space="preserve"> PAGEREF _Toc19366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1" w:history="1">
        <w:r>
          <w:rPr>
            <w:rFonts w:ascii="仿宋" w:eastAsia="仿宋" w:hAnsi="仿宋" w:cs="仿宋" w:hint="eastAsia"/>
            <w:lang w:eastAsia="zh-CN"/>
          </w:rPr>
          <w:t>(三)、印花纹理项目总平面设计要求</w:t>
        </w:r>
        <w:r>
          <w:tab/>
        </w:r>
        <w:r>
          <w:fldChar w:fldCharType="begin"/>
        </w:r>
        <w:r>
          <w:instrText xml:space="preserve"> PAGEREF _Toc18651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_Toc6785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_Toc3629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_Toc27651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5" w:history="1">
        <w:r>
          <w:rPr>
            <w:rFonts w:ascii="仿宋" w:eastAsia="仿宋" w:hAnsi="仿宋" w:cs="仿宋" w:hint="eastAsia"/>
            <w:lang w:eastAsia="zh-CN"/>
          </w:rPr>
          <w:t>十五、员工满意度调查与提升策略</w:t>
        </w:r>
        <w:r>
          <w:tab/>
        </w:r>
        <w:r>
          <w:fldChar w:fldCharType="begin"/>
        </w:r>
        <w:r>
          <w:instrText xml:space="preserve"> PAGEREF _Toc29765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1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_Toc32391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_Toc828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8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十六、印花纹理项目沟通与合作机制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eastAsia="zh-CN"/>
          </w:rPr>
          <w:t>(一)、沟通体系构建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(二)、合作伙伴选择与合作方式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6" w:history="1">
        <w:r>
          <w:rPr>
            <w:rFonts w:ascii="仿宋" w:eastAsia="仿宋" w:hAnsi="仿宋" w:cs="仿宋" w:hint="eastAsia"/>
            <w:lang w:eastAsia="zh-CN"/>
          </w:rPr>
          <w:t>(三)、利益相关方管理</w:t>
        </w:r>
        <w:r>
          <w:tab/>
        </w:r>
        <w:r>
          <w:fldChar w:fldCharType="begin"/>
        </w:r>
        <w:r>
          <w:instrText xml:space="preserve"> PAGEREF _Toc15986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eastAsia="zh-CN"/>
          </w:rPr>
          <w:t>(四)、团队协作与合作文化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" w:history="1">
        <w:r>
          <w:rPr>
            <w:rFonts w:ascii="仿宋" w:eastAsia="仿宋" w:hAnsi="仿宋" w:cs="仿宋" w:hint="eastAsia"/>
            <w:lang w:eastAsia="zh-CN"/>
          </w:rPr>
          <w:t>(五)、跨部门协同与协作平台</w:t>
        </w:r>
        <w:r>
          <w:tab/>
        </w:r>
        <w:r>
          <w:fldChar w:fldCharType="begin"/>
        </w:r>
        <w:r>
          <w:instrText xml:space="preserve"> PAGEREF _Toc1279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6" w:history="1">
        <w:r>
          <w:rPr>
            <w:rFonts w:ascii="仿宋" w:eastAsia="仿宋" w:hAnsi="仿宋" w:cs="仿宋" w:hint="eastAsia"/>
            <w:lang w:eastAsia="zh-CN"/>
          </w:rPr>
          <w:t>(六)、沟通与合作中的问题解决</w:t>
        </w:r>
        <w:r>
          <w:tab/>
        </w:r>
        <w:r>
          <w:fldChar w:fldCharType="begin"/>
        </w:r>
        <w:r>
          <w:instrText xml:space="preserve"> PAGEREF _Toc8296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(七)、共享资源与互惠机制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(八)、沟通与合作绩效评估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3" w:history="1">
        <w:r>
          <w:rPr>
            <w:rFonts w:ascii="仿宋" w:eastAsia="仿宋" w:hAnsi="仿宋" w:cs="仿宋" w:hint="eastAsia"/>
            <w:lang w:eastAsia="zh-CN"/>
          </w:rPr>
          <w:t>十七、项目危机管理</w:t>
        </w:r>
        <w:r>
          <w:tab/>
        </w:r>
        <w:r>
          <w:fldChar w:fldCharType="begin"/>
        </w:r>
        <w:r>
          <w:instrText xml:space="preserve"> PAGEREF _Toc8803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3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_Toc28453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7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_Toc16377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9" w:history="1">
        <w:r>
          <w:rPr>
            <w:rFonts w:ascii="仿宋" w:eastAsia="仿宋" w:hAnsi="仿宋" w:cs="仿宋" w:hint="eastAsia"/>
            <w:lang w:eastAsia="zh-CN"/>
          </w:rPr>
          <w:t>十八、印花纹理行业供应链管理</w:t>
        </w:r>
        <w:r>
          <w:tab/>
        </w:r>
        <w:r>
          <w:fldChar w:fldCharType="begin"/>
        </w:r>
        <w:r>
          <w:instrText xml:space="preserve"> PAGEREF _Toc4099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776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_Toc26776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8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_Toc7758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1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_Toc28421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3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_Toc21993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十九、财务管理与报告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0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_Toc18410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3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_Toc4433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5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_Toc28275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_Toc30463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_Toc15794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513"/>
      <w:r>
        <w:rPr>
          <w:rFonts w:ascii="仿宋" w:eastAsia="仿宋" w:hAnsi="仿宋" w:cs="仿宋" w:hint="eastAsia"/>
          <w:sz w:val="28"/>
          <w:lang w:eastAsia="zh-CN"/>
        </w:rPr>
        <w:t>一、印花纹理项目概论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109"/>
      <w:r>
        <w:rPr>
          <w:rFonts w:ascii="仿宋" w:eastAsia="仿宋" w:hAnsi="仿宋" w:cs="仿宋" w:hint="eastAsia"/>
          <w:lang w:eastAsia="zh-CN"/>
        </w:rPr>
        <w:t>(一)、印花纹理项目申报单位概况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企业名称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秉承以人为本、宾客至上的服务理念，坚持诚信、优质服务、市场赢利的经营原则。我们以“和谐发展”为企业目标，践行社会责任，秉持“责任、公平、开放、实事求是”的企业价值观，服务遍布全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https://d.book118.com/865304230123011122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印花纹理项目融资计划书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194C37"/>
    <w:rsid w:val="4593521B"/>
    <w:rsid w:val="6F194C3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5304230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2024-03-13T08:14:00Z</dcterms:created>
  <dcterms:modified xsi:type="dcterms:W3CDTF">2024-03-13T08:14:12Z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B1279D9916A64052B53DB9AB0EFA28A3_11</vt:lpwstr>
  </property>
  <property fmtid="{D5CDD505-2E9C-101B-9397-08002B2CF9AE}" pid="3" name="KSOProductBuildVer">
    <vt:lpwstr>2052-12.1.0.16399</vt:lpwstr>
  </property>
</Properties>
</file>