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老年金融产业分析报告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977" w:history="1">
        <w:r>
          <w:rPr>
            <w:rFonts w:ascii="仿宋" w:eastAsia="仿宋" w:hAnsi="仿宋" w:cs="仿宋" w:hint="eastAsia"/>
            <w:lang w:val="en-GB"/>
          </w:rPr>
          <w:t>概论</w:t>
        </w:r>
        <w:r>
          <w:tab/>
        </w:r>
        <w:r>
          <w:fldChar w:fldCharType="begin"/>
        </w:r>
        <w:r>
          <w:instrText xml:space="preserve"> PAGEREF _Toc5977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1" w:history="1">
        <w:r>
          <w:rPr>
            <w:rFonts w:ascii="仿宋" w:eastAsia="仿宋" w:hAnsi="仿宋" w:cs="仿宋" w:hint="eastAsia"/>
            <w:lang w:val="en-GB"/>
          </w:rPr>
          <w:t>一、员工培训与绩效提升</w:t>
        </w:r>
        <w:r>
          <w:tab/>
        </w:r>
        <w:r>
          <w:fldChar w:fldCharType="begin"/>
        </w:r>
        <w:r>
          <w:instrText xml:space="preserve"> PAGEREF _Toc2281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2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_Toc10322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3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_Toc5243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1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_Toc15561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3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_Toc22963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79" w:history="1">
        <w:r>
          <w:rPr>
            <w:rFonts w:ascii="仿宋" w:eastAsia="仿宋" w:hAnsi="仿宋" w:cs="仿宋" w:hint="eastAsia"/>
            <w:lang w:val="en-GB"/>
          </w:rPr>
          <w:t>二、发展规划分析</w:t>
        </w:r>
        <w:r>
          <w:tab/>
        </w:r>
        <w:r>
          <w:fldChar w:fldCharType="begin"/>
        </w:r>
        <w:r>
          <w:instrText xml:space="preserve"> PAGEREF _Toc27879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9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_Toc13089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6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_Toc26596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85" w:history="1">
        <w:r>
          <w:rPr>
            <w:rFonts w:ascii="仿宋" w:eastAsia="仿宋" w:hAnsi="仿宋" w:cs="仿宋" w:hint="eastAsia"/>
            <w:lang w:val="en-GB"/>
          </w:rPr>
          <w:t>三、SWOT分析说明</w:t>
        </w:r>
        <w:r>
          <w:tab/>
        </w:r>
        <w:r>
          <w:fldChar w:fldCharType="begin"/>
        </w:r>
        <w:r>
          <w:instrText xml:space="preserve"> PAGEREF _Toc24185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78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_Toc31378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4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_Toc11114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6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_Toc15206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9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_Toc19989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88" w:history="1">
        <w:r>
          <w:rPr>
            <w:rFonts w:ascii="仿宋" w:eastAsia="仿宋" w:hAnsi="仿宋" w:cs="仿宋" w:hint="eastAsia"/>
            <w:lang w:val="en-GB"/>
          </w:rPr>
          <w:t>四、市场地位与竞争战略</w:t>
        </w:r>
        <w:r>
          <w:tab/>
        </w:r>
        <w:r>
          <w:fldChar w:fldCharType="begin"/>
        </w:r>
        <w:r>
          <w:instrText xml:space="preserve"> PAGEREF _Toc3988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7" w:history="1">
        <w:r>
          <w:rPr>
            <w:rFonts w:ascii="仿宋" w:eastAsia="仿宋" w:hAnsi="仿宋" w:cs="仿宋" w:hint="eastAsia"/>
            <w:lang w:val="en-GB"/>
          </w:rPr>
          <w:t>(一)、顾客忠诚</w:t>
        </w:r>
        <w:r>
          <w:tab/>
        </w:r>
        <w:r>
          <w:fldChar w:fldCharType="begin"/>
        </w:r>
        <w:r>
          <w:instrText xml:space="preserve"> PAGEREF _Toc23077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0" w:history="1">
        <w:r>
          <w:rPr>
            <w:rFonts w:ascii="仿宋" w:eastAsia="仿宋" w:hAnsi="仿宋" w:cs="仿宋" w:hint="eastAsia"/>
            <w:lang w:val="en-GB"/>
          </w:rPr>
          <w:t>(二)、全面质量管理</w:t>
        </w:r>
        <w:r>
          <w:tab/>
        </w:r>
        <w:r>
          <w:fldChar w:fldCharType="begin"/>
        </w:r>
        <w:r>
          <w:instrText xml:space="preserve"> PAGEREF _Toc6710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7" w:history="1">
        <w:r>
          <w:rPr>
            <w:rFonts w:ascii="仿宋" w:eastAsia="仿宋" w:hAnsi="仿宋" w:cs="仿宋" w:hint="eastAsia"/>
            <w:lang w:val="en-GB"/>
          </w:rPr>
          <w:t>(三)、研究市场营销学的意义</w:t>
        </w:r>
        <w:r>
          <w:tab/>
        </w:r>
        <w:r>
          <w:fldChar w:fldCharType="begin"/>
        </w:r>
        <w:r>
          <w:instrText xml:space="preserve"> PAGEREF _Toc21477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4" w:history="1">
        <w:r>
          <w:rPr>
            <w:rFonts w:ascii="仿宋" w:eastAsia="仿宋" w:hAnsi="仿宋" w:cs="仿宋" w:hint="eastAsia"/>
            <w:lang w:val="en-GB"/>
          </w:rPr>
          <w:t>(四)、市场营销学的研究方法</w:t>
        </w:r>
        <w:r>
          <w:tab/>
        </w:r>
        <w:r>
          <w:fldChar w:fldCharType="begin"/>
        </w:r>
        <w:r>
          <w:instrText xml:space="preserve"> PAGEREF _Toc28064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7" w:history="1">
        <w:r>
          <w:rPr>
            <w:rFonts w:ascii="仿宋" w:eastAsia="仿宋" w:hAnsi="仿宋" w:cs="仿宋" w:hint="eastAsia"/>
            <w:lang w:val="en-GB"/>
          </w:rPr>
          <w:t>(五)、选择进攻战略</w:t>
        </w:r>
        <w:r>
          <w:tab/>
        </w:r>
        <w:r>
          <w:fldChar w:fldCharType="begin"/>
        </w:r>
        <w:r>
          <w:instrText xml:space="preserve"> PAGEREF _Toc28357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8" w:history="1">
        <w:r>
          <w:rPr>
            <w:rFonts w:ascii="仿宋" w:eastAsia="仿宋" w:hAnsi="仿宋" w:cs="仿宋" w:hint="eastAsia"/>
            <w:lang w:val="en-GB"/>
          </w:rPr>
          <w:t>(六)、确定战略目标与竞争对手</w:t>
        </w:r>
        <w:r>
          <w:tab/>
        </w:r>
        <w:r>
          <w:fldChar w:fldCharType="begin"/>
        </w:r>
        <w:r>
          <w:instrText xml:space="preserve"> PAGEREF _Toc22598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2" w:history="1">
        <w:r>
          <w:rPr>
            <w:rFonts w:ascii="仿宋" w:eastAsia="仿宋" w:hAnsi="仿宋" w:cs="仿宋" w:hint="eastAsia"/>
            <w:lang w:val="en-GB"/>
          </w:rPr>
          <w:t>(七)、市场追随者战略</w:t>
        </w:r>
        <w:r>
          <w:tab/>
        </w:r>
        <w:r>
          <w:fldChar w:fldCharType="begin"/>
        </w:r>
        <w:r>
          <w:instrText xml:space="preserve"> PAGEREF _Toc3362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0" w:history="1">
        <w:r>
          <w:rPr>
            <w:rFonts w:ascii="仿宋" w:eastAsia="仿宋" w:hAnsi="仿宋" w:cs="仿宋" w:hint="eastAsia"/>
            <w:lang w:val="en-GB"/>
          </w:rPr>
          <w:t>(八)、市场利基者战略</w:t>
        </w:r>
        <w:r>
          <w:tab/>
        </w:r>
        <w:r>
          <w:fldChar w:fldCharType="begin"/>
        </w:r>
        <w:r>
          <w:instrText xml:space="preserve"> PAGEREF _Toc12770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9" w:history="1">
        <w:r>
          <w:rPr>
            <w:rFonts w:ascii="仿宋" w:eastAsia="仿宋" w:hAnsi="仿宋" w:cs="仿宋" w:hint="eastAsia"/>
            <w:lang w:val="en-GB"/>
          </w:rPr>
          <w:t>(九)、竞争战略选择</w:t>
        </w:r>
        <w:r>
          <w:tab/>
        </w:r>
        <w:r>
          <w:fldChar w:fldCharType="begin"/>
        </w:r>
        <w:r>
          <w:instrText xml:space="preserve"> PAGEREF _Toc29529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1" w:history="1">
        <w:r>
          <w:rPr>
            <w:rFonts w:ascii="仿宋" w:eastAsia="仿宋" w:hAnsi="仿宋" w:cs="仿宋" w:hint="eastAsia"/>
            <w:lang w:val="en-GB"/>
          </w:rPr>
          <w:t>(十)、老年金融行业竞争者识别</w:t>
        </w:r>
        <w:r>
          <w:tab/>
        </w:r>
        <w:r>
          <w:fldChar w:fldCharType="begin"/>
        </w:r>
        <w:r>
          <w:instrText xml:space="preserve"> PAGEREF _Toc29371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81" w:history="1">
        <w:r>
          <w:rPr>
            <w:rFonts w:ascii="仿宋" w:eastAsia="仿宋" w:hAnsi="仿宋" w:cs="仿宋" w:hint="eastAsia"/>
            <w:lang w:val="en-GB"/>
          </w:rPr>
          <w:t>五、公司简介</w:t>
        </w:r>
        <w:r>
          <w:tab/>
        </w:r>
        <w:r>
          <w:fldChar w:fldCharType="begin"/>
        </w:r>
        <w:r>
          <w:instrText xml:space="preserve"> PAGEREF _Toc28781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4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_Toc28224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7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_Toc4287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43" w:history="1">
        <w:r>
          <w:rPr>
            <w:rFonts w:ascii="仿宋" w:eastAsia="仿宋" w:hAnsi="仿宋" w:cs="仿宋" w:hint="eastAsia"/>
            <w:lang w:val="en-GB"/>
          </w:rPr>
          <w:t>六、老年金融促销策略</w:t>
        </w:r>
        <w:r>
          <w:tab/>
        </w:r>
        <w:r>
          <w:fldChar w:fldCharType="begin"/>
        </w:r>
        <w:r>
          <w:instrText xml:space="preserve"> PAGEREF _Toc4943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19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_Toc21419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2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_Toc26592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4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_Toc25364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1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_Toc25331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3" w:history="1">
        <w:r>
          <w:rPr>
            <w:rFonts w:ascii="仿宋" w:eastAsia="仿宋" w:hAnsi="仿宋" w:cs="仿宋" w:hint="eastAsia"/>
            <w:lang w:val="en-GB"/>
          </w:rPr>
          <w:t>七、技术与生产管理</w:t>
        </w:r>
        <w:r>
          <w:tab/>
        </w:r>
        <w:r>
          <w:fldChar w:fldCharType="begin"/>
        </w:r>
        <w:r>
          <w:instrText xml:space="preserve"> PAGEREF _Toc1043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4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_Toc7914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94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_Toc29294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0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_Toc28600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9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_Toc9349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1" w:history="1">
        <w:r>
          <w:rPr>
            <w:rFonts w:ascii="仿宋" w:eastAsia="仿宋" w:hAnsi="仿宋" w:cs="仿宋" w:hint="eastAsia"/>
            <w:lang w:val="en-GB"/>
          </w:rPr>
          <w:t>八、老年金融组织市场分析</w:t>
        </w:r>
        <w:r>
          <w:tab/>
        </w:r>
        <w:r>
          <w:fldChar w:fldCharType="begin"/>
        </w:r>
        <w:r>
          <w:instrText xml:space="preserve"> PAGEREF _Toc911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6" w:history="1">
        <w:r>
          <w:rPr>
            <w:rFonts w:ascii="仿宋" w:eastAsia="仿宋" w:hAnsi="仿宋" w:cs="仿宋" w:hint="eastAsia"/>
            <w:lang w:val="en-GB"/>
          </w:rPr>
          <w:t>(一)、组织结构</w:t>
        </w:r>
        <w:r>
          <w:tab/>
        </w:r>
        <w:r>
          <w:fldChar w:fldCharType="begin"/>
        </w:r>
        <w:r>
          <w:instrText xml:space="preserve"> PAGEREF _Toc9166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5" w:history="1">
        <w:r>
          <w:rPr>
            <w:rFonts w:ascii="仿宋" w:eastAsia="仿宋" w:hAnsi="仿宋" w:cs="仿宋" w:hint="eastAsia"/>
            <w:lang w:val="en-GB"/>
          </w:rPr>
          <w:t>(二)、决策机制</w:t>
        </w:r>
        <w:r>
          <w:tab/>
        </w:r>
        <w:r>
          <w:fldChar w:fldCharType="begin"/>
        </w:r>
        <w:r>
          <w:instrText xml:space="preserve"> PAGEREF _Toc10735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950" w:history="1">
        <w:r>
          <w:rPr>
            <w:rFonts w:ascii="仿宋" w:eastAsia="仿宋" w:hAnsi="仿宋" w:cs="仿宋" w:hint="eastAsia"/>
            <w:lang w:val="en-GB"/>
          </w:rPr>
          <w:t>(三)、企业文化</w:t>
        </w:r>
        <w:r>
          <w:tab/>
        </w:r>
        <w:r>
          <w:fldChar w:fldCharType="begin"/>
        </w:r>
        <w:r>
          <w:instrText xml:space="preserve"> PAGEREF _Toc17950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8" w:history="1">
        <w:r>
          <w:rPr>
            <w:rFonts w:ascii="仿宋" w:eastAsia="仿宋" w:hAnsi="仿宋" w:cs="仿宋" w:hint="eastAsia"/>
            <w:lang w:val="en-GB"/>
          </w:rPr>
          <w:t>(四)、供应商关系</w:t>
        </w:r>
        <w:r>
          <w:tab/>
        </w:r>
        <w:r>
          <w:fldChar w:fldCharType="begin"/>
        </w:r>
        <w:r>
          <w:instrText xml:space="preserve"> PAGEREF _Toc31818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04" w:history="1">
        <w:r>
          <w:rPr>
            <w:rFonts w:ascii="仿宋" w:eastAsia="仿宋" w:hAnsi="仿宋" w:cs="仿宋" w:hint="eastAsia"/>
            <w:lang w:val="en-GB"/>
          </w:rPr>
          <w:t>九、老年金融定价策略</w:t>
        </w:r>
        <w:r>
          <w:tab/>
        </w:r>
        <w:r>
          <w:fldChar w:fldCharType="begin"/>
        </w:r>
        <w:r>
          <w:instrText xml:space="preserve"> PAGEREF _Toc13904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3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_Toc15503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5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_Toc28425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9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_Toc8549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7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_Toc8357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24" w:history="1">
        <w:r>
          <w:rPr>
            <w:rFonts w:ascii="仿宋" w:eastAsia="仿宋" w:hAnsi="仿宋" w:cs="仿宋" w:hint="eastAsia"/>
            <w:lang w:val="en-GB"/>
          </w:rPr>
          <w:t>十、老年金融市场地位与竞争战略</w:t>
        </w:r>
        <w:r>
          <w:tab/>
        </w:r>
        <w:r>
          <w:fldChar w:fldCharType="begin"/>
        </w:r>
        <w:r>
          <w:instrText xml:space="preserve"> PAGEREF _Toc17624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_Toc920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8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_Toc20928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3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_Toc25283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4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_Toc11574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11" w:history="1">
        <w:r>
          <w:rPr>
            <w:rFonts w:ascii="仿宋" w:eastAsia="仿宋" w:hAnsi="仿宋" w:cs="仿宋" w:hint="eastAsia"/>
            <w:lang w:val="en-GB"/>
          </w:rPr>
          <w:t>十一、老年金融风险管理与合规</w:t>
        </w:r>
        <w:r>
          <w:tab/>
        </w:r>
        <w:r>
          <w:fldChar w:fldCharType="begin"/>
        </w:r>
        <w:r>
          <w:instrText xml:space="preserve"> PAGEREF _Toc17811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_Toc1230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5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_Toc8155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6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_Toc12136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16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_Toc24016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24" w:history="1">
        <w:r>
          <w:rPr>
            <w:rFonts w:ascii="仿宋" w:eastAsia="仿宋" w:hAnsi="仿宋" w:cs="仿宋" w:hint="eastAsia"/>
            <w:lang w:val="en-GB"/>
          </w:rPr>
          <w:t>十二、老年金融国际化战略</w:t>
        </w:r>
        <w:r>
          <w:tab/>
        </w:r>
        <w:r>
          <w:fldChar w:fldCharType="begin"/>
        </w:r>
        <w:r>
          <w:instrText xml:space="preserve"> PAGEREF _Toc32224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60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_Toc5260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5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_Toc16865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19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_Toc9219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4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_Toc17574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02" w:history="1">
        <w:r>
          <w:rPr>
            <w:rFonts w:ascii="仿宋" w:eastAsia="仿宋" w:hAnsi="仿宋" w:cs="仿宋" w:hint="eastAsia"/>
            <w:lang w:val="en-GB"/>
          </w:rPr>
          <w:t>十三、老年金融行业高质量发展</w:t>
        </w:r>
        <w:r>
          <w:tab/>
        </w:r>
        <w:r>
          <w:fldChar w:fldCharType="begin"/>
        </w:r>
        <w:r>
          <w:instrText xml:space="preserve"> PAGEREF _Toc15702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07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_Toc29807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0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_Toc6360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_Toc1778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1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_Toc16721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" w:history="1">
        <w:r>
          <w:rPr>
            <w:rFonts w:ascii="仿宋" w:eastAsia="仿宋" w:hAnsi="仿宋" w:cs="仿宋" w:hint="eastAsia"/>
            <w:lang w:val="en-GB"/>
          </w:rPr>
          <w:t>十四、老年金融供应链管理</w:t>
        </w:r>
        <w:r>
          <w:tab/>
        </w:r>
        <w:r>
          <w:fldChar w:fldCharType="begin"/>
        </w:r>
        <w:r>
          <w:instrText xml:space="preserve"> PAGEREF _Toc26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3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_Toc17983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68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_Toc18368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83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_Toc29983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3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_Toc3663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39" w:history="1">
        <w:r>
          <w:rPr>
            <w:rFonts w:ascii="仿宋" w:eastAsia="仿宋" w:hAnsi="仿宋" w:cs="仿宋" w:hint="eastAsia"/>
            <w:lang w:val="en-GB"/>
          </w:rPr>
          <w:t>十五、老年金融行业发展方向</w:t>
        </w:r>
        <w:r>
          <w:tab/>
        </w:r>
        <w:r>
          <w:fldChar w:fldCharType="begin"/>
        </w:r>
        <w:r>
          <w:instrText xml:space="preserve"> PAGEREF _Toc31239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8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_Toc32628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1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_Toc2591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0" w:history="1">
        <w:r>
          <w:rPr>
            <w:rFonts w:ascii="仿宋" w:eastAsia="仿宋" w:hAnsi="仿宋" w:cs="仿宋" w:hint="eastAsia"/>
            <w:lang w:val="en-GB"/>
          </w:rPr>
          <w:t>(三)、老年金融行业生态系统构建</w:t>
        </w:r>
        <w:r>
          <w:tab/>
        </w:r>
        <w:r>
          <w:fldChar w:fldCharType="begin"/>
        </w:r>
        <w:r>
          <w:instrText xml:space="preserve"> PAGEREF _Toc31550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9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_Toc3759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50" w:history="1">
        <w:r>
          <w:rPr>
            <w:rFonts w:ascii="仿宋" w:eastAsia="仿宋" w:hAnsi="仿宋" w:cs="仿宋" w:hint="eastAsia"/>
            <w:lang w:val="en-GB"/>
          </w:rPr>
          <w:t>十六、老年金融人才战略与团队建设</w:t>
        </w:r>
        <w:r>
          <w:tab/>
        </w:r>
        <w:r>
          <w:fldChar w:fldCharType="begin"/>
        </w:r>
        <w:r>
          <w:instrText xml:space="preserve"> PAGEREF _Toc4450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43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_Toc15843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16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_Toc6016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45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_Toc13945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5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_Toc14995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5977"/>
      <w:r>
        <w:rPr>
          <w:rFonts w:ascii="仿宋" w:eastAsia="仿宋" w:hAnsi="仿宋" w:cs="仿宋" w:hint="eastAsia"/>
          <w:lang w:val="en-GB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随着老年金融市场竞争的不断加剧，老年金融企业之间争夺市场份额的过程愈加复杂多变。本报告通过系统地分析市场趋势、行业壁垒、消费者偏好与竞争者行为，旨在为读者提供全面细致的市场分析及竞争策略。研究所得不仅能帮助企业制定科学合理的市场策略，还能在激烈的市场竞争中寻求到可持续的竞争优势。请注意，本报告的内容仅限于学习交流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2281"/>
      <w:r>
        <w:rPr>
          <w:rFonts w:ascii="仿宋" w:eastAsia="仿宋" w:hAnsi="仿宋" w:cs="仿宋" w:hint="eastAsia"/>
          <w:sz w:val="28"/>
          <w:lang w:val="en-GB"/>
        </w:rPr>
        <w:t>一、员工培训与绩效提升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10322"/>
      <w:r>
        <w:rPr>
          <w:rFonts w:ascii="仿宋" w:eastAsia="仿宋" w:hAnsi="仿宋" w:cs="仿宋" w:hint="eastAsia"/>
          <w:lang w:val="en-GB"/>
        </w:rPr>
        <w:t>(一)、培训需求分析与计划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为确保公司员工在不断变化的市场和老年金融行业中保持竞争力，公司将进行全面的培训需求分析与计划，以提高员工整体素质和适应公司发展需求。下面是公司在培训需求分析与计划方面的详细安排：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员工技能评估：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公司将通过技能评估，利用各类评估工具全面了解员工的技术水平和专业知识。这将有助于明确员工的技能缺口，为后续个性化培训提供基础数据，确保培训内容更贴近员工实际需求。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市场动态与老年金融行业趋势分析：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通过跟踪市场动态和老年金融行业趋势，公司将及时获取关于新技术、新趋势的信息。基于这些信息，公司将制定培训计划，使员工紧跟老年金融行业发展步伐，提高他们对市场的洞察力和适应力。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团队协作与领导力培训：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面向不同岗位的员工，公司将实施团队协作和领导力培训。通过这些培训，旨在提高团队协作效率，增强管理层的领导力，促使团队更好地协同工作，达到更高的业绩。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专业知识更新：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针对公司所处业务领域的最新发展，公司将定期进行专业知识更新培训。这有助于确保员工了解老年金融行业前沿信息，保持专业知识的新鲜度，提高其在专业领域内的竞争力。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职业素养提升：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除技术层面的培训外，公司将关注职业素养的提升，包括沟通技巧、时间管理、问题解决等方面。这将全面提高员工的综合素质，使其更好地应对各类工作挑战。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制定培训计划：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基于上述分析结果，公司将制定全员培训计划。该计划将详细规定培训的时间、地点和方式，确保培训具有系统性和实效性。这样的计划将有助于提高培训的组织性和员工的学习效果。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5243"/>
      <w:r>
        <w:rPr>
          <w:rFonts w:ascii="仿宋" w:eastAsia="仿宋" w:hAnsi="仿宋" w:cs="仿宋" w:hint="eastAsia"/>
          <w:sz w:val="28"/>
          <w:lang w:val="en-GB"/>
        </w:rPr>
        <w:t>(二)、绩效评价体系与激励机制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设立明确的绩效目标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绩效评价体系的第一步是设立明确的绩效目标。这些目标应该与公司的战略目标密切相关，明确员工在各自职责范围内的具体任务和期望成果。设立具体、可衡量、可达成的目标，有助于员工明确自己的工作重点，提高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多维度的评价标准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个有效的绩效评价体系应该包括多维度的评价标准，以全面评估员工的表现。这些标准可以包括工作成果的质量和数量、团队合作能力、创新能力、问题解决能力等。采用多元化的评价标准，有助于避免单一指标导致的评价片面性，更准确地反映员工的全面工作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定期的评价周期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定期的评价周期是绩效评价体系的重要组成部分。通过设立合适的评价周期，如季度或年度，有助于及时发现员工的工作问题，提高对员工表现的敏感度。同时，定期评价也为员工提供了持续改进的机会，促使其不断完善和提升自己的工作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激励机制是通过奖励和认可来激发员工积极性，促使其更好地完成工作任务。一个有效的激励机制可以帮助公司留住优秀人才，提高整体团队的绩效水平。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薪酬激励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薪酬激励是最直接的激励手段之一。通过设立合理的薪酬结构，包括基本工资、奖金、福利等，根据员工的绩效水平提供相应的薪酬激励。设立与绩效挂钩的薪酬制度，既能够激发员工的工作动力，又能够激发其追求卓越的愿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2. 晋升机会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晋升机会也是一种强有力的激励方式。通过制定明确的晋升渠道和条件，让员工清晰了解自己的职业发展方向，有助于员工更为努力地提升自己的工作能力。同时，晋升机会也是一种可持续的激励方式，有助于提高员工的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学习和发展机会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提供学习和发展机会，支持员工提升自身职业技能，也是一种重要的激励手段。公司可以设立培训计划、提供学术资助、鼓励员工参与专业认证等，以促使员工不断学习、不断提升自己的综合素质。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肯定与表彰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及时的肯定与表彰对于员工的激励起到了积极的作用。公司可以通过员工月度或季度表彰、年度绩效大会、荣誉证书颁发等方式，公开赞扬员工的出色表现，让员工感受到被重视和认可。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健康福利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提供良好的健康福利也是一种激励机制。关心员工的身体健康，提供医疗保险、健康体检、健身福利等，可以提高员工对公司的满意度，增强员工的归属感和忠诚度。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工作环境改善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改善工作环境也可以被视为一种激励手段。优越的工作环境包括舒适的办公场所、先进的工作设备、团队氛围等，能够提高员工的工作积极性和幸福感。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https://d.book118.com/866000200110010035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老年金融产业分析报告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老年金融产业分析报告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老年金融产业分析报告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老年金融产业分析报告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老年金融产业分析报告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老年金融产业分析报告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老年金融产业分析报告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A3235E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A3235E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66000200110010035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2024-01-08T18:42:00Z</dcterms:created>
  <dcterms:modified xsi:type="dcterms:W3CDTF">2024-01-08T18:43:02Z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2D4FA0D919AE488BBC558BCA3A1213FB_11</vt:lpwstr>
  </property>
  <property fmtid="{D5CDD505-2E9C-101B-9397-08002B2CF9AE}" pid="3" name="KSOProductBuildVer">
    <vt:lpwstr>2052-12.1.0.16120</vt:lpwstr>
  </property>
</Properties>
</file>