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工伤保险服务相关行业公司成立方案及可行性研究报告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(一)、工伤保险服务项目选址原则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(五)、工伤保险服务项目选址综合评价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四、工伤保险服务项目概况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(二)、工伤保险服务项目提出的理由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(三)、工伤保险服务项目选址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(六)、工伤保险服务项目投资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(七)、工伤保险服务项目进度规划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8" w:history="1">
        <w:r>
          <w:rPr>
            <w:rFonts w:ascii="仿宋" w:eastAsia="仿宋" w:hAnsi="仿宋" w:cs="仿宋" w:hint="eastAsia"/>
            <w:lang w:eastAsia="zh-CN"/>
          </w:rPr>
          <w:t>(九)、工伤保险服务项目综合评价</w:t>
        </w:r>
        <w:r>
          <w:tab/>
        </w:r>
        <w:r>
          <w:fldChar w:fldCharType="begin"/>
        </w:r>
        <w:r>
          <w:instrText xml:space="preserve"> PAGEREF _Toc27318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(一)、工伤保险服务项目进度安排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(二)、工伤保险服务项目实施保障措施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(五)、工伤保险服务项目总投资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十、工伤保险服务项目经济效益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(三)、工伤保险服务项目盈利能力分析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(一)、社会责任工伤保险服务项目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81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5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https://d.book118.com/866015024021010041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工伤保险服务相关行业公司成立方案及可行性研究报告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工伤保险服务相关行业公司成立方案及可行性研究报告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工伤保险服务相关行业公司成立方案及可行性研究报告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工伤保险服务相关行业公司成立方案及可行性研究报告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工伤保险服务相关行业公司成立方案及可行性研究报告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01502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2024-01-04T04:05:00Z</dcterms:created>
  <dcterms:modified xsi:type="dcterms:W3CDTF">2024-01-04T04:05:26Z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1E9C405913084DFEB9AEA303A257F319_11</vt:lpwstr>
  </property>
  <property fmtid="{D5CDD505-2E9C-101B-9397-08002B2CF9AE}" pid="3" name="KSOProductBuildVer">
    <vt:lpwstr>2052-12.1.0.16120</vt:lpwstr>
  </property>
</Properties>
</file>