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148B">
      <w:pPr>
        <w:jc w:val="center"/>
        <w:rPr>
          <w:rFonts w:ascii="华文行楷" w:eastAsia="华文行楷" w:hAnsi="宋体" w:hint="eastAsia"/>
          <w:b/>
          <w:bCs/>
          <w:color w:val="000000"/>
          <w:sz w:val="52"/>
          <w:szCs w:val="52"/>
        </w:rPr>
      </w:pPr>
      <w:r>
        <w:rPr>
          <w:rFonts w:ascii="华文行楷" w:eastAsia="华文行楷" w:hAnsi="宋体" w:hint="eastAsia"/>
          <w:b/>
          <w:bCs/>
          <w:color w:val="000000"/>
          <w:sz w:val="52"/>
          <w:szCs w:val="52"/>
        </w:rPr>
        <w:t>湖南农业大学东方科技学院</w:t>
      </w:r>
    </w:p>
    <w:p w:rsidR="0062148B">
      <w:pPr>
        <w:jc w:val="center"/>
        <w:rPr>
          <w:rFonts w:ascii="黑体" w:eastAsia="黑体" w:hAnsi="宋体"/>
          <w:b/>
          <w:bCs/>
          <w:color w:val="000000"/>
          <w:sz w:val="52"/>
          <w:szCs w:val="52"/>
        </w:rPr>
      </w:pPr>
      <w:r>
        <w:rPr>
          <w:rFonts w:ascii="黑体" w:eastAsia="黑体" w:hAnsi="宋体" w:hint="eastAsia"/>
          <w:b/>
          <w:bCs/>
          <w:color w:val="000000"/>
          <w:sz w:val="52"/>
          <w:szCs w:val="52"/>
        </w:rPr>
        <w:t>全日制普通本科生毕业论文</w:t>
      </w:r>
    </w:p>
    <w:p w:rsidR="0062148B">
      <w:pPr>
        <w:jc w:val="center"/>
        <w:rPr>
          <w:rFonts w:ascii="黑体" w:eastAsia="黑体" w:hint="eastAsia"/>
          <w:b/>
          <w:sz w:val="36"/>
          <w:szCs w:val="36"/>
        </w:rPr>
      </w:pPr>
      <w:r>
        <w:rPr>
          <w:rFonts w:ascii="黑体" w:eastAsia="黑体" w:hint="eastAsia"/>
          <w:b/>
          <w:sz w:val="36"/>
          <w:szCs w:val="36"/>
        </w:rPr>
        <w:t>恒大江湾房地产开发工程营销筹划</w:t>
      </w:r>
    </w:p>
    <w:p w:rsidR="0062148B">
      <w:pPr>
        <w:spacing w:line="440" w:lineRule="exact"/>
        <w:jc w:val="center"/>
        <w:rPr>
          <w:rFonts w:eastAsia="黑体" w:hint="eastAsia"/>
          <w:b/>
          <w:caps/>
          <w:sz w:val="28"/>
          <w:szCs w:val="36"/>
        </w:rPr>
      </w:pPr>
      <w:r>
        <w:rPr>
          <w:rFonts w:eastAsia="黑体" w:hint="eastAsia"/>
          <w:b/>
          <w:caps/>
          <w:sz w:val="28"/>
          <w:szCs w:val="36"/>
        </w:rPr>
        <w:t>Jiangwan Hengda Real Estate Development Project Marketing Planning</w:t>
      </w:r>
    </w:p>
    <w:p w:rsidR="0062148B">
      <w:pPr>
        <w:ind w:right="-693" w:rightChars="-330"/>
        <w:rPr>
          <w:rFonts w:ascii="楷体_GB2312" w:eastAsia="楷体_GB2312" w:hAnsi="宋体"/>
          <w:b/>
          <w:bCs/>
          <w:color w:val="000000"/>
          <w:sz w:val="32"/>
          <w:szCs w:val="32"/>
        </w:rPr>
      </w:pPr>
      <w:r>
        <w:rPr>
          <w:rFonts w:ascii="黑体" w:eastAsia="黑体" w:hAnsi="宋体" w:hint="eastAsia"/>
          <w:b/>
          <w:bCs/>
          <w:color w:val="000000"/>
          <w:sz w:val="32"/>
          <w:szCs w:val="32"/>
        </w:rPr>
        <w:t>学生姓名</w:t>
      </w:r>
      <w:r>
        <w:rPr>
          <w:rFonts w:ascii="宋体" w:hAnsi="宋体" w:hint="eastAsia"/>
          <w:b/>
          <w:bCs/>
          <w:color w:val="000000"/>
          <w:sz w:val="32"/>
          <w:szCs w:val="32"/>
        </w:rPr>
        <w:t>：</w:t>
      </w:r>
    </w:p>
    <w:p w:rsidR="0062148B">
      <w:pPr>
        <w:rPr>
          <w:rFonts w:ascii="楷体_GB2312" w:eastAsia="楷体_GB2312" w:hAnsi="宋体"/>
          <w:b/>
          <w:bCs/>
          <w:color w:val="000000"/>
          <w:sz w:val="32"/>
          <w:szCs w:val="32"/>
        </w:rPr>
      </w:pPr>
      <w:r>
        <w:rPr>
          <w:rFonts w:ascii="黑体" w:eastAsia="黑体" w:hAnsi="宋体" w:hint="eastAsia"/>
          <w:b/>
          <w:bCs/>
          <w:color w:val="000000"/>
          <w:sz w:val="32"/>
          <w:szCs w:val="32"/>
        </w:rPr>
        <w:t>学号：</w:t>
      </w:r>
      <w:r>
        <w:rPr>
          <w:rFonts w:ascii="楷体_GB2312" w:eastAsia="楷体_GB2312" w:hAnsi="宋体" w:hint="eastAsia"/>
          <w:b/>
          <w:bCs/>
          <w:color w:val="000000"/>
          <w:sz w:val="32"/>
          <w:szCs w:val="32"/>
        </w:rPr>
        <w:t>202341915323</w:t>
      </w:r>
    </w:p>
    <w:p w:rsidR="0062148B">
      <w:pPr>
        <w:rPr>
          <w:rFonts w:ascii="黑体" w:eastAsia="黑体" w:hAnsi="宋体"/>
          <w:b/>
          <w:bCs/>
          <w:color w:val="000000"/>
          <w:sz w:val="18"/>
          <w:szCs w:val="18"/>
        </w:rPr>
      </w:pPr>
      <w:r>
        <w:rPr>
          <w:rFonts w:ascii="黑体" w:eastAsia="黑体" w:hAnsi="宋体" w:hint="eastAsia"/>
          <w:b/>
          <w:bCs/>
          <w:color w:val="000000"/>
          <w:sz w:val="32"/>
          <w:szCs w:val="32"/>
        </w:rPr>
        <w:t>年级专业及班级：</w:t>
      </w:r>
      <w:r>
        <w:rPr>
          <w:rFonts w:ascii="楷体_GB2312" w:eastAsia="楷体_GB2312" w:hAnsi="宋体" w:hint="eastAsia"/>
          <w:b/>
          <w:bCs/>
          <w:color w:val="000000"/>
          <w:sz w:val="32"/>
          <w:szCs w:val="32"/>
        </w:rPr>
        <w:t>2023级工程管理〔3〕班</w:t>
      </w:r>
    </w:p>
    <w:p w:rsidR="0062148B">
      <w:pPr>
        <w:rPr>
          <w:rFonts w:ascii="楷体_GB2312" w:eastAsia="楷体_GB2312" w:hAnsi="宋体"/>
          <w:b/>
          <w:bCs/>
          <w:color w:val="000000"/>
          <w:sz w:val="32"/>
          <w:szCs w:val="32"/>
        </w:rPr>
      </w:pPr>
      <w:r>
        <w:rPr>
          <w:rFonts w:ascii="黑体" w:eastAsia="黑体" w:hAnsi="宋体" w:hint="eastAsia"/>
          <w:b/>
          <w:bCs/>
          <w:color w:val="000000"/>
          <w:sz w:val="32"/>
          <w:szCs w:val="32"/>
        </w:rPr>
        <w:t>指导老师及职称：</w:t>
      </w:r>
      <w:r>
        <w:rPr>
          <w:rFonts w:ascii="楷体_GB2312" w:eastAsia="楷体_GB2312" w:hAnsi="宋体" w:hint="eastAsia"/>
          <w:b/>
          <w:bCs/>
          <w:color w:val="000000"/>
          <w:sz w:val="32"/>
          <w:szCs w:val="32"/>
        </w:rPr>
        <w:t>李明孝 副教授</w:t>
      </w:r>
    </w:p>
    <w:p w:rsidR="0062148B">
      <w:pPr>
        <w:rPr>
          <w:rFonts w:ascii="楷体_GB2312" w:eastAsia="楷体_GB2312" w:hAnsi="宋体" w:hint="eastAsia"/>
          <w:b/>
          <w:bCs/>
          <w:color w:val="000000"/>
          <w:sz w:val="32"/>
          <w:szCs w:val="32"/>
        </w:rPr>
      </w:pPr>
      <w:r>
        <w:rPr>
          <w:rFonts w:ascii="黑体" w:eastAsia="黑体" w:hAnsi="宋体" w:hint="eastAsia"/>
          <w:b/>
          <w:bCs/>
          <w:color w:val="000000"/>
          <w:sz w:val="32"/>
          <w:szCs w:val="32"/>
        </w:rPr>
        <w:t>学部：</w:t>
      </w:r>
      <w:r>
        <w:rPr>
          <w:rFonts w:ascii="楷体_GB2312" w:eastAsia="楷体_GB2312" w:hAnsi="宋体" w:hint="eastAsia"/>
          <w:b/>
          <w:bCs/>
          <w:color w:val="000000"/>
          <w:sz w:val="32"/>
          <w:szCs w:val="32"/>
        </w:rPr>
        <w:t>理工学部</w:t>
      </w:r>
    </w:p>
    <w:p w:rsidR="0062148B">
      <w:pPr>
        <w:ind w:firstLine="3300" w:firstLineChars="1100"/>
        <w:rPr>
          <w:rFonts w:ascii="宋体"/>
          <w:color w:val="000000"/>
          <w:sz w:val="28"/>
          <w:szCs w:val="28"/>
        </w:rPr>
      </w:pPr>
      <w:r>
        <w:rPr>
          <w:rFonts w:ascii="黑体" w:eastAsia="黑体" w:hAnsi="宋体" w:hint="eastAsia"/>
          <w:color w:val="000000"/>
          <w:sz w:val="30"/>
          <w:szCs w:val="30"/>
        </w:rPr>
        <w:t>湖南</w:t>
      </w:r>
      <w:r>
        <w:rPr>
          <w:rFonts w:ascii="黑体" w:eastAsia="黑体" w:hAnsi="宋体" w:hint="eastAsia"/>
          <w:color w:val="000000"/>
          <w:sz w:val="30"/>
          <w:szCs w:val="30"/>
        </w:rPr>
        <w:t>·</w:t>
      </w:r>
      <w:r>
        <w:rPr>
          <w:rFonts w:ascii="黑体" w:eastAsia="黑体" w:hAnsi="宋体" w:hint="eastAsia"/>
          <w:color w:val="000000"/>
          <w:sz w:val="30"/>
          <w:szCs w:val="30"/>
        </w:rPr>
        <w:t>长沙</w:t>
      </w:r>
    </w:p>
    <w:p w:rsidR="0062148B">
      <w:pPr>
        <w:rPr>
          <w:rFonts w:ascii="黑体" w:eastAsia="黑体" w:hAnsi="宋体" w:hint="eastAsia"/>
          <w:color w:val="000000"/>
          <w:sz w:val="30"/>
          <w:szCs w:val="30"/>
        </w:rPr>
      </w:pPr>
      <w:r>
        <w:rPr>
          <w:rFonts w:ascii="黑体" w:eastAsia="黑体" w:hAnsi="宋体" w:hint="eastAsia"/>
          <w:color w:val="000000"/>
          <w:sz w:val="30"/>
          <w:szCs w:val="30"/>
        </w:rPr>
        <w:t xml:space="preserve">                提交日期：</w:t>
      </w:r>
      <w:r>
        <w:rPr>
          <w:rFonts w:ascii="黑体" w:eastAsia="黑体" w:hAnsi="宋体"/>
          <w:color w:val="000000"/>
          <w:sz w:val="30"/>
          <w:szCs w:val="30"/>
        </w:rPr>
        <w:t>2023</w:t>
      </w:r>
      <w:r>
        <w:rPr>
          <w:rFonts w:ascii="黑体" w:eastAsia="黑体" w:hAnsi="宋体" w:hint="eastAsia"/>
          <w:color w:val="000000"/>
          <w:sz w:val="30"/>
          <w:szCs w:val="30"/>
        </w:rPr>
        <w:t>年</w:t>
      </w:r>
      <w:r>
        <w:rPr>
          <w:rFonts w:ascii="黑体" w:eastAsia="黑体" w:hAnsi="宋体"/>
          <w:color w:val="000000"/>
          <w:sz w:val="30"/>
          <w:szCs w:val="30"/>
        </w:rPr>
        <w:t>5</w:t>
      </w:r>
      <w:r>
        <w:rPr>
          <w:rFonts w:ascii="黑体" w:eastAsia="黑体" w:hAnsi="宋体" w:hint="eastAsia"/>
          <w:color w:val="000000"/>
          <w:sz w:val="30"/>
          <w:szCs w:val="30"/>
        </w:rPr>
        <w:t>月</w:t>
      </w:r>
    </w:p>
    <w:p w:rsidR="0062148B">
      <w:pPr>
        <w:jc w:val="center"/>
        <w:rPr>
          <w:rFonts w:ascii="黑体" w:eastAsia="黑体" w:hAnsi="宋体"/>
          <w:sz w:val="36"/>
          <w:szCs w:val="36"/>
        </w:rPr>
      </w:pPr>
      <w:r>
        <w:rPr>
          <w:rFonts w:ascii="黑体" w:eastAsia="黑体" w:hAnsi="宋体" w:hint="eastAsia"/>
          <w:sz w:val="36"/>
          <w:szCs w:val="36"/>
        </w:rPr>
        <w:t>湖南农业大学东方科技学院全日制普通本科生</w:t>
      </w:r>
    </w:p>
    <w:p w:rsidR="0062148B">
      <w:pPr>
        <w:jc w:val="center"/>
        <w:rPr>
          <w:rFonts w:ascii="宋体"/>
          <w:sz w:val="36"/>
          <w:szCs w:val="36"/>
        </w:rPr>
      </w:pPr>
      <w:r>
        <w:rPr>
          <w:rFonts w:ascii="黑体" w:eastAsia="黑体" w:hAnsi="宋体" w:hint="eastAsia"/>
          <w:sz w:val="36"/>
          <w:szCs w:val="36"/>
        </w:rPr>
        <w:t>毕业论文诚信声明</w:t>
      </w:r>
    </w:p>
    <w:p w:rsidR="0062148B">
      <w:pPr>
        <w:spacing w:line="560" w:lineRule="exact"/>
        <w:ind w:firstLine="480" w:firstLineChars="200"/>
        <w:rPr>
          <w:rFonts w:ascii="宋体"/>
          <w:sz w:val="24"/>
        </w:rPr>
      </w:pPr>
      <w:r>
        <w:rPr>
          <w:rFonts w:ascii="宋体" w:hAnsi="宋体" w:hint="eastAsia"/>
          <w:sz w:val="24"/>
        </w:rPr>
        <w:t>本人郑重声明：所呈交的本科毕业论文是本人在指导老师的指导下，进行研究工作所取得的成果，成果不存在知识产权争议。除文中已经注明引用的内容外，本论文不含任何其他个人或集体已经发表或撰写过的作品成果。对本文的研究做出重要奉献的个人和集体在文中均作了明确的说明并表示了谢意。同时，本论文的著作权由本人与湖南农业大学东方科技学院、指导教师共同拥有。本人完全意识到本声明的法律结果由本人承当。</w:t>
      </w:r>
    </w:p>
    <w:p w:rsidR="0062148B">
      <w:pPr>
        <w:ind w:firstLine="435"/>
        <w:rPr>
          <w:rFonts w:ascii="宋体"/>
          <w:sz w:val="28"/>
          <w:szCs w:val="28"/>
        </w:rPr>
      </w:pPr>
      <w:r>
        <w:rPr>
          <w:rFonts w:ascii="宋体" w:hAnsi="宋体" w:hint="eastAsia"/>
          <w:sz w:val="28"/>
          <w:szCs w:val="28"/>
        </w:rPr>
        <w:t>　　　　　　　作者签名：</w:t>
      </w:r>
    </w:p>
    <w:p w:rsidR="0062148B">
      <w:pPr>
        <w:autoSpaceDE w:val="0"/>
        <w:autoSpaceDN w:val="0"/>
        <w:adjustRightInd w:val="0"/>
        <w:ind w:firstLine="5600" w:firstLineChars="2000"/>
        <w:rPr>
          <w:rFonts w:ascii="宋体" w:cs="Arial"/>
          <w:kern w:val="0"/>
          <w:sz w:val="24"/>
        </w:rPr>
      </w:pPr>
      <w:r>
        <w:rPr>
          <w:rFonts w:ascii="宋体" w:hAnsi="宋体" w:hint="eastAsia"/>
          <w:sz w:val="28"/>
          <w:szCs w:val="28"/>
        </w:rPr>
        <w:t>年月日</w:t>
      </w:r>
    </w:p>
    <w:p w:rsidR="0062148B">
      <w:pPr>
        <w:spacing w:line="360" w:lineRule="auto"/>
        <w:jc w:val="center"/>
        <w:rPr>
          <w:rFonts w:ascii="宋体" w:hAnsi="宋体" w:hint="eastAsia"/>
          <w:bCs/>
          <w:color w:val="000000"/>
          <w:sz w:val="44"/>
          <w:szCs w:val="44"/>
        </w:rPr>
      </w:pPr>
      <w:r>
        <w:rPr>
          <w:rFonts w:ascii="宋体" w:hAnsi="宋体" w:hint="eastAsia"/>
          <w:bCs/>
          <w:color w:val="000000"/>
          <w:sz w:val="44"/>
          <w:szCs w:val="44"/>
        </w:rPr>
        <w:t>目    录</w:t>
      </w:r>
    </w:p>
    <w:p w:rsidR="0062148B">
      <w:pPr>
        <w:pStyle w:val="TOC3"/>
        <w:tabs>
          <w:tab w:val="right" w:leader="dot" w:pos="8948"/>
        </w:tabs>
        <w:spacing w:line="360" w:lineRule="auto"/>
        <w:ind w:left="0" w:leftChars="0"/>
        <w:jc w:val="left"/>
        <w:rPr>
          <w:rFonts w:ascii="宋体" w:hAnsi="宋体"/>
          <w:sz w:val="24"/>
        </w:rPr>
        <w:sectPr>
          <w:pgSz w:w="11906" w:h="16838"/>
          <w:pgMar w:top="1162" w:right="1270" w:bottom="1162" w:left="1230" w:header="851" w:footer="992" w:gutter="0"/>
          <w:pgNumType w:fmt="upperRoman" w:start="1"/>
          <w:cols w:space="720"/>
          <w:docGrid w:type="lines" w:linePitch="312"/>
        </w:sectPr>
      </w:pPr>
      <w:r>
        <w:rPr>
          <w:rFonts w:ascii="宋体" w:hAnsi="宋体" w:hint="eastAsia"/>
          <w:bCs/>
          <w:sz w:val="24"/>
        </w:rPr>
        <w:t>摘要</w:t>
      </w:r>
      <w:r>
        <w:rPr>
          <w:rFonts w:ascii="宋体" w:hAnsi="宋体"/>
          <w:bCs/>
          <w:sz w:val="24"/>
        </w:rPr>
        <w:fldChar w:fldCharType="begin"/>
      </w:r>
      <w:r>
        <w:rPr>
          <w:rFonts w:ascii="宋体" w:hAnsi="宋体"/>
          <w:bCs/>
          <w:sz w:val="24"/>
        </w:rPr>
        <w:instrText xml:space="preserve"> TOC \o "1-3" \h \z \u </w:instrText>
      </w:r>
      <w:r>
        <w:rPr>
          <w:rFonts w:ascii="宋体" w:hAnsi="宋体"/>
          <w:bCs/>
          <w:sz w:val="24"/>
        </w:rPr>
        <w:fldChar w:fldCharType="separate"/>
      </w:r>
      <w:hyperlink w:anchor="_Toc420923219" w:history="1">
        <w:r>
          <w:rPr>
            <w:rFonts w:ascii="宋体" w:hAnsi="宋体"/>
            <w:sz w:val="24"/>
          </w:rPr>
          <w:fldChar w:fldCharType="begin" w:dirty="1"/>
        </w:r>
        <w:r>
          <w:rPr>
            <w:rFonts w:ascii="宋体" w:hAnsi="宋体"/>
            <w:sz w:val="24"/>
          </w:rPr>
          <w:instrText xml:space="preserve"> PAGEREF _Toc420923219 \h </w:instrText>
        </w:r>
        <w:r>
          <w:rPr>
            <w:rFonts w:ascii="宋体" w:hAnsi="宋体"/>
            <w:sz w:val="24"/>
          </w:rPr>
          <w:fldChar w:fldCharType="separate"/>
        </w:r>
        <w:r>
          <w:rPr>
            <w:rFonts w:ascii="宋体" w:hAnsi="宋体"/>
            <w:sz w:val="24"/>
          </w:rPr>
          <w:t>1</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20" w:history="1">
        <w:r>
          <w:rPr>
            <w:rStyle w:val="Hyperlink"/>
            <w:rFonts w:ascii="宋体" w:hAnsi="宋体" w:hint="eastAsia"/>
            <w:kern w:val="0"/>
            <w:sz w:val="24"/>
          </w:rPr>
          <w:t>关键词</w:t>
        </w:r>
        <w:r>
          <w:rPr>
            <w:rFonts w:ascii="宋体" w:hAnsi="宋体"/>
            <w:sz w:val="24"/>
          </w:rPr>
          <w:fldChar w:fldCharType="begin" w:dirty="1"/>
        </w:r>
        <w:r>
          <w:rPr>
            <w:rFonts w:ascii="宋体" w:hAnsi="宋体"/>
            <w:sz w:val="24"/>
          </w:rPr>
          <w:instrText xml:space="preserve"> PAGEREF _Toc420923220 \h </w:instrText>
        </w:r>
        <w:r>
          <w:rPr>
            <w:rFonts w:ascii="宋体" w:hAnsi="宋体"/>
            <w:sz w:val="24"/>
          </w:rPr>
          <w:fldChar w:fldCharType="separate"/>
        </w:r>
        <w:r>
          <w:rPr>
            <w:rFonts w:ascii="宋体" w:hAnsi="宋体"/>
            <w:sz w:val="24"/>
          </w:rPr>
          <w:t>1</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21" w:history="1">
        <w:r>
          <w:rPr>
            <w:rStyle w:val="Hyperlink"/>
            <w:rFonts w:ascii="宋体" w:hAnsi="宋体"/>
            <w:sz w:val="24"/>
          </w:rPr>
          <w:t>1</w:t>
        </w:r>
        <w:r>
          <w:rPr>
            <w:rStyle w:val="Hyperlink"/>
            <w:rFonts w:ascii="宋体" w:hAnsi="宋体" w:hint="eastAsia"/>
            <w:sz w:val="24"/>
          </w:rPr>
          <w:t>前言</w:t>
        </w:r>
        <w:r>
          <w:rPr>
            <w:rFonts w:ascii="宋体" w:hAnsi="宋体"/>
            <w:sz w:val="24"/>
          </w:rPr>
          <w:fldChar w:fldCharType="begin" w:dirty="1"/>
        </w:r>
        <w:r>
          <w:rPr>
            <w:rFonts w:ascii="宋体" w:hAnsi="宋体"/>
            <w:sz w:val="24"/>
          </w:rPr>
          <w:instrText xml:space="preserve"> PAGEREF _Toc420923221 \h </w:instrText>
        </w:r>
        <w:r>
          <w:rPr>
            <w:rFonts w:ascii="宋体" w:hAnsi="宋体"/>
            <w:sz w:val="24"/>
          </w:rPr>
          <w:fldChar w:fldCharType="separate"/>
        </w:r>
        <w:r>
          <w:rPr>
            <w:rFonts w:ascii="宋体" w:hAnsi="宋体"/>
            <w:sz w:val="24"/>
          </w:rPr>
          <w:t>1</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22" w:history="1">
        <w:r>
          <w:rPr>
            <w:rStyle w:val="Hyperlink"/>
            <w:rFonts w:ascii="宋体" w:hAnsi="宋体"/>
            <w:caps/>
            <w:sz w:val="24"/>
          </w:rPr>
          <w:t>2</w:t>
        </w:r>
        <w:r>
          <w:rPr>
            <w:rStyle w:val="Hyperlink"/>
            <w:rFonts w:ascii="宋体" w:hAnsi="宋体" w:hint="eastAsia"/>
            <w:caps/>
            <w:sz w:val="24"/>
          </w:rPr>
          <w:t>工程概况</w:t>
        </w:r>
        <w:r>
          <w:rPr>
            <w:rFonts w:ascii="宋体" w:hAnsi="宋体"/>
            <w:sz w:val="24"/>
          </w:rPr>
          <w:fldChar w:fldCharType="begin" w:dirty="1"/>
        </w:r>
        <w:r>
          <w:rPr>
            <w:rFonts w:ascii="宋体" w:hAnsi="宋体"/>
            <w:sz w:val="24"/>
          </w:rPr>
          <w:instrText xml:space="preserve"> PAGEREF _Toc420923222 \h </w:instrText>
        </w:r>
        <w:r>
          <w:rPr>
            <w:rFonts w:ascii="宋体" w:hAnsi="宋体"/>
            <w:sz w:val="24"/>
          </w:rPr>
          <w:fldChar w:fldCharType="separate"/>
        </w:r>
        <w:r>
          <w:rPr>
            <w:rFonts w:ascii="宋体" w:hAnsi="宋体"/>
            <w:sz w:val="24"/>
          </w:rPr>
          <w:t>3</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23" w:history="1">
        <w:r>
          <w:rPr>
            <w:rStyle w:val="Hyperlink"/>
            <w:rFonts w:ascii="宋体" w:hAnsi="宋体"/>
            <w:sz w:val="24"/>
          </w:rPr>
          <w:t>2.</w:t>
        </w:r>
        <w:r>
          <w:rPr>
            <w:rStyle w:val="Hyperlink"/>
            <w:rFonts w:ascii="宋体" w:hAnsi="宋体" w:hint="eastAsia"/>
            <w:sz w:val="24"/>
          </w:rPr>
          <w:t>1</w:t>
        </w:r>
        <w:r>
          <w:rPr>
            <w:rStyle w:val="Hyperlink"/>
            <w:rFonts w:ascii="宋体" w:hAnsi="宋体" w:hint="eastAsia"/>
            <w:spacing w:val="20"/>
            <w:sz w:val="24"/>
          </w:rPr>
          <w:t>工程建设的必要性</w:t>
        </w:r>
        <w:r>
          <w:rPr>
            <w:rFonts w:ascii="宋体" w:hAnsi="宋体"/>
            <w:sz w:val="24"/>
          </w:rPr>
          <w:fldChar w:fldCharType="begin" w:dirty="1"/>
        </w:r>
        <w:r>
          <w:rPr>
            <w:rFonts w:ascii="宋体" w:hAnsi="宋体"/>
            <w:sz w:val="24"/>
          </w:rPr>
          <w:instrText xml:space="preserve"> PAGEREF _Toc420923223 \h </w:instrText>
        </w:r>
        <w:r>
          <w:rPr>
            <w:rFonts w:ascii="宋体" w:hAnsi="宋体"/>
            <w:sz w:val="24"/>
          </w:rPr>
          <w:fldChar w:fldCharType="separate"/>
        </w:r>
        <w:r>
          <w:rPr>
            <w:rFonts w:ascii="宋体" w:hAnsi="宋体"/>
            <w:sz w:val="24"/>
          </w:rPr>
          <w:t>3</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24" w:history="1">
        <w:r>
          <w:rPr>
            <w:rStyle w:val="Hyperlink"/>
            <w:rFonts w:ascii="宋体" w:hAnsi="宋体"/>
            <w:sz w:val="24"/>
          </w:rPr>
          <w:t>2.</w:t>
        </w:r>
        <w:r>
          <w:rPr>
            <w:rStyle w:val="Hyperlink"/>
            <w:rFonts w:ascii="宋体" w:hAnsi="宋体" w:hint="eastAsia"/>
            <w:sz w:val="24"/>
          </w:rPr>
          <w:t>2工程合理性</w:t>
        </w:r>
        <w:r>
          <w:rPr>
            <w:rFonts w:ascii="宋体" w:hAnsi="宋体"/>
            <w:sz w:val="24"/>
          </w:rPr>
          <w:fldChar w:fldCharType="begin" w:dirty="1"/>
        </w:r>
        <w:r>
          <w:rPr>
            <w:rFonts w:ascii="宋体" w:hAnsi="宋体"/>
            <w:sz w:val="24"/>
          </w:rPr>
          <w:instrText xml:space="preserve"> PAGEREF _Toc420923224 \h </w:instrText>
        </w:r>
        <w:r>
          <w:rPr>
            <w:rFonts w:ascii="宋体" w:hAnsi="宋体"/>
            <w:sz w:val="24"/>
          </w:rPr>
          <w:fldChar w:fldCharType="separate"/>
        </w:r>
        <w:r>
          <w:rPr>
            <w:rFonts w:ascii="宋体" w:hAnsi="宋体"/>
            <w:sz w:val="24"/>
          </w:rPr>
          <w:t>3</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25" w:history="1">
        <w:r>
          <w:rPr>
            <w:rStyle w:val="Hyperlink"/>
            <w:rFonts w:ascii="宋体" w:hAnsi="宋体" w:cs="宋体"/>
            <w:kern w:val="0"/>
            <w:sz w:val="24"/>
          </w:rPr>
          <w:t>3</w:t>
        </w:r>
        <w:r>
          <w:rPr>
            <w:rStyle w:val="Hyperlink"/>
            <w:rFonts w:ascii="宋体" w:hAnsi="宋体" w:hint="eastAsia"/>
            <w:caps/>
            <w:sz w:val="24"/>
          </w:rPr>
          <w:t>长沙市房地产市场分析</w:t>
        </w:r>
        <w:r>
          <w:rPr>
            <w:rFonts w:ascii="宋体" w:hAnsi="宋体"/>
            <w:sz w:val="24"/>
          </w:rPr>
          <w:fldChar w:fldCharType="begin" w:dirty="1"/>
        </w:r>
        <w:r>
          <w:rPr>
            <w:rFonts w:ascii="宋体" w:hAnsi="宋体"/>
            <w:sz w:val="24"/>
          </w:rPr>
          <w:instrText xml:space="preserve"> PAGEREF _Toc420923225 \h </w:instrText>
        </w:r>
        <w:r>
          <w:rPr>
            <w:rFonts w:ascii="宋体" w:hAnsi="宋体"/>
            <w:sz w:val="24"/>
          </w:rPr>
          <w:fldChar w:fldCharType="separate"/>
        </w:r>
        <w:r>
          <w:rPr>
            <w:rFonts w:ascii="宋体" w:hAnsi="宋体"/>
            <w:sz w:val="24"/>
          </w:rPr>
          <w:t>4</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26" w:history="1">
        <w:r>
          <w:rPr>
            <w:rStyle w:val="Hyperlink"/>
            <w:rFonts w:ascii="宋体" w:hAnsi="宋体"/>
            <w:sz w:val="24"/>
          </w:rPr>
          <w:t>3.1</w:t>
        </w:r>
        <w:r>
          <w:rPr>
            <w:rStyle w:val="Hyperlink"/>
            <w:rFonts w:ascii="宋体" w:hAnsi="宋体" w:hint="eastAsia"/>
            <w:caps/>
            <w:sz w:val="24"/>
          </w:rPr>
          <w:t>宏观经济概况</w:t>
        </w:r>
        <w:r>
          <w:rPr>
            <w:rFonts w:ascii="宋体" w:hAnsi="宋体"/>
            <w:sz w:val="24"/>
          </w:rPr>
          <w:fldChar w:fldCharType="begin" w:dirty="1"/>
        </w:r>
        <w:r>
          <w:rPr>
            <w:rFonts w:ascii="宋体" w:hAnsi="宋体"/>
            <w:sz w:val="24"/>
          </w:rPr>
          <w:instrText xml:space="preserve"> PAGEREF _Toc420923226 \h </w:instrText>
        </w:r>
        <w:r>
          <w:rPr>
            <w:rFonts w:ascii="宋体" w:hAnsi="宋体"/>
            <w:sz w:val="24"/>
          </w:rPr>
          <w:fldChar w:fldCharType="separate"/>
        </w:r>
        <w:r>
          <w:rPr>
            <w:rFonts w:ascii="宋体" w:hAnsi="宋体"/>
            <w:sz w:val="24"/>
          </w:rPr>
          <w:t>4</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27" w:history="1">
        <w:r>
          <w:rPr>
            <w:rStyle w:val="Hyperlink"/>
            <w:rFonts w:ascii="宋体" w:hAnsi="宋体"/>
            <w:sz w:val="24"/>
          </w:rPr>
          <w:t>3.2</w:t>
        </w:r>
        <w:r>
          <w:rPr>
            <w:rStyle w:val="Hyperlink"/>
            <w:rFonts w:ascii="宋体" w:hAnsi="宋体" w:hint="eastAsia"/>
            <w:caps/>
            <w:sz w:val="24"/>
          </w:rPr>
          <w:t>长沙市房地产运行状况分析</w:t>
        </w:r>
        <w:r>
          <w:rPr>
            <w:rFonts w:ascii="宋体" w:hAnsi="宋体"/>
            <w:sz w:val="24"/>
          </w:rPr>
          <w:fldChar w:fldCharType="begin" w:dirty="1"/>
        </w:r>
        <w:r>
          <w:rPr>
            <w:rFonts w:ascii="宋体" w:hAnsi="宋体"/>
            <w:sz w:val="24"/>
          </w:rPr>
          <w:instrText xml:space="preserve"> PAGEREF _Toc420923227 \h </w:instrText>
        </w:r>
        <w:r>
          <w:rPr>
            <w:rFonts w:ascii="宋体" w:hAnsi="宋体"/>
            <w:sz w:val="24"/>
          </w:rPr>
          <w:fldChar w:fldCharType="separate"/>
        </w:r>
        <w:r>
          <w:rPr>
            <w:rFonts w:ascii="宋体" w:hAnsi="宋体"/>
            <w:sz w:val="24"/>
          </w:rPr>
          <w:t>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28" w:history="1">
        <w:r>
          <w:rPr>
            <w:rStyle w:val="Hyperlink"/>
            <w:rFonts w:ascii="宋体" w:hAnsi="宋体" w:hint="eastAsia"/>
            <w:sz w:val="24"/>
          </w:rPr>
          <w:t>长沙</w:t>
        </w:r>
        <w:r>
          <w:rPr>
            <w:rStyle w:val="Hyperlink"/>
            <w:rFonts w:ascii="宋体" w:hAnsi="宋体"/>
            <w:sz w:val="24"/>
          </w:rPr>
          <w:t>2023</w:t>
        </w:r>
        <w:r>
          <w:rPr>
            <w:rStyle w:val="Hyperlink"/>
            <w:rFonts w:ascii="宋体" w:hAnsi="宋体" w:hint="eastAsia"/>
            <w:sz w:val="24"/>
          </w:rPr>
          <w:t>年房地产开发投资情况</w:t>
        </w:r>
        <w:r>
          <w:rPr>
            <w:rFonts w:ascii="宋体" w:hAnsi="宋体"/>
            <w:sz w:val="24"/>
          </w:rPr>
          <w:fldChar w:fldCharType="begin" w:dirty="1"/>
        </w:r>
        <w:r>
          <w:rPr>
            <w:rFonts w:ascii="宋体" w:hAnsi="宋体"/>
            <w:sz w:val="24"/>
          </w:rPr>
          <w:instrText xml:space="preserve"> PAGEREF _Toc420923228 \h </w:instrText>
        </w:r>
        <w:r>
          <w:rPr>
            <w:rFonts w:ascii="宋体" w:hAnsi="宋体"/>
            <w:sz w:val="24"/>
          </w:rPr>
          <w:fldChar w:fldCharType="separate"/>
        </w:r>
        <w:r>
          <w:rPr>
            <w:rFonts w:ascii="宋体" w:hAnsi="宋体"/>
            <w:sz w:val="24"/>
          </w:rPr>
          <w:t>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29" w:history="1">
        <w:r>
          <w:rPr>
            <w:rStyle w:val="Hyperlink"/>
            <w:rFonts w:ascii="宋体" w:hAnsi="宋体" w:hint="eastAsia"/>
            <w:sz w:val="24"/>
          </w:rPr>
          <w:t>房地产运行状况</w:t>
        </w:r>
        <w:r>
          <w:rPr>
            <w:rFonts w:ascii="宋体" w:hAnsi="宋体"/>
            <w:sz w:val="24"/>
          </w:rPr>
          <w:fldChar w:fldCharType="begin" w:dirty="1"/>
        </w:r>
        <w:r>
          <w:rPr>
            <w:rFonts w:ascii="宋体" w:hAnsi="宋体"/>
            <w:sz w:val="24"/>
          </w:rPr>
          <w:instrText xml:space="preserve"> PAGEREF _Toc420923229 \h </w:instrText>
        </w:r>
        <w:r>
          <w:rPr>
            <w:rFonts w:ascii="宋体" w:hAnsi="宋体"/>
            <w:sz w:val="24"/>
          </w:rPr>
          <w:fldChar w:fldCharType="separate"/>
        </w:r>
        <w:r>
          <w:rPr>
            <w:rFonts w:ascii="宋体" w:hAnsi="宋体"/>
            <w:sz w:val="24"/>
          </w:rPr>
          <w:t>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30" w:history="1">
        <w:r>
          <w:rPr>
            <w:rStyle w:val="Hyperlink"/>
            <w:rFonts w:ascii="宋体" w:hAnsi="宋体" w:hint="eastAsia"/>
            <w:sz w:val="24"/>
          </w:rPr>
          <w:t>工程周边区域房地产状况</w:t>
        </w:r>
        <w:r>
          <w:rPr>
            <w:rFonts w:ascii="宋体" w:hAnsi="宋体"/>
            <w:sz w:val="24"/>
          </w:rPr>
          <w:fldChar w:fldCharType="begin" w:dirty="1"/>
        </w:r>
        <w:r>
          <w:rPr>
            <w:rFonts w:ascii="宋体" w:hAnsi="宋体"/>
            <w:sz w:val="24"/>
          </w:rPr>
          <w:instrText xml:space="preserve"> PAGEREF _Toc420923230 \h </w:instrText>
        </w:r>
        <w:r>
          <w:rPr>
            <w:rFonts w:ascii="宋体" w:hAnsi="宋体"/>
            <w:sz w:val="24"/>
          </w:rPr>
          <w:fldChar w:fldCharType="separate"/>
        </w:r>
        <w:r>
          <w:rPr>
            <w:rFonts w:ascii="宋体" w:hAnsi="宋体"/>
            <w:sz w:val="24"/>
          </w:rPr>
          <w:t>6</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1" w:history="1">
        <w:r>
          <w:rPr>
            <w:rStyle w:val="Hyperlink"/>
            <w:rFonts w:ascii="宋体" w:hAnsi="宋体"/>
            <w:sz w:val="24"/>
          </w:rPr>
          <w:t>3.3</w:t>
        </w:r>
        <w:r>
          <w:rPr>
            <w:rStyle w:val="Hyperlink"/>
            <w:rFonts w:ascii="宋体" w:hAnsi="宋体" w:hint="eastAsia"/>
            <w:kern w:val="0"/>
            <w:sz w:val="24"/>
          </w:rPr>
          <w:t>市场供需了解</w:t>
        </w:r>
        <w:r>
          <w:rPr>
            <w:rFonts w:ascii="宋体" w:hAnsi="宋体"/>
            <w:sz w:val="24"/>
          </w:rPr>
          <w:fldChar w:fldCharType="begin" w:dirty="1"/>
        </w:r>
        <w:r>
          <w:rPr>
            <w:rFonts w:ascii="宋体" w:hAnsi="宋体"/>
            <w:sz w:val="24"/>
          </w:rPr>
          <w:instrText xml:space="preserve"> PAGEREF _Toc420923231 \h </w:instrText>
        </w:r>
        <w:r>
          <w:rPr>
            <w:rFonts w:ascii="宋体" w:hAnsi="宋体"/>
            <w:sz w:val="24"/>
          </w:rPr>
          <w:fldChar w:fldCharType="separate"/>
        </w:r>
        <w:r>
          <w:rPr>
            <w:rFonts w:ascii="宋体" w:hAnsi="宋体"/>
            <w:sz w:val="24"/>
          </w:rPr>
          <w:t>7</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32" w:history="1">
        <w:r>
          <w:rPr>
            <w:rStyle w:val="Char"/>
            <w:sz w:val="24"/>
            <w:szCs w:val="24"/>
          </w:rPr>
          <w:t>4</w:t>
        </w:r>
        <w:r>
          <w:rPr>
            <w:rStyle w:val="Char"/>
            <w:rFonts w:hint="eastAsia"/>
            <w:sz w:val="24"/>
            <w:szCs w:val="24"/>
          </w:rPr>
          <w:t>产品开发建议</w:t>
        </w:r>
        <w:r>
          <w:rPr>
            <w:rFonts w:ascii="宋体" w:hAnsi="宋体"/>
            <w:sz w:val="24"/>
          </w:rPr>
          <w:fldChar w:fldCharType="begin" w:dirty="1"/>
        </w:r>
        <w:r>
          <w:rPr>
            <w:rFonts w:ascii="宋体" w:hAnsi="宋体"/>
            <w:sz w:val="24"/>
          </w:rPr>
          <w:instrText xml:space="preserve"> PAGEREF _Toc420923232 \h </w:instrText>
        </w:r>
        <w:r>
          <w:rPr>
            <w:rFonts w:ascii="宋体" w:hAnsi="宋体"/>
            <w:sz w:val="24"/>
          </w:rPr>
          <w:fldChar w:fldCharType="separate"/>
        </w:r>
        <w:r>
          <w:rPr>
            <w:rFonts w:ascii="宋体" w:hAnsi="宋体"/>
            <w:sz w:val="24"/>
          </w:rPr>
          <w:t>9</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3" w:history="1">
        <w:r>
          <w:rPr>
            <w:rStyle w:val="Hyperlink"/>
            <w:rFonts w:ascii="宋体" w:hAnsi="宋体"/>
            <w:kern w:val="0"/>
            <w:sz w:val="24"/>
          </w:rPr>
          <w:t>4.1</w:t>
        </w:r>
        <w:r>
          <w:rPr>
            <w:rStyle w:val="Hyperlink"/>
            <w:rFonts w:ascii="宋体" w:hAnsi="宋体" w:hint="eastAsia"/>
            <w:kern w:val="0"/>
            <w:sz w:val="24"/>
          </w:rPr>
          <w:t>工程开发需要考虑的问题点</w:t>
        </w:r>
        <w:r>
          <w:rPr>
            <w:rFonts w:ascii="宋体" w:hAnsi="宋体"/>
            <w:sz w:val="24"/>
          </w:rPr>
          <w:fldChar w:fldCharType="begin" w:dirty="1"/>
        </w:r>
        <w:r>
          <w:rPr>
            <w:rFonts w:ascii="宋体" w:hAnsi="宋体"/>
            <w:sz w:val="24"/>
          </w:rPr>
          <w:instrText xml:space="preserve"> PAGEREF _Toc420923233 \h </w:instrText>
        </w:r>
        <w:r>
          <w:rPr>
            <w:rFonts w:ascii="宋体" w:hAnsi="宋体"/>
            <w:sz w:val="24"/>
          </w:rPr>
          <w:fldChar w:fldCharType="separate"/>
        </w:r>
        <w:r>
          <w:rPr>
            <w:rFonts w:ascii="宋体" w:hAnsi="宋体"/>
            <w:sz w:val="24"/>
          </w:rPr>
          <w:t>9</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4" w:history="1">
        <w:r>
          <w:rPr>
            <w:rStyle w:val="Hyperlink"/>
            <w:rFonts w:ascii="宋体" w:hAnsi="宋体"/>
            <w:kern w:val="0"/>
            <w:sz w:val="24"/>
          </w:rPr>
          <w:t>4.2</w:t>
        </w:r>
        <w:r>
          <w:rPr>
            <w:rStyle w:val="Hyperlink"/>
            <w:rFonts w:ascii="宋体" w:hAnsi="宋体" w:hint="eastAsia"/>
            <w:kern w:val="0"/>
            <w:sz w:val="24"/>
          </w:rPr>
          <w:t>房型</w:t>
        </w:r>
        <w:r>
          <w:rPr>
            <w:rFonts w:ascii="宋体" w:hAnsi="宋体"/>
            <w:sz w:val="24"/>
          </w:rPr>
          <w:fldChar w:fldCharType="begin" w:dirty="1"/>
        </w:r>
        <w:r>
          <w:rPr>
            <w:rFonts w:ascii="宋体" w:hAnsi="宋体"/>
            <w:sz w:val="24"/>
          </w:rPr>
          <w:instrText xml:space="preserve"> PAGEREF _Toc420923234 \h </w:instrText>
        </w:r>
        <w:r>
          <w:rPr>
            <w:rFonts w:ascii="宋体" w:hAnsi="宋体"/>
            <w:sz w:val="24"/>
          </w:rPr>
          <w:fldChar w:fldCharType="separate"/>
        </w:r>
        <w:r>
          <w:rPr>
            <w:rFonts w:ascii="宋体" w:hAnsi="宋体"/>
            <w:sz w:val="24"/>
          </w:rPr>
          <w:t>10</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5" w:history="1">
        <w:r>
          <w:rPr>
            <w:rStyle w:val="Hyperlink"/>
            <w:rFonts w:ascii="宋体" w:hAnsi="宋体"/>
            <w:sz w:val="24"/>
          </w:rPr>
          <w:t>4.3</w:t>
        </w:r>
        <w:r>
          <w:rPr>
            <w:rStyle w:val="Hyperlink"/>
            <w:rFonts w:ascii="宋体" w:hAnsi="宋体" w:hint="eastAsia"/>
            <w:sz w:val="24"/>
          </w:rPr>
          <w:t>外立面与装修</w:t>
        </w:r>
        <w:r>
          <w:rPr>
            <w:rFonts w:ascii="宋体" w:hAnsi="宋体"/>
            <w:sz w:val="24"/>
          </w:rPr>
          <w:fldChar w:fldCharType="begin" w:dirty="1"/>
        </w:r>
        <w:r>
          <w:rPr>
            <w:rFonts w:ascii="宋体" w:hAnsi="宋体"/>
            <w:sz w:val="24"/>
          </w:rPr>
          <w:instrText xml:space="preserve"> PAGEREF _Toc420923235 \h </w:instrText>
        </w:r>
        <w:r>
          <w:rPr>
            <w:rFonts w:ascii="宋体" w:hAnsi="宋体"/>
            <w:sz w:val="24"/>
          </w:rPr>
          <w:fldChar w:fldCharType="separate"/>
        </w:r>
        <w:r>
          <w:rPr>
            <w:rFonts w:ascii="宋体" w:hAnsi="宋体"/>
            <w:sz w:val="24"/>
          </w:rPr>
          <w:t>10</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6" w:history="1">
        <w:r>
          <w:rPr>
            <w:rStyle w:val="Hyperlink"/>
            <w:rFonts w:ascii="宋体" w:hAnsi="宋体"/>
            <w:sz w:val="24"/>
          </w:rPr>
          <w:t>4.4</w:t>
        </w:r>
        <w:r>
          <w:rPr>
            <w:rStyle w:val="Hyperlink"/>
            <w:rFonts w:ascii="宋体" w:hAnsi="宋体" w:hint="eastAsia"/>
            <w:sz w:val="24"/>
          </w:rPr>
          <w:t>小区智能化定位及建议</w:t>
        </w:r>
        <w:r>
          <w:rPr>
            <w:rFonts w:ascii="宋体" w:hAnsi="宋体"/>
            <w:sz w:val="24"/>
          </w:rPr>
          <w:fldChar w:fldCharType="begin" w:dirty="1"/>
        </w:r>
        <w:r>
          <w:rPr>
            <w:rFonts w:ascii="宋体" w:hAnsi="宋体"/>
            <w:sz w:val="24"/>
          </w:rPr>
          <w:instrText xml:space="preserve"> PAGEREF _Toc420923236 \h </w:instrText>
        </w:r>
        <w:r>
          <w:rPr>
            <w:rFonts w:ascii="宋体" w:hAnsi="宋体"/>
            <w:sz w:val="24"/>
          </w:rPr>
          <w:fldChar w:fldCharType="separate"/>
        </w:r>
        <w:r>
          <w:rPr>
            <w:rFonts w:ascii="宋体" w:hAnsi="宋体"/>
            <w:sz w:val="24"/>
          </w:rPr>
          <w:t>11</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37" w:history="1">
        <w:r>
          <w:rPr>
            <w:rStyle w:val="Hyperlink"/>
            <w:rFonts w:ascii="宋体" w:hAnsi="宋体" w:hint="eastAsia"/>
            <w:sz w:val="24"/>
          </w:rPr>
          <w:t>社区宽带信息网</w:t>
        </w:r>
        <w:r>
          <w:rPr>
            <w:rFonts w:ascii="宋体" w:hAnsi="宋体"/>
            <w:sz w:val="24"/>
          </w:rPr>
          <w:fldChar w:fldCharType="begin" w:dirty="1"/>
        </w:r>
        <w:r>
          <w:rPr>
            <w:rFonts w:ascii="宋体" w:hAnsi="宋体"/>
            <w:sz w:val="24"/>
          </w:rPr>
          <w:instrText xml:space="preserve"> PAGEREF _Toc420923237 \h </w:instrText>
        </w:r>
        <w:r>
          <w:rPr>
            <w:rFonts w:ascii="宋体" w:hAnsi="宋体"/>
            <w:sz w:val="24"/>
          </w:rPr>
          <w:fldChar w:fldCharType="separate"/>
        </w:r>
        <w:r>
          <w:rPr>
            <w:rFonts w:ascii="宋体" w:hAnsi="宋体"/>
            <w:sz w:val="24"/>
          </w:rPr>
          <w:t>11</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38" w:history="1">
        <w:r>
          <w:rPr>
            <w:rStyle w:val="Hyperlink"/>
            <w:rFonts w:ascii="宋体" w:hAnsi="宋体" w:hint="eastAsia"/>
            <w:sz w:val="24"/>
          </w:rPr>
          <w:t>智能化物业管理</w:t>
        </w:r>
        <w:r>
          <w:rPr>
            <w:rFonts w:ascii="宋体" w:hAnsi="宋体"/>
            <w:sz w:val="24"/>
          </w:rPr>
          <w:fldChar w:fldCharType="begin" w:dirty="1"/>
        </w:r>
        <w:r>
          <w:rPr>
            <w:rFonts w:ascii="宋体" w:hAnsi="宋体"/>
            <w:sz w:val="24"/>
          </w:rPr>
          <w:instrText xml:space="preserve"> PAGEREF _Toc420923238 \h </w:instrText>
        </w:r>
        <w:r>
          <w:rPr>
            <w:rFonts w:ascii="宋体" w:hAnsi="宋体"/>
            <w:sz w:val="24"/>
          </w:rPr>
          <w:fldChar w:fldCharType="separate"/>
        </w:r>
        <w:r>
          <w:rPr>
            <w:rFonts w:ascii="宋体" w:hAnsi="宋体"/>
            <w:sz w:val="24"/>
          </w:rPr>
          <w:t>11</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39" w:history="1">
        <w:r>
          <w:rPr>
            <w:rStyle w:val="Hyperlink"/>
            <w:rFonts w:ascii="宋体" w:hAnsi="宋体"/>
            <w:kern w:val="0"/>
            <w:sz w:val="24"/>
          </w:rPr>
          <w:t>4.5</w:t>
        </w:r>
        <w:r>
          <w:rPr>
            <w:rStyle w:val="Hyperlink"/>
            <w:rFonts w:ascii="宋体" w:hAnsi="宋体" w:hint="eastAsia"/>
            <w:kern w:val="0"/>
            <w:sz w:val="24"/>
          </w:rPr>
          <w:t>园林规划建议</w:t>
        </w:r>
        <w:r>
          <w:rPr>
            <w:rFonts w:ascii="宋体" w:hAnsi="宋体"/>
            <w:sz w:val="24"/>
          </w:rPr>
          <w:fldChar w:fldCharType="begin" w:dirty="1"/>
        </w:r>
        <w:r>
          <w:rPr>
            <w:rFonts w:ascii="宋体" w:hAnsi="宋体"/>
            <w:sz w:val="24"/>
          </w:rPr>
          <w:instrText xml:space="preserve"> PAGEREF _Toc420923239 \h </w:instrText>
        </w:r>
        <w:r>
          <w:rPr>
            <w:rFonts w:ascii="宋体" w:hAnsi="宋体"/>
            <w:sz w:val="24"/>
          </w:rPr>
          <w:fldChar w:fldCharType="separate"/>
        </w:r>
        <w:r>
          <w:rPr>
            <w:rFonts w:ascii="宋体" w:hAnsi="宋体"/>
            <w:sz w:val="24"/>
          </w:rPr>
          <w:t>12</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0" w:history="1">
        <w:r>
          <w:rPr>
            <w:rStyle w:val="Hyperlink"/>
            <w:rFonts w:ascii="宋体" w:hAnsi="宋体" w:hint="eastAsia"/>
            <w:sz w:val="24"/>
          </w:rPr>
          <w:t>园林设计主题风格</w:t>
        </w:r>
        <w:r>
          <w:rPr>
            <w:rFonts w:ascii="宋体" w:hAnsi="宋体"/>
            <w:sz w:val="24"/>
          </w:rPr>
          <w:fldChar w:fldCharType="begin" w:dirty="1"/>
        </w:r>
        <w:r>
          <w:rPr>
            <w:rFonts w:ascii="宋体" w:hAnsi="宋体"/>
            <w:sz w:val="24"/>
          </w:rPr>
          <w:instrText xml:space="preserve"> PAGEREF _Toc420923240 \h </w:instrText>
        </w:r>
        <w:r>
          <w:rPr>
            <w:rFonts w:ascii="宋体" w:hAnsi="宋体"/>
            <w:sz w:val="24"/>
          </w:rPr>
          <w:fldChar w:fldCharType="separate"/>
        </w:r>
        <w:r>
          <w:rPr>
            <w:rFonts w:ascii="宋体" w:hAnsi="宋体"/>
            <w:sz w:val="24"/>
          </w:rPr>
          <w:t>12</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1" w:history="1">
        <w:r>
          <w:rPr>
            <w:rStyle w:val="Hyperlink"/>
            <w:rFonts w:ascii="宋体" w:hAnsi="宋体" w:hint="eastAsia"/>
            <w:sz w:val="24"/>
          </w:rPr>
          <w:t>车位规划</w:t>
        </w:r>
        <w:r>
          <w:rPr>
            <w:rFonts w:ascii="宋体" w:hAnsi="宋体"/>
            <w:sz w:val="24"/>
          </w:rPr>
          <w:fldChar w:fldCharType="begin" w:dirty="1"/>
        </w:r>
        <w:r>
          <w:rPr>
            <w:rFonts w:ascii="宋体" w:hAnsi="宋体"/>
            <w:sz w:val="24"/>
          </w:rPr>
          <w:instrText xml:space="preserve"> PAGEREF _Toc420923241 \h </w:instrText>
        </w:r>
        <w:r>
          <w:rPr>
            <w:rFonts w:ascii="宋体" w:hAnsi="宋体"/>
            <w:sz w:val="24"/>
          </w:rPr>
          <w:fldChar w:fldCharType="separate"/>
        </w:r>
        <w:r>
          <w:rPr>
            <w:rFonts w:ascii="宋体" w:hAnsi="宋体"/>
            <w:sz w:val="24"/>
          </w:rPr>
          <w:t>13</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42" w:history="1">
        <w:r>
          <w:rPr>
            <w:rStyle w:val="Hyperlink"/>
            <w:rFonts w:ascii="宋体" w:hAnsi="宋体"/>
            <w:sz w:val="24"/>
          </w:rPr>
          <w:t>4.6</w:t>
        </w:r>
        <w:r>
          <w:rPr>
            <w:rStyle w:val="Hyperlink"/>
            <w:rFonts w:ascii="宋体" w:hAnsi="宋体" w:hint="eastAsia"/>
            <w:sz w:val="24"/>
          </w:rPr>
          <w:t>会所、物业用房及底商功能设置</w:t>
        </w:r>
        <w:r>
          <w:rPr>
            <w:rFonts w:ascii="宋体" w:hAnsi="宋体"/>
            <w:sz w:val="24"/>
          </w:rPr>
          <w:fldChar w:fldCharType="begin" w:dirty="1"/>
        </w:r>
        <w:r>
          <w:rPr>
            <w:rFonts w:ascii="宋体" w:hAnsi="宋体"/>
            <w:sz w:val="24"/>
          </w:rPr>
          <w:instrText xml:space="preserve"> PAGEREF _Toc420923242 \h </w:instrText>
        </w:r>
        <w:r>
          <w:rPr>
            <w:rFonts w:ascii="宋体" w:hAnsi="宋体"/>
            <w:sz w:val="24"/>
          </w:rPr>
          <w:fldChar w:fldCharType="separate"/>
        </w:r>
        <w:r>
          <w:rPr>
            <w:rFonts w:ascii="宋体" w:hAnsi="宋体"/>
            <w:sz w:val="24"/>
          </w:rPr>
          <w:t>13</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3" w:history="1">
        <w:r>
          <w:rPr>
            <w:rStyle w:val="Hyperlink"/>
            <w:rFonts w:ascii="宋体" w:hAnsi="宋体" w:hint="eastAsia"/>
            <w:sz w:val="24"/>
          </w:rPr>
          <w:t>社区会所设置</w:t>
        </w:r>
        <w:r>
          <w:rPr>
            <w:rFonts w:ascii="宋体" w:hAnsi="宋体"/>
            <w:sz w:val="24"/>
          </w:rPr>
          <w:fldChar w:fldCharType="begin" w:dirty="1"/>
        </w:r>
        <w:r>
          <w:rPr>
            <w:rFonts w:ascii="宋体" w:hAnsi="宋体"/>
            <w:sz w:val="24"/>
          </w:rPr>
          <w:instrText xml:space="preserve"> PAGEREF _Toc420923243 \h </w:instrText>
        </w:r>
        <w:r>
          <w:rPr>
            <w:rFonts w:ascii="宋体" w:hAnsi="宋体"/>
            <w:sz w:val="24"/>
          </w:rPr>
          <w:fldChar w:fldCharType="separate"/>
        </w:r>
        <w:r>
          <w:rPr>
            <w:rFonts w:ascii="宋体" w:hAnsi="宋体"/>
            <w:sz w:val="24"/>
          </w:rPr>
          <w:t>13</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4" w:history="1">
        <w:r>
          <w:rPr>
            <w:rStyle w:val="Hyperlink"/>
            <w:rFonts w:ascii="宋体" w:hAnsi="宋体" w:hint="eastAsia"/>
            <w:sz w:val="24"/>
          </w:rPr>
          <w:t>物业效劳内容建议</w:t>
        </w:r>
        <w:r>
          <w:rPr>
            <w:rFonts w:ascii="宋体" w:hAnsi="宋体"/>
            <w:sz w:val="24"/>
          </w:rPr>
          <w:fldChar w:fldCharType="begin" w:dirty="1"/>
        </w:r>
        <w:r>
          <w:rPr>
            <w:rFonts w:ascii="宋体" w:hAnsi="宋体"/>
            <w:sz w:val="24"/>
          </w:rPr>
          <w:instrText xml:space="preserve"> PAGEREF _Toc420923244 \h </w:instrText>
        </w:r>
        <w:r>
          <w:rPr>
            <w:rFonts w:ascii="宋体" w:hAnsi="宋体"/>
            <w:sz w:val="24"/>
          </w:rPr>
          <w:fldChar w:fldCharType="separate"/>
        </w:r>
        <w:r>
          <w:rPr>
            <w:rFonts w:ascii="宋体" w:hAnsi="宋体"/>
            <w:sz w:val="24"/>
          </w:rPr>
          <w:t>13</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5" w:history="1">
        <w:r>
          <w:rPr>
            <w:rStyle w:val="Hyperlink"/>
            <w:rFonts w:ascii="宋体" w:hAnsi="宋体" w:hint="eastAsia"/>
            <w:sz w:val="24"/>
          </w:rPr>
          <w:t>物业特色效劳</w:t>
        </w:r>
        <w:r>
          <w:rPr>
            <w:rFonts w:ascii="宋体" w:hAnsi="宋体"/>
            <w:sz w:val="24"/>
          </w:rPr>
          <w:fldChar w:fldCharType="begin" w:dirty="1"/>
        </w:r>
        <w:r>
          <w:rPr>
            <w:rFonts w:ascii="宋体" w:hAnsi="宋体"/>
            <w:sz w:val="24"/>
          </w:rPr>
          <w:instrText xml:space="preserve"> PAGEREF _Toc420923245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6" w:history="1">
        <w:r>
          <w:rPr>
            <w:rStyle w:val="Hyperlink"/>
            <w:rFonts w:ascii="宋体" w:hAnsi="宋体" w:hint="eastAsia"/>
            <w:sz w:val="24"/>
          </w:rPr>
          <w:t>产品其它建议</w:t>
        </w:r>
        <w:r>
          <w:rPr>
            <w:rFonts w:ascii="宋体" w:hAnsi="宋体"/>
            <w:sz w:val="24"/>
          </w:rPr>
          <w:fldChar w:fldCharType="begin" w:dirty="1"/>
        </w:r>
        <w:r>
          <w:rPr>
            <w:rFonts w:ascii="宋体" w:hAnsi="宋体"/>
            <w:sz w:val="24"/>
          </w:rPr>
          <w:instrText xml:space="preserve"> PAGEREF _Toc420923246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47" w:history="1">
        <w:r>
          <w:rPr>
            <w:rStyle w:val="Hyperlink"/>
            <w:rFonts w:ascii="宋体" w:hAnsi="宋体"/>
            <w:caps/>
            <w:sz w:val="24"/>
          </w:rPr>
          <w:t>5</w:t>
        </w:r>
        <w:r>
          <w:rPr>
            <w:rStyle w:val="Hyperlink"/>
            <w:rFonts w:ascii="宋体" w:hAnsi="宋体" w:hint="eastAsia"/>
            <w:caps/>
            <w:sz w:val="24"/>
          </w:rPr>
          <w:t>目标市场与客户群定位与分析</w:t>
        </w:r>
        <w:r>
          <w:rPr>
            <w:rFonts w:ascii="宋体" w:hAnsi="宋体"/>
            <w:sz w:val="24"/>
          </w:rPr>
          <w:fldChar w:fldCharType="begin" w:dirty="1"/>
        </w:r>
        <w:r>
          <w:rPr>
            <w:rFonts w:ascii="宋体" w:hAnsi="宋体"/>
            <w:sz w:val="24"/>
          </w:rPr>
          <w:instrText xml:space="preserve"> PAGEREF _Toc420923247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48" w:history="1">
        <w:r>
          <w:rPr>
            <w:rStyle w:val="Hyperlink"/>
            <w:rFonts w:ascii="宋体" w:hAnsi="宋体"/>
            <w:sz w:val="24"/>
          </w:rPr>
          <w:t>5.1</w:t>
        </w:r>
        <w:r>
          <w:rPr>
            <w:rStyle w:val="Hyperlink"/>
            <w:rFonts w:ascii="宋体" w:hAnsi="宋体" w:hint="eastAsia"/>
            <w:sz w:val="24"/>
          </w:rPr>
          <w:t>关于本工程的目标客户群</w:t>
        </w:r>
        <w:r>
          <w:rPr>
            <w:rFonts w:ascii="宋体" w:hAnsi="宋体"/>
            <w:sz w:val="24"/>
          </w:rPr>
          <w:fldChar w:fldCharType="begin" w:dirty="1"/>
        </w:r>
        <w:r>
          <w:rPr>
            <w:rFonts w:ascii="宋体" w:hAnsi="宋体"/>
            <w:sz w:val="24"/>
          </w:rPr>
          <w:instrText xml:space="preserve"> PAGEREF _Toc420923248 \h </w:instrText>
        </w:r>
        <w:r>
          <w:rPr>
            <w:rFonts w:ascii="宋体" w:hAnsi="宋体"/>
            <w:sz w:val="24"/>
          </w:rPr>
          <w:fldChar w:fldCharType="separate"/>
        </w:r>
        <w:r>
          <w:rPr>
            <w:rFonts w:ascii="宋体" w:hAnsi="宋体"/>
            <w:sz w:val="24"/>
          </w:rPr>
          <w:t>14</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49" w:history="1">
        <w:r>
          <w:rPr>
            <w:rStyle w:val="Hyperlink"/>
            <w:rFonts w:ascii="宋体" w:hAnsi="宋体" w:hint="eastAsia"/>
            <w:sz w:val="24"/>
          </w:rPr>
          <w:t>可能到本工程购房的客户特征总结</w:t>
        </w:r>
        <w:r>
          <w:rPr>
            <w:rFonts w:ascii="宋体" w:hAnsi="宋体"/>
            <w:sz w:val="24"/>
          </w:rPr>
          <w:fldChar w:fldCharType="begin" w:dirty="1"/>
        </w:r>
        <w:r>
          <w:rPr>
            <w:rFonts w:ascii="宋体" w:hAnsi="宋体"/>
            <w:sz w:val="24"/>
          </w:rPr>
          <w:instrText xml:space="preserve"> PAGEREF _Toc420923249 \h </w:instrText>
        </w:r>
        <w:r>
          <w:rPr>
            <w:rFonts w:ascii="宋体" w:hAnsi="宋体"/>
            <w:sz w:val="24"/>
          </w:rPr>
          <w:fldChar w:fldCharType="separate"/>
        </w:r>
        <w:r>
          <w:rPr>
            <w:rFonts w:ascii="宋体" w:hAnsi="宋体"/>
            <w:sz w:val="24"/>
          </w:rPr>
          <w:t>15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sectPr>
          <w:type w:val="nextPage"/>
          <w:pgSz w:w="11906" w:h="16838"/>
          <w:pgMar w:top="1162" w:right="1270" w:bottom="1162" w:left="1230" w:header="851" w:footer="992" w:gutter="0"/>
          <w:pgNumType w:fmt="upperRoman" w:start="2"/>
          <w:cols w:space="720"/>
          <w:titlePg w:val="0"/>
          <w:docGrid w:type="lines" w:linePitch="312"/>
        </w:sectPr>
      </w:pPr>
      <w:hyperlink w:anchor="_Toc420923250" w:history="1">
        <w:r>
          <w:rPr>
            <w:rStyle w:val="Hyperlink"/>
            <w:rFonts w:ascii="宋体" w:hAnsi="宋体" w:hint="eastAsia"/>
            <w:sz w:val="24"/>
          </w:rPr>
          <w:t>客户年龄、职业与目的分心</w:t>
        </w:r>
        <w:r>
          <w:rPr>
            <w:rFonts w:ascii="宋体" w:hAnsi="宋体"/>
            <w:sz w:val="24"/>
          </w:rPr>
          <w:fldChar w:fldCharType="begin" w:dirty="1"/>
        </w:r>
        <w:r>
          <w:rPr>
            <w:rFonts w:ascii="宋体" w:hAnsi="宋体"/>
            <w:sz w:val="24"/>
          </w:rPr>
          <w:instrText xml:space="preserve"> PAGEREF _Toc420923250 \h </w:instrText>
        </w:r>
        <w:r>
          <w:rPr>
            <w:rFonts w:ascii="宋体" w:hAnsi="宋体"/>
            <w:sz w:val="24"/>
          </w:rPr>
          <w:fldChar w:fldCharType="separate"/>
        </w:r>
        <w:r>
          <w:rPr>
            <w:rFonts w:ascii="宋体" w:hAnsi="宋体"/>
            <w:sz w:val="24"/>
          </w:rPr>
          <w:t>15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51" w:history="1">
        <w:r>
          <w:rPr>
            <w:rStyle w:val="Hyperlink"/>
            <w:rFonts w:ascii="宋体" w:hAnsi="宋体"/>
            <w:sz w:val="24"/>
          </w:rPr>
          <w:t xml:space="preserve">5.1.3 </w:t>
        </w:r>
        <w:r>
          <w:rPr>
            <w:rStyle w:val="Hyperlink"/>
            <w:rFonts w:ascii="宋体" w:hAnsi="宋体" w:hint="eastAsia"/>
            <w:sz w:val="24"/>
          </w:rPr>
          <w:t>居住状况调查概述</w:t>
        </w:r>
        <w:r>
          <w:rPr>
            <w:rFonts w:ascii="宋体" w:hAnsi="宋体"/>
            <w:sz w:val="24"/>
          </w:rPr>
          <w:fldChar w:fldCharType="begin" w:dirty="1"/>
        </w:r>
        <w:r>
          <w:rPr>
            <w:rFonts w:ascii="宋体" w:hAnsi="宋体"/>
            <w:sz w:val="24"/>
          </w:rPr>
          <w:instrText xml:space="preserve"> PAGEREF _Toc420923251 \h </w:instrText>
        </w:r>
        <w:r>
          <w:rPr>
            <w:rFonts w:ascii="宋体" w:hAnsi="宋体"/>
            <w:sz w:val="24"/>
          </w:rPr>
          <w:fldChar w:fldCharType="separate"/>
        </w:r>
        <w:r>
          <w:rPr>
            <w:rFonts w:ascii="宋体" w:hAnsi="宋体"/>
            <w:sz w:val="24"/>
          </w:rPr>
          <w:t>15</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52" w:history="1">
        <w:r>
          <w:rPr>
            <w:rStyle w:val="Hyperlink"/>
            <w:rFonts w:ascii="宋体" w:hAnsi="宋体" w:hint="eastAsia"/>
            <w:sz w:val="24"/>
          </w:rPr>
          <w:t>购房需求情况调查</w:t>
        </w:r>
        <w:r>
          <w:rPr>
            <w:rFonts w:ascii="宋体" w:hAnsi="宋体"/>
            <w:sz w:val="24"/>
          </w:rPr>
          <w:fldChar w:fldCharType="begin" w:dirty="1"/>
        </w:r>
        <w:r>
          <w:rPr>
            <w:rFonts w:ascii="宋体" w:hAnsi="宋体"/>
            <w:sz w:val="24"/>
          </w:rPr>
          <w:instrText xml:space="preserve"> PAGEREF _Toc420923252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53" w:history="1">
        <w:r>
          <w:rPr>
            <w:rStyle w:val="Hyperlink"/>
            <w:rFonts w:ascii="宋体" w:hAnsi="宋体"/>
            <w:sz w:val="24"/>
          </w:rPr>
          <w:t>5.2</w:t>
        </w:r>
        <w:r>
          <w:rPr>
            <w:rStyle w:val="Hyperlink"/>
            <w:rFonts w:ascii="宋体" w:hAnsi="宋体" w:hint="eastAsia"/>
            <w:sz w:val="24"/>
          </w:rPr>
          <w:t>工程</w:t>
        </w:r>
        <w:r>
          <w:rPr>
            <w:rStyle w:val="Hyperlink"/>
            <w:rFonts w:ascii="宋体" w:hAnsi="宋体"/>
            <w:sz w:val="24"/>
          </w:rPr>
          <w:t>SWOT</w:t>
        </w:r>
        <w:r>
          <w:rPr>
            <w:rStyle w:val="Hyperlink"/>
            <w:rFonts w:ascii="宋体" w:hAnsi="宋体" w:hint="eastAsia"/>
            <w:sz w:val="24"/>
          </w:rPr>
          <w:t>分析</w:t>
        </w:r>
        <w:r>
          <w:rPr>
            <w:rFonts w:ascii="宋体" w:hAnsi="宋体"/>
            <w:sz w:val="24"/>
          </w:rPr>
          <w:fldChar w:fldCharType="begin" w:dirty="1"/>
        </w:r>
        <w:r>
          <w:rPr>
            <w:rFonts w:ascii="宋体" w:hAnsi="宋体"/>
            <w:sz w:val="24"/>
          </w:rPr>
          <w:instrText xml:space="preserve"> PAGEREF _Toc420923253 \h </w:instrText>
        </w:r>
        <w:r>
          <w:rPr>
            <w:rFonts w:ascii="宋体" w:hAnsi="宋体"/>
            <w:sz w:val="24"/>
          </w:rPr>
          <w:fldChar w:fldCharType="separate"/>
        </w:r>
        <w:r>
          <w:rPr>
            <w:rFonts w:ascii="宋体" w:hAnsi="宋体"/>
            <w:sz w:val="24"/>
          </w:rPr>
          <w:t>16</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58" w:history="1">
        <w:r>
          <w:rPr>
            <w:rStyle w:val="Hyperlink"/>
            <w:rFonts w:ascii="宋体" w:hAnsi="宋体"/>
            <w:sz w:val="24"/>
          </w:rPr>
          <w:t>5.3</w:t>
        </w:r>
        <w:r>
          <w:rPr>
            <w:rStyle w:val="Hyperlink"/>
            <w:rFonts w:ascii="宋体" w:hAnsi="宋体" w:hint="eastAsia"/>
            <w:sz w:val="24"/>
          </w:rPr>
          <w:t>工程形象定位</w:t>
        </w:r>
        <w:r>
          <w:rPr>
            <w:rFonts w:ascii="宋体" w:hAnsi="宋体"/>
            <w:sz w:val="24"/>
          </w:rPr>
          <w:fldChar w:fldCharType="begin" w:dirty="1"/>
        </w:r>
        <w:r>
          <w:rPr>
            <w:rFonts w:ascii="宋体" w:hAnsi="宋体"/>
            <w:sz w:val="24"/>
          </w:rPr>
          <w:instrText xml:space="preserve"> PAGEREF _Toc420923258 \h </w:instrText>
        </w:r>
        <w:r>
          <w:rPr>
            <w:rFonts w:ascii="宋体" w:hAnsi="宋体"/>
            <w:sz w:val="24"/>
          </w:rPr>
          <w:fldChar w:fldCharType="separate"/>
        </w:r>
        <w:r>
          <w:rPr>
            <w:rFonts w:ascii="宋体" w:hAnsi="宋体"/>
            <w:sz w:val="24"/>
          </w:rPr>
          <w:t>17</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59" w:history="1">
        <w:r>
          <w:rPr>
            <w:rStyle w:val="Hyperlink"/>
            <w:rFonts w:ascii="宋体" w:hAnsi="宋体" w:hint="eastAsia"/>
            <w:sz w:val="24"/>
          </w:rPr>
          <w:t>工程整体形象定位</w:t>
        </w:r>
        <w:r>
          <w:rPr>
            <w:rFonts w:ascii="宋体" w:hAnsi="宋体"/>
            <w:sz w:val="24"/>
          </w:rPr>
          <w:fldChar w:fldCharType="begin" w:dirty="1"/>
        </w:r>
        <w:r>
          <w:rPr>
            <w:rFonts w:ascii="宋体" w:hAnsi="宋体"/>
            <w:sz w:val="24"/>
          </w:rPr>
          <w:instrText xml:space="preserve"> PAGEREF _Toc420923259 \h </w:instrText>
        </w:r>
        <w:r>
          <w:rPr>
            <w:rFonts w:ascii="宋体" w:hAnsi="宋体"/>
            <w:sz w:val="24"/>
          </w:rPr>
          <w:fldChar w:fldCharType="separate"/>
        </w:r>
        <w:r>
          <w:rPr>
            <w:rFonts w:ascii="宋体" w:hAnsi="宋体"/>
            <w:sz w:val="24"/>
          </w:rPr>
          <w:t>17</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60" w:history="1">
        <w:r>
          <w:rPr>
            <w:rStyle w:val="Hyperlink"/>
            <w:rFonts w:ascii="宋体" w:hAnsi="宋体" w:hint="eastAsia"/>
            <w:sz w:val="24"/>
          </w:rPr>
          <w:t>建筑风格定位</w:t>
        </w:r>
        <w:r>
          <w:rPr>
            <w:rFonts w:ascii="宋体" w:hAnsi="宋体"/>
            <w:sz w:val="24"/>
          </w:rPr>
          <w:fldChar w:fldCharType="begin" w:dirty="1"/>
        </w:r>
        <w:r>
          <w:rPr>
            <w:rFonts w:ascii="宋体" w:hAnsi="宋体"/>
            <w:sz w:val="24"/>
          </w:rPr>
          <w:instrText xml:space="preserve"> PAGEREF _Toc420923260 \h </w:instrText>
        </w:r>
        <w:r>
          <w:rPr>
            <w:rFonts w:ascii="宋体" w:hAnsi="宋体"/>
            <w:sz w:val="24"/>
          </w:rPr>
          <w:fldChar w:fldCharType="separate"/>
        </w:r>
        <w:r>
          <w:rPr>
            <w:rFonts w:ascii="宋体" w:hAnsi="宋体"/>
            <w:sz w:val="24"/>
          </w:rPr>
          <w:t>17</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61" w:history="1">
        <w:r>
          <w:rPr>
            <w:rStyle w:val="Hyperlink"/>
            <w:rFonts w:ascii="宋体" w:hAnsi="宋体"/>
            <w:sz w:val="24"/>
          </w:rPr>
          <w:t>5.4</w:t>
        </w:r>
        <w:r>
          <w:rPr>
            <w:rStyle w:val="Hyperlink"/>
            <w:rFonts w:ascii="宋体" w:hAnsi="宋体" w:hint="eastAsia"/>
            <w:sz w:val="24"/>
          </w:rPr>
          <w:t>工程价格定位</w:t>
        </w:r>
        <w:r>
          <w:rPr>
            <w:rFonts w:ascii="宋体" w:hAnsi="宋体"/>
            <w:sz w:val="24"/>
          </w:rPr>
          <w:fldChar w:fldCharType="begin" w:dirty="1"/>
        </w:r>
        <w:r>
          <w:rPr>
            <w:rFonts w:ascii="宋体" w:hAnsi="宋体"/>
            <w:sz w:val="24"/>
          </w:rPr>
          <w:instrText xml:space="preserve"> PAGEREF _Toc420923261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62" w:history="1">
        <w:r>
          <w:rPr>
            <w:rStyle w:val="Hyperlink"/>
            <w:rFonts w:ascii="宋体" w:hAnsi="宋体" w:hint="eastAsia"/>
            <w:kern w:val="0"/>
            <w:sz w:val="24"/>
          </w:rPr>
          <w:t>定位分析</w:t>
        </w:r>
        <w:r>
          <w:rPr>
            <w:rFonts w:ascii="宋体" w:hAnsi="宋体"/>
            <w:sz w:val="24"/>
          </w:rPr>
          <w:fldChar w:fldCharType="begin" w:dirty="1"/>
        </w:r>
        <w:r>
          <w:rPr>
            <w:rFonts w:ascii="宋体" w:hAnsi="宋体"/>
            <w:sz w:val="24"/>
          </w:rPr>
          <w:instrText xml:space="preserve"> PAGEREF _Toc420923262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rsidR="0062148B">
      <w:pPr>
        <w:pStyle w:val="TOC3"/>
        <w:tabs>
          <w:tab w:val="right" w:leader="dot" w:pos="8948"/>
        </w:tabs>
        <w:spacing w:line="360" w:lineRule="auto"/>
        <w:ind w:left="0" w:leftChars="0"/>
        <w:jc w:val="left"/>
        <w:rPr>
          <w:rFonts w:ascii="宋体" w:hAnsi="宋体"/>
          <w:sz w:val="24"/>
        </w:rPr>
      </w:pPr>
      <w:hyperlink w:anchor="_Toc420923263" w:history="1">
        <w:r>
          <w:rPr>
            <w:rStyle w:val="Hyperlink"/>
            <w:rFonts w:ascii="宋体" w:hAnsi="宋体" w:hint="eastAsia"/>
            <w:kern w:val="0"/>
            <w:sz w:val="24"/>
          </w:rPr>
          <w:t>工程定位符合地理位置特点</w:t>
        </w:r>
        <w:r>
          <w:rPr>
            <w:rFonts w:ascii="宋体" w:hAnsi="宋体"/>
            <w:sz w:val="24"/>
          </w:rPr>
          <w:fldChar w:fldCharType="begin" w:dirty="1"/>
        </w:r>
        <w:r>
          <w:rPr>
            <w:rFonts w:ascii="宋体" w:hAnsi="宋体"/>
            <w:sz w:val="24"/>
          </w:rPr>
          <w:instrText xml:space="preserve"> PAGEREF _Toc420923263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64" w:history="1">
        <w:r>
          <w:rPr>
            <w:rStyle w:val="Hyperlink"/>
            <w:rFonts w:ascii="宋体" w:hAnsi="宋体"/>
            <w:kern w:val="0"/>
            <w:sz w:val="24"/>
          </w:rPr>
          <w:t>5.5</w:t>
        </w:r>
        <w:r>
          <w:rPr>
            <w:rStyle w:val="Hyperlink"/>
            <w:rFonts w:ascii="宋体" w:hAnsi="宋体" w:hint="eastAsia"/>
            <w:kern w:val="0"/>
            <w:sz w:val="24"/>
          </w:rPr>
          <w:t>市场比拟定价法</w:t>
        </w:r>
        <w:r>
          <w:rPr>
            <w:rFonts w:ascii="宋体" w:hAnsi="宋体"/>
            <w:sz w:val="24"/>
          </w:rPr>
          <w:fldChar w:fldCharType="begin" w:dirty="1"/>
        </w:r>
        <w:r>
          <w:rPr>
            <w:rFonts w:ascii="宋体" w:hAnsi="宋体"/>
            <w:sz w:val="24"/>
          </w:rPr>
          <w:instrText xml:space="preserve"> PAGEREF _Toc420923264 \h </w:instrText>
        </w:r>
        <w:r>
          <w:rPr>
            <w:rFonts w:ascii="宋体" w:hAnsi="宋体"/>
            <w:sz w:val="24"/>
          </w:rPr>
          <w:fldChar w:fldCharType="separate"/>
        </w:r>
        <w:r>
          <w:rPr>
            <w:rFonts w:ascii="宋体" w:hAnsi="宋体"/>
            <w:sz w:val="24"/>
          </w:rPr>
          <w:t>18</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65" w:history="1">
        <w:r>
          <w:rPr>
            <w:rStyle w:val="Hyperlink"/>
            <w:rFonts w:ascii="宋体" w:hAnsi="宋体"/>
            <w:sz w:val="24"/>
          </w:rPr>
          <w:t>6</w:t>
        </w:r>
        <w:r>
          <w:rPr>
            <w:rStyle w:val="Hyperlink"/>
            <w:rFonts w:ascii="宋体" w:hAnsi="宋体" w:hint="eastAsia"/>
            <w:caps/>
            <w:sz w:val="24"/>
          </w:rPr>
          <w:t>营销推广策略</w:t>
        </w:r>
        <w:r>
          <w:rPr>
            <w:rFonts w:ascii="宋体" w:hAnsi="宋体"/>
            <w:sz w:val="24"/>
          </w:rPr>
          <w:fldChar w:fldCharType="begin" w:dirty="1"/>
        </w:r>
        <w:r>
          <w:rPr>
            <w:rFonts w:ascii="宋体" w:hAnsi="宋体"/>
            <w:sz w:val="24"/>
          </w:rPr>
          <w:instrText xml:space="preserve"> PAGEREF _Toc420923265 \h </w:instrText>
        </w:r>
        <w:r>
          <w:rPr>
            <w:rFonts w:ascii="宋体" w:hAnsi="宋体"/>
            <w:sz w:val="24"/>
          </w:rPr>
          <w:fldChar w:fldCharType="separate"/>
        </w:r>
        <w:r>
          <w:rPr>
            <w:rFonts w:ascii="宋体" w:hAnsi="宋体"/>
            <w:sz w:val="24"/>
          </w:rPr>
          <w:t>20</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66" w:history="1">
        <w:r>
          <w:rPr>
            <w:rStyle w:val="Hyperlink"/>
            <w:rFonts w:ascii="宋体" w:hAnsi="宋体"/>
            <w:kern w:val="0"/>
            <w:sz w:val="24"/>
          </w:rPr>
          <w:t>6.1</w:t>
        </w:r>
        <w:r>
          <w:rPr>
            <w:rStyle w:val="Hyperlink"/>
            <w:rFonts w:ascii="宋体" w:hAnsi="宋体" w:hint="eastAsia"/>
            <w:kern w:val="0"/>
            <w:sz w:val="24"/>
          </w:rPr>
          <w:t>价格销售策略</w:t>
        </w:r>
        <w:r>
          <w:rPr>
            <w:rFonts w:ascii="宋体" w:hAnsi="宋体"/>
            <w:sz w:val="24"/>
          </w:rPr>
          <w:fldChar w:fldCharType="begin" w:dirty="1"/>
        </w:r>
        <w:r>
          <w:rPr>
            <w:rFonts w:ascii="宋体" w:hAnsi="宋体"/>
            <w:sz w:val="24"/>
          </w:rPr>
          <w:instrText xml:space="preserve"> PAGEREF _Toc420923266 \h </w:instrText>
        </w:r>
        <w:r>
          <w:rPr>
            <w:rFonts w:ascii="宋体" w:hAnsi="宋体"/>
            <w:sz w:val="24"/>
          </w:rPr>
          <w:fldChar w:fldCharType="separate"/>
        </w:r>
        <w:r>
          <w:rPr>
            <w:rFonts w:ascii="宋体" w:hAnsi="宋体"/>
            <w:sz w:val="24"/>
          </w:rPr>
          <w:t>20</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67" w:history="1">
        <w:r>
          <w:rPr>
            <w:rStyle w:val="Hyperlink"/>
            <w:rFonts w:ascii="宋体" w:hAnsi="宋体"/>
            <w:kern w:val="0"/>
            <w:sz w:val="24"/>
          </w:rPr>
          <w:t>6.2</w:t>
        </w:r>
        <w:r>
          <w:rPr>
            <w:rStyle w:val="Hyperlink"/>
            <w:rFonts w:ascii="宋体" w:hAnsi="宋体" w:hint="eastAsia"/>
            <w:kern w:val="0"/>
            <w:sz w:val="24"/>
          </w:rPr>
          <w:t>开盘推广策略及手段</w:t>
        </w:r>
        <w:r>
          <w:rPr>
            <w:rFonts w:ascii="宋体" w:hAnsi="宋体"/>
            <w:sz w:val="24"/>
          </w:rPr>
          <w:fldChar w:fldCharType="begin" w:dirty="1"/>
        </w:r>
        <w:r>
          <w:rPr>
            <w:rFonts w:ascii="宋体" w:hAnsi="宋体"/>
            <w:sz w:val="24"/>
          </w:rPr>
          <w:instrText xml:space="preserve"> PAGEREF _Toc420923267 \h </w:instrText>
        </w:r>
        <w:r>
          <w:rPr>
            <w:rFonts w:ascii="宋体" w:hAnsi="宋体"/>
            <w:sz w:val="24"/>
          </w:rPr>
          <w:fldChar w:fldCharType="separate"/>
        </w:r>
        <w:r>
          <w:rPr>
            <w:rFonts w:ascii="宋体" w:hAnsi="宋体"/>
            <w:sz w:val="24"/>
          </w:rPr>
          <w:t>21</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70" w:history="1">
        <w:r>
          <w:rPr>
            <w:rStyle w:val="Hyperlink"/>
            <w:rFonts w:ascii="宋体" w:hAnsi="宋体"/>
            <w:kern w:val="0"/>
            <w:sz w:val="24"/>
          </w:rPr>
          <w:t>6.3</w:t>
        </w:r>
        <w:r>
          <w:rPr>
            <w:rStyle w:val="Hyperlink"/>
            <w:rFonts w:ascii="宋体" w:hAnsi="宋体" w:hint="eastAsia"/>
            <w:kern w:val="0"/>
            <w:sz w:val="24"/>
          </w:rPr>
          <w:t>推广进度</w:t>
        </w:r>
        <w:r>
          <w:rPr>
            <w:rFonts w:ascii="宋体" w:hAnsi="宋体"/>
            <w:sz w:val="24"/>
          </w:rPr>
          <w:fldChar w:fldCharType="begin" w:dirty="1"/>
        </w:r>
        <w:r>
          <w:rPr>
            <w:rFonts w:ascii="宋体" w:hAnsi="宋体"/>
            <w:sz w:val="24"/>
          </w:rPr>
          <w:instrText xml:space="preserve"> PAGEREF _Toc420923270 \h </w:instrText>
        </w:r>
        <w:r>
          <w:rPr>
            <w:rFonts w:ascii="宋体" w:hAnsi="宋体"/>
            <w:sz w:val="24"/>
          </w:rPr>
          <w:fldChar w:fldCharType="separate"/>
        </w:r>
        <w:r>
          <w:rPr>
            <w:rFonts w:ascii="宋体" w:hAnsi="宋体"/>
            <w:sz w:val="24"/>
          </w:rPr>
          <w:t>22</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71" w:history="1">
        <w:r>
          <w:rPr>
            <w:rStyle w:val="Hyperlink"/>
            <w:rFonts w:ascii="宋体" w:hAnsi="宋体"/>
            <w:sz w:val="24"/>
          </w:rPr>
          <w:t>6.4</w:t>
        </w:r>
        <w:r>
          <w:rPr>
            <w:rStyle w:val="Hyperlink"/>
            <w:rFonts w:ascii="宋体" w:hAnsi="宋体" w:hint="eastAsia"/>
            <w:sz w:val="24"/>
          </w:rPr>
          <w:t>报纸广告</w:t>
        </w:r>
        <w:r>
          <w:rPr>
            <w:rFonts w:ascii="宋体" w:hAnsi="宋体"/>
            <w:sz w:val="24"/>
          </w:rPr>
          <w:fldChar w:fldCharType="begin" w:dirty="1"/>
        </w:r>
        <w:r>
          <w:rPr>
            <w:rFonts w:ascii="宋体" w:hAnsi="宋体"/>
            <w:sz w:val="24"/>
          </w:rPr>
          <w:instrText xml:space="preserve"> PAGEREF _Toc420923271 \h </w:instrText>
        </w:r>
        <w:r>
          <w:rPr>
            <w:rFonts w:ascii="宋体" w:hAnsi="宋体"/>
            <w:sz w:val="24"/>
          </w:rPr>
          <w:fldChar w:fldCharType="separate"/>
        </w:r>
        <w:r>
          <w:rPr>
            <w:rFonts w:ascii="宋体" w:hAnsi="宋体"/>
            <w:sz w:val="24"/>
          </w:rPr>
          <w:t>22</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72" w:history="1">
        <w:r>
          <w:rPr>
            <w:rStyle w:val="Hyperlink"/>
            <w:rFonts w:ascii="宋体" w:hAnsi="宋体"/>
            <w:kern w:val="0"/>
            <w:sz w:val="24"/>
          </w:rPr>
          <w:t>6.5</w:t>
        </w:r>
        <w:r>
          <w:rPr>
            <w:rStyle w:val="Hyperlink"/>
            <w:rFonts w:ascii="宋体" w:hAnsi="宋体" w:hint="eastAsia"/>
            <w:kern w:val="0"/>
            <w:sz w:val="24"/>
          </w:rPr>
          <w:t>直销与</w:t>
        </w:r>
        <w:r>
          <w:rPr>
            <w:rStyle w:val="Hyperlink"/>
            <w:rFonts w:ascii="宋体" w:hAnsi="宋体" w:hint="eastAsia"/>
            <w:kern w:val="0"/>
            <w:sz w:val="24"/>
          </w:rPr>
          <w:t>DM</w:t>
        </w:r>
        <w:r>
          <w:rPr>
            <w:rStyle w:val="Hyperlink"/>
            <w:rFonts w:ascii="宋体" w:hAnsi="宋体" w:hint="eastAsia"/>
            <w:kern w:val="0"/>
            <w:sz w:val="24"/>
          </w:rPr>
          <w:t>邮寄</w:t>
        </w:r>
        <w:r>
          <w:rPr>
            <w:rFonts w:ascii="宋体" w:hAnsi="宋体"/>
            <w:sz w:val="24"/>
          </w:rPr>
          <w:fldChar w:fldCharType="begin" w:dirty="1"/>
        </w:r>
        <w:r>
          <w:rPr>
            <w:rFonts w:ascii="宋体" w:hAnsi="宋体"/>
            <w:sz w:val="24"/>
          </w:rPr>
          <w:instrText xml:space="preserve"> PAGEREF _Toc420923272 \h </w:instrText>
        </w:r>
        <w:r>
          <w:rPr>
            <w:rFonts w:ascii="宋体" w:hAnsi="宋体"/>
            <w:sz w:val="24"/>
          </w:rPr>
          <w:fldChar w:fldCharType="separate"/>
        </w:r>
        <w:r>
          <w:rPr>
            <w:rFonts w:ascii="宋体" w:hAnsi="宋体"/>
            <w:sz w:val="24"/>
          </w:rPr>
          <w:t>22</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75" w:history="1">
        <w:r>
          <w:rPr>
            <w:rStyle w:val="Hyperlink"/>
            <w:rFonts w:ascii="宋体" w:hAnsi="宋体"/>
            <w:sz w:val="24"/>
          </w:rPr>
          <w:t>7</w:t>
        </w:r>
        <w:r>
          <w:rPr>
            <w:rStyle w:val="Hyperlink"/>
            <w:rFonts w:ascii="宋体" w:hAnsi="宋体" w:hint="eastAsia"/>
            <w:sz w:val="24"/>
          </w:rPr>
          <w:t>效益分析</w:t>
        </w:r>
        <w:r>
          <w:rPr>
            <w:rFonts w:ascii="宋体" w:hAnsi="宋体"/>
            <w:sz w:val="24"/>
          </w:rPr>
          <w:fldChar w:fldCharType="begin" w:dirty="1"/>
        </w:r>
        <w:r>
          <w:rPr>
            <w:rFonts w:ascii="宋体" w:hAnsi="宋体"/>
            <w:sz w:val="24"/>
          </w:rPr>
          <w:instrText xml:space="preserve"> PAGEREF _Toc420923275 \h </w:instrText>
        </w:r>
        <w:r>
          <w:rPr>
            <w:rFonts w:ascii="宋体" w:hAnsi="宋体"/>
            <w:sz w:val="24"/>
          </w:rPr>
          <w:fldChar w:fldCharType="separate"/>
        </w:r>
        <w:r>
          <w:rPr>
            <w:rFonts w:ascii="宋体" w:hAnsi="宋体"/>
            <w:sz w:val="24"/>
          </w:rPr>
          <w:t>23</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76" w:history="1">
        <w:r>
          <w:rPr>
            <w:rStyle w:val="Hyperlink"/>
            <w:rFonts w:ascii="宋体" w:hAnsi="宋体"/>
            <w:kern w:val="0"/>
            <w:sz w:val="24"/>
          </w:rPr>
          <w:t>7.1</w:t>
        </w:r>
        <w:r>
          <w:rPr>
            <w:rStyle w:val="Hyperlink"/>
            <w:rFonts w:ascii="宋体" w:hAnsi="宋体" w:hint="eastAsia"/>
            <w:kern w:val="0"/>
            <w:sz w:val="24"/>
          </w:rPr>
          <w:t>财务分析</w:t>
        </w:r>
        <w:r>
          <w:rPr>
            <w:rFonts w:ascii="宋体" w:hAnsi="宋体"/>
            <w:sz w:val="24"/>
          </w:rPr>
          <w:fldChar w:fldCharType="begin" w:dirty="1"/>
        </w:r>
        <w:r>
          <w:rPr>
            <w:rFonts w:ascii="宋体" w:hAnsi="宋体"/>
            <w:sz w:val="24"/>
          </w:rPr>
          <w:instrText xml:space="preserve"> PAGEREF _Toc420923276 \h </w:instrText>
        </w:r>
        <w:r>
          <w:rPr>
            <w:rFonts w:ascii="宋体" w:hAnsi="宋体"/>
            <w:sz w:val="24"/>
          </w:rPr>
          <w:fldChar w:fldCharType="separate"/>
        </w:r>
        <w:r>
          <w:rPr>
            <w:rFonts w:ascii="宋体" w:hAnsi="宋体"/>
            <w:sz w:val="24"/>
          </w:rPr>
          <w:t>23</w:t>
        </w:r>
        <w:r>
          <w:rPr>
            <w:rFonts w:ascii="宋体" w:hAnsi="宋体"/>
            <w:sz w:val="24"/>
          </w:rPr>
          <w:fldChar w:fldCharType="end"/>
        </w:r>
      </w:hyperlink>
    </w:p>
    <w:p w:rsidR="0062148B">
      <w:pPr>
        <w:pStyle w:val="TOC2"/>
        <w:tabs>
          <w:tab w:val="left" w:pos="1050"/>
          <w:tab w:val="right" w:leader="dot" w:pos="8948"/>
        </w:tabs>
        <w:spacing w:line="360" w:lineRule="auto"/>
        <w:ind w:left="0" w:leftChars="0"/>
        <w:jc w:val="left"/>
        <w:rPr>
          <w:rFonts w:ascii="宋体" w:hAnsi="宋体"/>
          <w:sz w:val="24"/>
        </w:rPr>
      </w:pPr>
      <w:hyperlink w:anchor="_Toc420923277" w:history="1">
        <w:r>
          <w:rPr>
            <w:rStyle w:val="Hyperlink"/>
            <w:rFonts w:ascii="宋体" w:hAnsi="宋体"/>
            <w:kern w:val="0"/>
            <w:sz w:val="24"/>
          </w:rPr>
          <w:t>7.2</w:t>
        </w:r>
        <w:r>
          <w:rPr>
            <w:rStyle w:val="Hyperlink"/>
            <w:rFonts w:ascii="宋体" w:hAnsi="宋体" w:hint="eastAsia"/>
            <w:kern w:val="0"/>
            <w:sz w:val="24"/>
          </w:rPr>
          <w:t>环境效益分析</w:t>
        </w:r>
        <w:r>
          <w:rPr>
            <w:rFonts w:ascii="宋体" w:hAnsi="宋体"/>
            <w:sz w:val="24"/>
          </w:rPr>
          <w:fldChar w:fldCharType="begin" w:dirty="1"/>
        </w:r>
        <w:r>
          <w:rPr>
            <w:rFonts w:ascii="宋体" w:hAnsi="宋体"/>
            <w:sz w:val="24"/>
          </w:rPr>
          <w:instrText xml:space="preserve"> PAGEREF _Toc420923277 \h </w:instrText>
        </w:r>
        <w:r>
          <w:rPr>
            <w:rFonts w:ascii="宋体" w:hAnsi="宋体"/>
            <w:sz w:val="24"/>
          </w:rPr>
          <w:fldChar w:fldCharType="separate"/>
        </w:r>
        <w:r>
          <w:rPr>
            <w:rFonts w:ascii="宋体" w:hAnsi="宋体"/>
            <w:sz w:val="24"/>
          </w:rPr>
          <w:t>24</w:t>
        </w:r>
        <w:r>
          <w:rPr>
            <w:rFonts w:ascii="宋体" w:hAnsi="宋体"/>
            <w:sz w:val="24"/>
          </w:rPr>
          <w:fldChar w:fldCharType="end"/>
        </w:r>
      </w:hyperlink>
    </w:p>
    <w:p w:rsidR="0062148B">
      <w:pPr>
        <w:pStyle w:val="TOC2"/>
        <w:tabs>
          <w:tab w:val="right" w:leader="dot" w:pos="8948"/>
        </w:tabs>
        <w:spacing w:line="360" w:lineRule="auto"/>
        <w:ind w:left="0" w:leftChars="0"/>
        <w:jc w:val="left"/>
        <w:rPr>
          <w:rFonts w:ascii="宋体" w:hAnsi="宋体"/>
          <w:sz w:val="24"/>
        </w:rPr>
      </w:pPr>
      <w:hyperlink w:anchor="_Toc420923278" w:history="1">
        <w:r>
          <w:rPr>
            <w:rStyle w:val="Hyperlink"/>
            <w:rFonts w:ascii="宋体" w:hAnsi="宋体"/>
            <w:kern w:val="0"/>
            <w:sz w:val="24"/>
          </w:rPr>
          <w:t>7.3</w:t>
        </w:r>
        <w:r>
          <w:rPr>
            <w:rStyle w:val="Hyperlink"/>
            <w:rFonts w:ascii="宋体" w:hAnsi="宋体" w:hint="eastAsia"/>
            <w:kern w:val="0"/>
            <w:sz w:val="24"/>
          </w:rPr>
          <w:t>社会效益分析</w:t>
        </w:r>
        <w:r>
          <w:rPr>
            <w:rFonts w:ascii="宋体" w:hAnsi="宋体"/>
            <w:sz w:val="24"/>
          </w:rPr>
          <w:fldChar w:fldCharType="begin" w:dirty="1"/>
        </w:r>
        <w:r>
          <w:rPr>
            <w:rFonts w:ascii="宋体" w:hAnsi="宋体"/>
            <w:sz w:val="24"/>
          </w:rPr>
          <w:instrText xml:space="preserve"> PAGEREF _Toc420923278 \h </w:instrText>
        </w:r>
        <w:r>
          <w:rPr>
            <w:rFonts w:ascii="宋体" w:hAnsi="宋体"/>
            <w:sz w:val="24"/>
          </w:rPr>
          <w:fldChar w:fldCharType="separate"/>
        </w:r>
        <w:r>
          <w:rPr>
            <w:rFonts w:ascii="宋体" w:hAnsi="宋体"/>
            <w:sz w:val="24"/>
          </w:rPr>
          <w:t>24</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79" w:history="1">
        <w:r>
          <w:rPr>
            <w:rStyle w:val="Hyperlink"/>
            <w:rFonts w:ascii="宋体" w:hAnsi="宋体"/>
            <w:sz w:val="24"/>
          </w:rPr>
          <w:t>8</w:t>
        </w:r>
        <w:r>
          <w:rPr>
            <w:rStyle w:val="Hyperlink"/>
            <w:rFonts w:ascii="宋体" w:hAnsi="宋体" w:hint="eastAsia"/>
            <w:sz w:val="24"/>
          </w:rPr>
          <w:t>结论</w:t>
        </w:r>
        <w:r>
          <w:rPr>
            <w:rFonts w:ascii="宋体" w:hAnsi="宋体"/>
            <w:sz w:val="24"/>
          </w:rPr>
          <w:fldChar w:fldCharType="begin" w:dirty="1"/>
        </w:r>
        <w:r>
          <w:rPr>
            <w:rFonts w:ascii="宋体" w:hAnsi="宋体"/>
            <w:sz w:val="24"/>
          </w:rPr>
          <w:instrText xml:space="preserve"> PAGEREF _Toc420923279 \h </w:instrText>
        </w:r>
        <w:r>
          <w:rPr>
            <w:rFonts w:ascii="宋体" w:hAnsi="宋体"/>
            <w:sz w:val="24"/>
          </w:rPr>
          <w:fldChar w:fldCharType="separate"/>
        </w:r>
        <w:r>
          <w:rPr>
            <w:rFonts w:ascii="宋体" w:hAnsi="宋体"/>
            <w:sz w:val="24"/>
          </w:rPr>
          <w:t>25</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80" w:history="1">
        <w:r>
          <w:rPr>
            <w:rStyle w:val="Hyperlink"/>
            <w:rFonts w:ascii="宋体" w:hAnsi="宋体" w:hint="eastAsia"/>
            <w:sz w:val="24"/>
          </w:rPr>
          <w:t>参考文献</w:t>
        </w:r>
        <w:r>
          <w:rPr>
            <w:rFonts w:ascii="宋体" w:hAnsi="宋体"/>
            <w:sz w:val="24"/>
          </w:rPr>
          <w:fldChar w:fldCharType="begin" w:dirty="1"/>
        </w:r>
        <w:r>
          <w:rPr>
            <w:rFonts w:ascii="宋体" w:hAnsi="宋体"/>
            <w:sz w:val="24"/>
          </w:rPr>
          <w:instrText xml:space="preserve"> PAGEREF _Toc420923280 \h </w:instrText>
        </w:r>
        <w:r>
          <w:rPr>
            <w:rFonts w:ascii="宋体" w:hAnsi="宋体"/>
            <w:sz w:val="24"/>
          </w:rPr>
          <w:fldChar w:fldCharType="separate"/>
        </w:r>
        <w:r>
          <w:rPr>
            <w:rFonts w:ascii="宋体" w:hAnsi="宋体"/>
            <w:sz w:val="24"/>
          </w:rPr>
          <w:t>25</w:t>
        </w:r>
        <w:r>
          <w:rPr>
            <w:rFonts w:ascii="宋体" w:hAnsi="宋体"/>
            <w:sz w:val="24"/>
          </w:rPr>
          <w:fldChar w:fldCharType="end"/>
        </w:r>
      </w:hyperlink>
    </w:p>
    <w:p w:rsidR="0062148B">
      <w:pPr>
        <w:pStyle w:val="TOC1"/>
        <w:tabs>
          <w:tab w:val="right" w:leader="dot" w:pos="8948"/>
        </w:tabs>
        <w:spacing w:line="360" w:lineRule="auto"/>
        <w:jc w:val="left"/>
        <w:rPr>
          <w:rFonts w:ascii="宋体" w:hAnsi="宋体"/>
          <w:sz w:val="24"/>
        </w:rPr>
      </w:pPr>
      <w:hyperlink w:anchor="_Toc420923281" w:history="1">
        <w:r>
          <w:rPr>
            <w:rStyle w:val="Hyperlink"/>
            <w:rFonts w:ascii="宋体" w:hAnsi="宋体" w:hint="eastAsia"/>
            <w:sz w:val="24"/>
          </w:rPr>
          <w:t>致谢</w:t>
        </w:r>
        <w:r>
          <w:rPr>
            <w:rFonts w:ascii="宋体" w:hAnsi="宋体"/>
            <w:sz w:val="24"/>
          </w:rPr>
          <w:fldChar w:fldCharType="begin" w:dirty="1"/>
        </w:r>
        <w:r>
          <w:rPr>
            <w:rFonts w:ascii="宋体" w:hAnsi="宋体"/>
            <w:sz w:val="24"/>
          </w:rPr>
          <w:instrText xml:space="preserve"> PAGEREF _Toc420923281 \h </w:instrText>
        </w:r>
        <w:r>
          <w:rPr>
            <w:rFonts w:ascii="宋体" w:hAnsi="宋体"/>
            <w:sz w:val="24"/>
          </w:rPr>
          <w:fldChar w:fldCharType="separate"/>
        </w:r>
        <w:r>
          <w:rPr>
            <w:rFonts w:ascii="宋体" w:hAnsi="宋体"/>
            <w:sz w:val="24"/>
          </w:rPr>
          <w:t>26</w:t>
        </w:r>
        <w:r>
          <w:rPr>
            <w:rFonts w:ascii="宋体" w:hAnsi="宋体"/>
            <w:sz w:val="24"/>
          </w:rPr>
          <w:fldChar w:fldCharType="end"/>
        </w:r>
      </w:hyperlink>
    </w:p>
    <w:p w:rsidR="0062148B">
      <w:pPr>
        <w:pStyle w:val="TOC1"/>
        <w:tabs>
          <w:tab w:val="right" w:leader="dot" w:pos="8948"/>
        </w:tabs>
        <w:spacing w:line="360" w:lineRule="auto"/>
        <w:jc w:val="left"/>
        <w:rPr>
          <w:rFonts w:ascii="宋体" w:hAnsi="宋体" w:hint="eastAsia"/>
          <w:color w:val="000000"/>
          <w:sz w:val="24"/>
        </w:rPr>
        <w:sectPr>
          <w:type w:val="nextPage"/>
          <w:pgSz w:w="11906" w:h="16838"/>
          <w:pgMar w:top="1162" w:right="1270" w:bottom="1162" w:left="1230" w:header="851" w:footer="992" w:gutter="0"/>
          <w:pgNumType w:fmt="upperRoman" w:start="3"/>
          <w:cols w:space="720"/>
          <w:titlePg w:val="0"/>
          <w:docGrid w:type="lines" w:linePitch="312"/>
        </w:sectPr>
      </w:pPr>
      <w:r>
        <w:rPr>
          <w:rFonts w:ascii="宋体" w:hAnsi="宋体"/>
          <w:bCs/>
          <w:sz w:val="24"/>
        </w:rPr>
        <w:fldChar w:fldCharType="end"/>
      </w:r>
    </w:p>
    <w:p w:rsidR="0062148B">
      <w:pPr>
        <w:spacing w:line="440" w:lineRule="exact"/>
        <w:jc w:val="center"/>
        <w:rPr>
          <w:rFonts w:ascii="黑体" w:eastAsia="黑体" w:hint="eastAsia"/>
          <w:b/>
          <w:sz w:val="36"/>
          <w:szCs w:val="36"/>
        </w:rPr>
      </w:pPr>
      <w:r>
        <w:rPr>
          <w:rFonts w:ascii="黑体" w:eastAsia="黑体" w:hint="eastAsia"/>
          <w:b/>
          <w:sz w:val="36"/>
          <w:szCs w:val="36"/>
        </w:rPr>
        <w:t>恒大江湾房地产开发工程营销筹划</w:t>
      </w:r>
    </w:p>
    <w:p w:rsidR="0062148B">
      <w:pPr>
        <w:spacing w:line="440" w:lineRule="exact"/>
        <w:ind w:firstLine="3675" w:firstLineChars="1750"/>
        <w:rPr>
          <w:rFonts w:ascii="宋体" w:hAnsi="宋体" w:hint="eastAsia"/>
          <w:szCs w:val="21"/>
        </w:rPr>
      </w:pPr>
      <w:r>
        <w:rPr>
          <w:rFonts w:ascii="宋体" w:hAnsi="宋体" w:hint="eastAsia"/>
          <w:szCs w:val="21"/>
        </w:rPr>
        <w:t>学    生：向  晟</w:t>
      </w:r>
    </w:p>
    <w:p w:rsidR="0062148B">
      <w:pPr>
        <w:spacing w:line="440" w:lineRule="exact"/>
        <w:ind w:firstLine="3675" w:firstLineChars="1750"/>
        <w:rPr>
          <w:rFonts w:ascii="宋体" w:hAnsi="宋体" w:hint="eastAsia"/>
          <w:szCs w:val="21"/>
        </w:rPr>
      </w:pPr>
      <w:r>
        <w:rPr>
          <w:rFonts w:ascii="宋体" w:hAnsi="宋体" w:hint="eastAsia"/>
          <w:szCs w:val="21"/>
        </w:rPr>
        <w:t>指导老师：李明孝</w:t>
      </w:r>
    </w:p>
    <w:p w:rsidR="0062148B">
      <w:pPr>
        <w:spacing w:line="440" w:lineRule="exact"/>
        <w:jc w:val="center"/>
        <w:rPr>
          <w:rFonts w:ascii="宋体" w:hAnsi="宋体" w:hint="eastAsia"/>
          <w:szCs w:val="21"/>
        </w:rPr>
      </w:pPr>
      <w:r>
        <w:rPr>
          <w:rFonts w:ascii="宋体" w:hAnsi="宋体" w:hint="eastAsia"/>
          <w:szCs w:val="21"/>
        </w:rPr>
        <w:t>〔湖南农业大学东方科技学院，长沙，420238〕</w:t>
      </w:r>
    </w:p>
    <w:p w:rsidR="0062148B">
      <w:pPr>
        <w:pStyle w:val="Heading3"/>
        <w:spacing w:before="0" w:after="0" w:line="440" w:lineRule="exact"/>
        <w:rPr>
          <w:rFonts w:ascii="Arial" w:hAnsi="宋体" w:hint="eastAsia"/>
          <w:color w:val="000000"/>
        </w:rPr>
      </w:pPr>
      <w:bookmarkStart w:id="0" w:name="_Toc420923219"/>
      <w:r>
        <w:rPr>
          <w:rFonts w:ascii="黑体" w:eastAsia="黑体" w:hAnsi="黑体" w:hint="eastAsia"/>
          <w:b w:val="0"/>
          <w:bCs w:val="0"/>
          <w:color w:val="000000"/>
          <w:kern w:val="0"/>
          <w:sz w:val="24"/>
        </w:rPr>
        <w:t>摘  要：</w:t>
      </w:r>
      <w:r>
        <w:rPr>
          <w:rStyle w:val="Char"/>
          <w:rFonts w:hint="eastAsia"/>
          <w:b w:val="0"/>
        </w:rPr>
        <w:t>在近几年中我国房地产高速开展，而且房地产工程占国民经济很大一局部。房地产开发行业本身具备高投入、高回报、高风险这三大特点，假设要求得长久平稳地开展，须进行科学改良，不要盲目追求暴利收入，因此投资须谨慎。恒大江湾由于地处浏阳河风光带地段，有着很高增值空间，在此背景下，我们对工程前期做了大量的分析，其中包括市场调查、市场研究及分析、工程定位、营销战略、营销推广等。</w:t>
      </w:r>
      <w:bookmarkEnd w:id="0"/>
    </w:p>
    <w:p w:rsidR="0062148B">
      <w:pPr>
        <w:pStyle w:val="Heading3"/>
        <w:spacing w:before="0" w:after="0" w:line="440" w:lineRule="exact"/>
        <w:ind w:firstLine="480" w:firstLineChars="200"/>
        <w:rPr>
          <w:rFonts w:ascii="宋体" w:hAnsi="宋体" w:hint="eastAsia"/>
          <w:sz w:val="24"/>
        </w:rPr>
      </w:pPr>
      <w:bookmarkStart w:id="1" w:name="_Toc420923220"/>
      <w:r>
        <w:rPr>
          <w:rFonts w:ascii="黑体" w:eastAsia="黑体" w:hAnsi="黑体" w:hint="eastAsia"/>
          <w:b w:val="0"/>
          <w:bCs w:val="0"/>
          <w:color w:val="000000"/>
          <w:kern w:val="0"/>
          <w:sz w:val="24"/>
        </w:rPr>
        <w:t>关键词：</w:t>
      </w:r>
      <w:r>
        <w:rPr>
          <w:rStyle w:val="Char"/>
          <w:rFonts w:hAnsi="宋体" w:hint="eastAsia"/>
          <w:b w:val="0"/>
          <w:bCs w:val="0"/>
          <w:color w:val="000000"/>
        </w:rPr>
        <w:t>房地产；市场；定位；营销；推广</w:t>
      </w:r>
      <w:bookmarkEnd w:id="1"/>
    </w:p>
    <w:p w:rsidR="0062148B">
      <w:pPr>
        <w:spacing w:line="440" w:lineRule="exact"/>
        <w:jc w:val="center"/>
        <w:rPr>
          <w:rFonts w:eastAsia="黑体" w:hint="eastAsia"/>
          <w:b/>
          <w:sz w:val="28"/>
          <w:szCs w:val="36"/>
        </w:rPr>
      </w:pPr>
      <w:r>
        <w:rPr>
          <w:rFonts w:eastAsia="黑体" w:hint="eastAsia"/>
          <w:b/>
          <w:sz w:val="28"/>
          <w:szCs w:val="36"/>
        </w:rPr>
        <w:t>Jiangwan Hengda Real Estate Development Project Marketing Planning</w:t>
      </w:r>
    </w:p>
    <w:p w:rsidR="0062148B">
      <w:pPr>
        <w:spacing w:line="440" w:lineRule="exact"/>
        <w:jc w:val="center"/>
        <w:rPr>
          <w:rFonts w:hint="eastAsia"/>
          <w:szCs w:val="21"/>
        </w:rPr>
      </w:pPr>
      <w:r>
        <w:rPr>
          <w:rFonts w:hint="eastAsia"/>
          <w:szCs w:val="21"/>
        </w:rPr>
        <w:t>Students: Xiang Sheng</w:t>
      </w:r>
    </w:p>
    <w:p w:rsidR="0062148B">
      <w:pPr>
        <w:spacing w:line="440" w:lineRule="exact"/>
        <w:ind w:firstLine="3570" w:firstLineChars="1700"/>
        <w:rPr>
          <w:rFonts w:hint="eastAsia"/>
          <w:szCs w:val="21"/>
        </w:rPr>
      </w:pPr>
      <w:r>
        <w:rPr>
          <w:rFonts w:hint="eastAsia"/>
          <w:szCs w:val="21"/>
        </w:rPr>
        <w:t>Totur:Li Mingxiao</w:t>
      </w:r>
    </w:p>
    <w:p w:rsidR="0062148B">
      <w:pPr>
        <w:spacing w:line="440" w:lineRule="exact"/>
        <w:jc w:val="center"/>
        <w:rPr>
          <w:rFonts w:hint="eastAsia"/>
          <w:szCs w:val="21"/>
        </w:rPr>
      </w:pPr>
      <w:r>
        <w:rPr>
          <w:rFonts w:hAnsi="宋体" w:hint="eastAsia"/>
          <w:szCs w:val="21"/>
        </w:rPr>
        <w:t>〔</w:t>
      </w:r>
      <w:r>
        <w:rPr>
          <w:rFonts w:hint="eastAsia"/>
          <w:szCs w:val="21"/>
        </w:rPr>
        <w:t>Hunan Agricultural University, Eastern Technology School</w:t>
      </w:r>
      <w:r>
        <w:rPr>
          <w:rFonts w:hAnsi="宋体" w:hint="eastAsia"/>
          <w:szCs w:val="21"/>
        </w:rPr>
        <w:t>，</w:t>
      </w:r>
      <w:r>
        <w:rPr>
          <w:rFonts w:hint="eastAsia"/>
          <w:szCs w:val="21"/>
        </w:rPr>
        <w:t>ChangSha</w:t>
      </w:r>
      <w:r>
        <w:rPr>
          <w:rFonts w:hAnsi="宋体" w:hint="eastAsia"/>
          <w:szCs w:val="21"/>
        </w:rPr>
        <w:t>，</w:t>
      </w:r>
      <w:r>
        <w:rPr>
          <w:rFonts w:hint="eastAsia"/>
          <w:szCs w:val="21"/>
        </w:rPr>
        <w:t>420238</w:t>
      </w:r>
      <w:r>
        <w:rPr>
          <w:rFonts w:hAnsi="宋体" w:hint="eastAsia"/>
          <w:szCs w:val="21"/>
        </w:rPr>
        <w:t>〕</w:t>
      </w:r>
    </w:p>
    <w:p w:rsidR="0062148B">
      <w:pPr>
        <w:spacing w:line="440" w:lineRule="exact"/>
        <w:ind w:firstLine="480" w:firstLineChars="200"/>
        <w:rPr>
          <w:rFonts w:hint="eastAsia"/>
          <w:color w:val="333333"/>
          <w:shd w:val="clear" w:color="auto" w:fill="FFFFFF"/>
        </w:rPr>
      </w:pPr>
      <w:r>
        <w:rPr>
          <w:b/>
          <w:color w:val="000000"/>
          <w:sz w:val="24"/>
        </w:rPr>
        <w:t>Abstract</w:t>
      </w:r>
      <w:r>
        <w:rPr>
          <w:rFonts w:hint="eastAsia"/>
          <w:b/>
          <w:color w:val="000000"/>
        </w:rPr>
        <w:t>：</w:t>
      </w:r>
      <w:r>
        <w:rPr>
          <w:color w:val="000000"/>
          <w:shd w:val="clear" w:color="auto" w:fill="FFFFFF"/>
        </w:rPr>
        <w:t>In recent years China's real estate development, and real estate projects accounted for a large part of the national economy. The development of real estate industry itself has high investment, high return, high risk of these three features, if you want to have long-term stable development, must be scientific improvement, do not blindly pursueprofits income, so the investment must be cautious. Jiangwan Hengda located in the Liuyang River Scenic Zone,has a very high appreciation of space, in this context, we have done a lot of analysis of the project, including market research, market research and analysis, project positioning, marketing strategy, marketing etc.</w:t>
      </w:r>
    </w:p>
    <w:p w:rsidR="0062148B">
      <w:pPr>
        <w:spacing w:line="440" w:lineRule="exact"/>
        <w:ind w:firstLine="470" w:firstLineChars="196"/>
        <w:rPr>
          <w:rFonts w:hint="eastAsia"/>
          <w:szCs w:val="21"/>
        </w:rPr>
      </w:pPr>
      <w:r>
        <w:rPr>
          <w:b/>
          <w:sz w:val="24"/>
        </w:rPr>
        <w:t>Keywords:</w:t>
      </w:r>
      <w:r>
        <w:rPr>
          <w:szCs w:val="21"/>
        </w:rPr>
        <w:t>real estate；market positioning；marketing；promotion</w:t>
      </w:r>
    </w:p>
    <w:p w:rsidR="0062148B">
      <w:pPr>
        <w:pStyle w:val="Heading1"/>
        <w:spacing w:before="0" w:after="0" w:line="440" w:lineRule="exact"/>
        <w:rPr>
          <w:rFonts w:ascii="黑体" w:eastAsia="黑体" w:hAnsi="黑体" w:hint="eastAsia"/>
          <w:color w:val="000000"/>
          <w:sz w:val="30"/>
        </w:rPr>
      </w:pPr>
      <w:bookmarkStart w:id="2" w:name="_Toc420923221"/>
      <w:r>
        <w:rPr>
          <w:rFonts w:ascii="黑体" w:eastAsia="黑体" w:hAnsi="黑体" w:hint="eastAsia"/>
          <w:b w:val="0"/>
          <w:bCs w:val="0"/>
          <w:color w:val="000000"/>
          <w:sz w:val="30"/>
        </w:rPr>
        <w:t>1  前言</w:t>
      </w:r>
      <w:bookmarkEnd w:id="2"/>
    </w:p>
    <w:p w:rsidR="0062148B">
      <w:pPr>
        <w:pStyle w:val="HTMLPreformatted"/>
        <w:shd w:val="clear" w:color="auto" w:fill="FFFFFF"/>
        <w:spacing w:line="440" w:lineRule="exact"/>
        <w:ind w:firstLine="480" w:firstLineChars="200"/>
        <w:rPr>
          <w:rFonts w:ascii="宋体" w:eastAsia="宋体" w:hAnsi="宋体" w:hint="eastAsia"/>
          <w:color w:val="000000"/>
          <w:sz w:val="24"/>
          <w:szCs w:val="24"/>
        </w:rPr>
        <w:sectPr>
          <w:pgSz w:w="11906" w:h="16838"/>
          <w:pgMar w:top="1440" w:right="1800" w:bottom="1440" w:left="1800" w:header="851" w:footer="992" w:gutter="0"/>
          <w:pgNumType w:start="1"/>
          <w:cols w:space="720"/>
          <w:docGrid w:type="lines" w:linePitch="312"/>
        </w:sectPr>
      </w:pPr>
      <w:r>
        <w:rPr>
          <w:rFonts w:ascii="宋体" w:eastAsia="宋体" w:hAnsi="宋体"/>
          <w:color w:val="000000"/>
          <w:sz w:val="24"/>
          <w:szCs w:val="24"/>
        </w:rPr>
        <w:t>2023年9月1日，</w:t>
      </w:r>
      <w:r>
        <w:rPr>
          <w:rFonts w:ascii="宋体" w:eastAsia="宋体" w:hAnsi="宋体" w:hint="eastAsia"/>
          <w:color w:val="000000"/>
          <w:sz w:val="24"/>
          <w:szCs w:val="24"/>
        </w:rPr>
        <w:t>芙蓉区政府规划投资50亿打造</w:t>
      </w:r>
      <w:r>
        <w:rPr>
          <w:rFonts w:ascii="宋体" w:eastAsia="宋体" w:hAnsi="宋体"/>
          <w:color w:val="000000"/>
          <w:sz w:val="24"/>
          <w:szCs w:val="24"/>
        </w:rPr>
        <w:t>浏阳河休闲风光带</w:t>
      </w:r>
      <w:r>
        <w:rPr>
          <w:rFonts w:ascii="宋体" w:eastAsia="宋体" w:hAnsi="宋体" w:hint="eastAsia"/>
          <w:color w:val="000000"/>
          <w:sz w:val="24"/>
          <w:szCs w:val="24"/>
        </w:rPr>
        <w:t>区域，使河东河西对称开展</w:t>
      </w:r>
      <w:r>
        <w:rPr>
          <w:rFonts w:ascii="宋体" w:eastAsia="宋体" w:hAnsi="宋体"/>
          <w:color w:val="000000"/>
          <w:sz w:val="24"/>
          <w:szCs w:val="24"/>
        </w:rPr>
        <w:t>。这一天，芙蓉区开启了滨水开发的新篇章</w:t>
      </w:r>
      <w:r>
        <w:rPr>
          <w:rFonts w:ascii="宋体" w:eastAsia="宋体" w:hAnsi="宋体" w:hint="eastAsia"/>
          <w:color w:val="000000"/>
          <w:sz w:val="24"/>
          <w:szCs w:val="24"/>
        </w:rPr>
        <w:t>。</w:t>
      </w:r>
      <w:r>
        <w:rPr>
          <w:rFonts w:ascii="宋体" w:eastAsia="宋体" w:hAnsi="宋体"/>
          <w:color w:val="000000"/>
          <w:sz w:val="24"/>
          <w:szCs w:val="24"/>
        </w:rPr>
        <w:t>城伴河而生，河绕城而育。</w:t>
      </w:r>
      <w:r>
        <w:rPr>
          <w:rFonts w:ascii="宋体" w:eastAsia="宋体" w:hAnsi="宋体" w:hint="eastAsia"/>
          <w:color w:val="000000"/>
          <w:sz w:val="24"/>
          <w:szCs w:val="24"/>
        </w:rPr>
        <w:t>临</w:t>
      </w:r>
      <w:r>
        <w:rPr>
          <w:rFonts w:ascii="宋体" w:eastAsia="宋体" w:hAnsi="宋体"/>
          <w:color w:val="000000"/>
          <w:sz w:val="24"/>
          <w:szCs w:val="24"/>
        </w:rPr>
        <w:t>水</w:t>
      </w:r>
      <w:r>
        <w:rPr>
          <w:rFonts w:ascii="宋体" w:eastAsia="宋体" w:hAnsi="宋体" w:hint="eastAsia"/>
          <w:color w:val="000000"/>
          <w:sz w:val="24"/>
          <w:szCs w:val="24"/>
        </w:rPr>
        <w:t>环境</w:t>
      </w:r>
      <w:r>
        <w:rPr>
          <w:rFonts w:ascii="宋体" w:eastAsia="宋体" w:hAnsi="宋体"/>
          <w:color w:val="000000"/>
          <w:sz w:val="24"/>
          <w:szCs w:val="24"/>
        </w:rPr>
        <w:t>是塑造城市独特品位的最正确资源</w:t>
      </w:r>
      <w:r>
        <w:rPr>
          <w:rFonts w:ascii="宋体" w:eastAsia="宋体" w:hAnsi="宋体" w:hint="eastAsia"/>
          <w:color w:val="000000"/>
          <w:sz w:val="24"/>
          <w:szCs w:val="24"/>
        </w:rPr>
        <w:t>。</w:t>
      </w:r>
      <w:r>
        <w:rPr>
          <w:rFonts w:ascii="宋体" w:eastAsia="宋体" w:hAnsi="宋体"/>
          <w:color w:val="000000"/>
          <w:sz w:val="24"/>
          <w:szCs w:val="24"/>
        </w:rPr>
        <w:t>长沙城市的特点是山、水、洲、城。水即湘江、浏阳河。自大围山奔泻而下的浏阳河，九曲十八弯，到了芙蓉区地段，水流渐趋平缓，水面渐趋宽阔。这孕育地脉、会聚灵气的浏阳河，是芙蓉区得天独厚的地域优势</w:t>
      </w:r>
      <w:r>
        <w:rPr>
          <w:rFonts w:ascii="宋体" w:eastAsia="宋体" w:hAnsi="宋体" w:hint="eastAsia"/>
          <w:color w:val="000000"/>
          <w:sz w:val="24"/>
          <w:szCs w:val="24"/>
        </w:rPr>
        <w:t>。</w:t>
      </w:r>
      <w:r>
        <w:rPr>
          <w:rFonts w:ascii="宋体" w:eastAsia="宋体" w:hAnsi="宋体" w:hint="eastAsia"/>
          <w:color w:val="000000"/>
          <w:sz w:val="36"/>
          <w:szCs w:val="24"/>
          <w:vertAlign w:val="superscript"/>
        </w:rPr>
        <w:t>[1]</w:t>
      </w:r>
    </w:p>
    <w:p w:rsidR="0062148B">
      <w:pPr>
        <w:pStyle w:val="HTMLPreformatted"/>
        <w:shd w:val="clear" w:color="auto" w:fill="FFFFFF"/>
        <w:spacing w:line="440" w:lineRule="exact"/>
        <w:ind w:firstLine="480" w:firstLineChars="200"/>
        <w:rPr>
          <w:rFonts w:ascii="宋体" w:eastAsia="宋体" w:hAnsi="宋体" w:hint="eastAsia"/>
          <w:color w:val="000000"/>
          <w:sz w:val="24"/>
          <w:szCs w:val="24"/>
        </w:rPr>
      </w:pPr>
      <w:r>
        <w:rPr>
          <w:rFonts w:ascii="宋体" w:eastAsia="宋体" w:hAnsi="宋体" w:hint="eastAsia"/>
          <w:color w:val="000000"/>
          <w:sz w:val="24"/>
          <w:szCs w:val="24"/>
        </w:rPr>
        <w:t>恒大江湾工程作为恒大品牌本来就受广阔市民的关注，而且位置也天然得优，位于长沙市芙蓉区，浏阳河以东200米，东临汽车东站，远大路以北。考虑到工程与周边竞品的特点，我们对工程的市场研究、产品定位、营销战略及营销推广等，做了深入的调查和分析，以保证工程取得成功。</w:t>
      </w:r>
    </w:p>
    <w:p w:rsidR="0062148B">
      <w:pPr>
        <w:pStyle w:val="HTMLPreformatted"/>
        <w:shd w:val="clear" w:color="auto" w:fill="FFFFFF"/>
        <w:spacing w:line="440" w:lineRule="exact"/>
        <w:ind w:firstLine="480" w:firstLineChars="200"/>
        <w:rPr>
          <w:rFonts w:ascii="宋体" w:eastAsia="宋体" w:hAnsi="宋体" w:hint="eastAsia"/>
          <w:color w:val="000000"/>
          <w:sz w:val="24"/>
          <w:szCs w:val="24"/>
        </w:rPr>
      </w:pPr>
      <w:r>
        <w:rPr>
          <w:rFonts w:ascii="宋体" w:eastAsia="宋体" w:hAnsi="宋体" w:cs="Arial" w:hint="eastAsia"/>
          <w:color w:val="000000"/>
          <w:sz w:val="24"/>
          <w:szCs w:val="24"/>
        </w:rPr>
        <w:t>目前，房地产工程经过半个世纪的开展</w:t>
      </w:r>
      <w:r>
        <w:rPr>
          <w:rFonts w:ascii="宋体" w:eastAsia="宋体" w:hAnsi="宋体" w:cs="Arial"/>
          <w:color w:val="000000"/>
          <w:sz w:val="24"/>
          <w:szCs w:val="24"/>
        </w:rPr>
        <w:t>，</w:t>
      </w:r>
      <w:r>
        <w:rPr>
          <w:rFonts w:ascii="宋体" w:eastAsia="宋体" w:hAnsi="宋体" w:cs="Arial" w:hint="eastAsia"/>
          <w:color w:val="000000"/>
          <w:sz w:val="24"/>
          <w:szCs w:val="24"/>
        </w:rPr>
        <w:t>在西方国家而言</w:t>
      </w:r>
      <w:r>
        <w:rPr>
          <w:rFonts w:ascii="宋体" w:eastAsia="宋体" w:hAnsi="宋体" w:cs="Arial"/>
          <w:color w:val="000000"/>
          <w:sz w:val="24"/>
          <w:szCs w:val="24"/>
        </w:rPr>
        <w:t>，</w:t>
      </w:r>
      <w:r>
        <w:rPr>
          <w:rFonts w:ascii="宋体" w:eastAsia="宋体" w:hAnsi="宋体" w:cs="Arial" w:hint="eastAsia"/>
          <w:color w:val="000000"/>
          <w:sz w:val="24"/>
          <w:szCs w:val="24"/>
        </w:rPr>
        <w:t>房地产开发与营销</w:t>
      </w:r>
      <w:r>
        <w:rPr>
          <w:rFonts w:ascii="宋体" w:eastAsia="宋体" w:hAnsi="宋体" w:cs="Arial"/>
          <w:color w:val="000000"/>
          <w:sz w:val="24"/>
          <w:szCs w:val="24"/>
        </w:rPr>
        <w:t>方面形成了比拟完善的科学体系。随着我国经济的持续、快速开展，我国建设部与国家计委、经贸委意欲进一步促进其科学化、标准化和法制化，从而指导我国工程总承包与工程工程管理工作的开展，提高</w:t>
      </w:r>
      <w:r>
        <w:rPr>
          <w:rFonts w:ascii="宋体" w:eastAsia="宋体" w:hAnsi="宋体" w:cs="Arial" w:hint="eastAsia"/>
          <w:color w:val="000000"/>
          <w:sz w:val="24"/>
          <w:szCs w:val="24"/>
        </w:rPr>
        <w:t>营销</w:t>
      </w:r>
      <w:r>
        <w:rPr>
          <w:rFonts w:ascii="宋体" w:eastAsia="宋体" w:hAnsi="宋体" w:cs="Arial"/>
          <w:color w:val="000000"/>
          <w:sz w:val="24"/>
          <w:szCs w:val="24"/>
        </w:rPr>
        <w:t>水平，与国际惯例接轨。</w:t>
      </w:r>
      <w:r>
        <w:rPr>
          <w:rFonts w:ascii="宋体" w:eastAsia="宋体" w:hAnsi="宋体" w:cs="Arial" w:hint="eastAsia"/>
          <w:color w:val="000000"/>
          <w:sz w:val="36"/>
          <w:szCs w:val="28"/>
          <w:vertAlign w:val="superscript"/>
        </w:rPr>
        <w:t>[2]</w:t>
      </w:r>
      <w:r>
        <w:rPr>
          <w:rFonts w:ascii="宋体" w:eastAsia="宋体" w:hAnsi="宋体"/>
          <w:color w:val="000000"/>
          <w:sz w:val="24"/>
          <w:szCs w:val="24"/>
        </w:rPr>
        <w:t>如何开发利用这</w:t>
      </w:r>
      <w:r>
        <w:rPr>
          <w:rFonts w:ascii="宋体" w:eastAsia="宋体" w:hAnsi="宋体" w:hint="eastAsia"/>
          <w:color w:val="000000"/>
          <w:sz w:val="24"/>
          <w:szCs w:val="24"/>
        </w:rPr>
        <w:t>美丽</w:t>
      </w:r>
      <w:r>
        <w:rPr>
          <w:rFonts w:ascii="宋体" w:eastAsia="宋体" w:hAnsi="宋体"/>
          <w:color w:val="000000"/>
          <w:sz w:val="24"/>
          <w:szCs w:val="24"/>
        </w:rPr>
        <w:t>的</w:t>
      </w:r>
      <w:r>
        <w:rPr>
          <w:rFonts w:ascii="宋体" w:eastAsia="宋体" w:hAnsi="宋体" w:hint="eastAsia"/>
          <w:color w:val="000000"/>
          <w:sz w:val="24"/>
          <w:szCs w:val="24"/>
        </w:rPr>
        <w:t>浏阳河</w:t>
      </w:r>
      <w:r>
        <w:rPr>
          <w:rFonts w:ascii="宋体" w:eastAsia="宋体" w:hAnsi="宋体"/>
          <w:color w:val="000000"/>
          <w:sz w:val="24"/>
          <w:szCs w:val="24"/>
        </w:rPr>
        <w:t>资源，一直是历届芙蓉区委、区政府垂注的课题。城中有河，名冠天下，唯我独尊！</w:t>
      </w:r>
      <w:r>
        <w:rPr>
          <w:rFonts w:ascii="宋体" w:eastAsia="宋体" w:hAnsi="宋体" w:hint="eastAsia"/>
          <w:color w:val="000000"/>
          <w:sz w:val="24"/>
          <w:szCs w:val="24"/>
        </w:rPr>
        <w:t>在目前国内政策下，通过对恒大江湾的市场估测与销售对策，将在高成交率的条件下利润争取创新高。</w:t>
      </w:r>
    </w:p>
    <w:p w:rsidR="0062148B">
      <w:pPr>
        <w:pStyle w:val="PlainText"/>
        <w:spacing w:line="440" w:lineRule="exact"/>
        <w:ind w:firstLine="480" w:firstLineChars="200"/>
        <w:rPr>
          <w:rFonts w:hAnsi="宋体" w:hint="eastAsia"/>
          <w:sz w:val="24"/>
          <w:szCs w:val="24"/>
        </w:rPr>
      </w:pPr>
      <w:r>
        <w:rPr>
          <w:rFonts w:hAnsi="宋体" w:hint="eastAsia"/>
          <w:color w:val="000000"/>
          <w:sz w:val="24"/>
          <w:szCs w:val="24"/>
        </w:rPr>
        <w:t>工程开发需要做大量的市场调查以及数据比照，</w:t>
      </w:r>
      <w:r>
        <w:rPr>
          <w:rFonts w:hAnsi="宋体" w:hint="eastAsia"/>
          <w:sz w:val="24"/>
          <w:szCs w:val="24"/>
        </w:rPr>
        <w:t>为准确市场定位，我对恒大江湾工程进行了前期的市场调研。根据该项调研性质，采用实地考察与相关人员访谈相结合的方式，依托芙蓉区商品住宅市场〔主要为浏阳河附近房地产〕相关的背景信息实施整个调查过程并形成结论，以期到达如下目标：了解芙蓉区地产市场的整体状况及变动趋势；了解芙蓉区住宅市场产品设计的开展趋势；了解各个区域市场的分布现状及客户群体构成情况；掌握恒大江湾工程所处地块的根本特征；掌握工程周边房产市场的走势及主要竞争楼盘的根本特征；明确中工程与周边主要竞争楼盘以及其余区块的优势、劣势所在；掌握目标消费群体及业内专业人士对工程的初步认知；明确工程构建优势的市场时机及企业时机；提出工程的市场定位〔包括工程定位、目标客户定位等〕的假设干思路；提出工程在后期产品包装设计中的假设干思路和建议；提出工程营销建议积推广思路；到达思路清晰、数据合理的要求。</w:t>
      </w:r>
    </w:p>
    <w:p w:rsidR="0062148B">
      <w:pPr>
        <w:pStyle w:val="PlainText"/>
        <w:spacing w:line="440" w:lineRule="exact"/>
        <w:ind w:firstLine="480" w:firstLineChars="200"/>
        <w:rPr>
          <w:rFonts w:hAnsi="宋体" w:hint="eastAsia"/>
          <w:color w:val="000000"/>
          <w:sz w:val="24"/>
          <w:szCs w:val="24"/>
        </w:rPr>
        <w:sectPr>
          <w:type w:val="nextPage"/>
          <w:pgSz w:w="11906" w:h="16838"/>
          <w:pgMar w:top="1440" w:right="1800" w:bottom="1440" w:left="1800" w:header="851" w:footer="992" w:gutter="0"/>
          <w:pgNumType w:start="2"/>
          <w:cols w:space="720"/>
          <w:titlePg w:val="0"/>
          <w:docGrid w:type="lines" w:linePitch="312"/>
        </w:sectPr>
      </w:pPr>
      <w:r>
        <w:rPr>
          <w:rFonts w:hAnsi="宋体"/>
          <w:color w:val="000000"/>
          <w:sz w:val="24"/>
          <w:szCs w:val="24"/>
        </w:rPr>
        <w:t>工程的建设，符合国家关于加快实现城市住房商品化和社会化的政策，有利于促进</w:t>
      </w:r>
      <w:r>
        <w:rPr>
          <w:rFonts w:hAnsi="宋体" w:hint="eastAsia"/>
          <w:color w:val="000000"/>
          <w:sz w:val="24"/>
          <w:szCs w:val="24"/>
        </w:rPr>
        <w:t>长沙</w:t>
      </w:r>
      <w:r>
        <w:rPr>
          <w:rFonts w:hAnsi="宋体"/>
          <w:color w:val="000000"/>
          <w:sz w:val="24"/>
          <w:szCs w:val="24"/>
        </w:rPr>
        <w:t>市住房货币化分配进程，满足人们日益增长的住宅消费需求，改善人们生活条件和居住环境，提高人们生活水平。</w:t>
      </w:r>
      <w:r>
        <w:rPr>
          <w:rFonts w:hAnsi="宋体" w:hint="eastAsia"/>
          <w:color w:val="000000"/>
          <w:sz w:val="24"/>
          <w:szCs w:val="24"/>
        </w:rPr>
        <w:t>同时</w:t>
      </w:r>
      <w:r>
        <w:rPr>
          <w:rFonts w:hAnsi="宋体"/>
          <w:color w:val="000000"/>
          <w:sz w:val="24"/>
          <w:szCs w:val="24"/>
        </w:rPr>
        <w:t>，该工程的建设，可以带动众多第三产业的开展，增加内需，刺激消费，促进</w:t>
      </w:r>
      <w:r>
        <w:rPr>
          <w:rFonts w:hAnsi="宋体" w:hint="eastAsia"/>
          <w:color w:val="000000"/>
          <w:sz w:val="24"/>
          <w:szCs w:val="24"/>
        </w:rPr>
        <w:t>长沙</w:t>
      </w:r>
      <w:r>
        <w:rPr>
          <w:rFonts w:hAnsi="宋体"/>
          <w:color w:val="000000"/>
          <w:sz w:val="24"/>
          <w:szCs w:val="24"/>
        </w:rPr>
        <w:t>经济的开展。同时，工程的建设有利于增加社会就业岗位，缓解社会就业矛盾，维护社会安定</w:t>
      </w:r>
      <w:r>
        <w:rPr>
          <w:sz w:val="24"/>
          <w:szCs w:val="24"/>
        </w:rPr>
        <w:t>。且工程当经营收入下降5%，工程投资增加5%时，仍有较好</w:t>
      </w:r>
      <w:r>
        <w:rPr>
          <w:rFonts w:hint="eastAsia"/>
          <w:sz w:val="24"/>
          <w:szCs w:val="24"/>
        </w:rPr>
        <w:t>的</w:t>
      </w:r>
      <w:r>
        <w:rPr>
          <w:sz w:val="24"/>
          <w:szCs w:val="24"/>
        </w:rPr>
        <w:t>经济指标，工程抗风险能力较强。因此，从经济角度分析，本报告认为工程是可行的。该工程建设对增加就业时机，改善投资环境，</w:t>
      </w:r>
      <w:r>
        <w:rPr>
          <w:rFonts w:hint="eastAsia"/>
          <w:sz w:val="24"/>
          <w:szCs w:val="24"/>
        </w:rPr>
        <w:t>长沙</w:t>
      </w:r>
      <w:r>
        <w:rPr>
          <w:sz w:val="24"/>
          <w:szCs w:val="24"/>
        </w:rPr>
        <w:t>市的城市形象，带动</w:t>
      </w:r>
      <w:r>
        <w:rPr>
          <w:rFonts w:hint="eastAsia"/>
          <w:sz w:val="24"/>
          <w:szCs w:val="24"/>
        </w:rPr>
        <w:t>长沙</w:t>
      </w:r>
    </w:p>
    <w:p w:rsidR="0062148B">
      <w:pPr>
        <w:pStyle w:val="PlainText"/>
        <w:spacing w:line="440" w:lineRule="exact"/>
        <w:ind w:firstLine="480" w:firstLineChars="200"/>
        <w:rPr>
          <w:rFonts w:hAnsi="宋体" w:hint="eastAsia"/>
          <w:color w:val="000000"/>
          <w:sz w:val="24"/>
          <w:szCs w:val="24"/>
        </w:rPr>
      </w:pPr>
      <w:r>
        <w:rPr>
          <w:sz w:val="24"/>
          <w:szCs w:val="24"/>
        </w:rPr>
        <w:t>市经济开展也有一定的现实意义。</w:t>
      </w:r>
    </w:p>
    <w:p w:rsidR="0062148B">
      <w:pPr>
        <w:pStyle w:val="Heading1"/>
        <w:spacing w:before="0" w:after="0" w:line="440" w:lineRule="exact"/>
        <w:rPr>
          <w:rFonts w:ascii="黑体" w:eastAsia="黑体" w:hAnsi="黑体" w:hint="eastAsia"/>
          <w:caps/>
          <w:color w:val="000000"/>
          <w:sz w:val="30"/>
          <w:szCs w:val="28"/>
        </w:rPr>
      </w:pPr>
      <w:bookmarkStart w:id="3" w:name="_Toc419970952"/>
      <w:bookmarkStart w:id="4" w:name="_Toc420923222"/>
      <w:r>
        <w:rPr>
          <w:rFonts w:ascii="黑体" w:eastAsia="黑体" w:hAnsi="黑体" w:hint="eastAsia"/>
          <w:b w:val="0"/>
          <w:bCs w:val="0"/>
          <w:caps/>
          <w:color w:val="000000"/>
          <w:sz w:val="30"/>
          <w:szCs w:val="30"/>
        </w:rPr>
        <w:t>2工程概况</w:t>
      </w:r>
      <w:bookmarkEnd w:id="3"/>
      <w:bookmarkEnd w:id="4"/>
    </w:p>
    <w:p w:rsidR="0062148B">
      <w:pPr>
        <w:tabs>
          <w:tab w:val="left" w:pos="10440"/>
        </w:tabs>
        <w:spacing w:line="440" w:lineRule="exact"/>
        <w:ind w:firstLine="480" w:firstLineChars="200"/>
        <w:rPr>
          <w:rFonts w:ascii="宋体" w:hAnsi="宋体" w:hint="eastAsia"/>
          <w:caps/>
          <w:color w:val="000000"/>
          <w:sz w:val="24"/>
        </w:rPr>
      </w:pPr>
      <w:r>
        <w:rPr>
          <w:rFonts w:ascii="宋体" w:hAnsi="宋体" w:hint="eastAsia"/>
          <w:caps/>
          <w:color w:val="000000"/>
          <w:sz w:val="24"/>
        </w:rPr>
        <w:t>本地块位于长沙市芙蓉区内，具体为浏阳河以东200米，东临汽车东站，远大路与农园路交汇处。工程案名：恒大江湾。</w:t>
      </w:r>
    </w:p>
    <w:p w:rsidR="0062148B">
      <w:pPr>
        <w:pStyle w:val="Heading2"/>
        <w:spacing w:before="0" w:after="0" w:line="440" w:lineRule="exact"/>
        <w:rPr>
          <w:rFonts w:ascii="黑体" w:hAnsi="黑体"/>
          <w:caps/>
          <w:color w:val="000000"/>
          <w:sz w:val="28"/>
          <w:szCs w:val="24"/>
        </w:rPr>
      </w:pPr>
      <w:bookmarkStart w:id="5" w:name="_Toc419970954"/>
      <w:bookmarkStart w:id="6" w:name="_Toc420923223"/>
      <w:r>
        <w:rPr>
          <w:rFonts w:ascii="黑体" w:hAnsi="黑体" w:hint="eastAsia"/>
          <w:b w:val="0"/>
          <w:bCs w:val="0"/>
          <w:sz w:val="28"/>
        </w:rPr>
        <w:t xml:space="preserve">2.1  </w:t>
      </w:r>
      <w:r>
        <w:rPr>
          <w:rFonts w:ascii="黑体" w:hAnsi="黑体"/>
          <w:b w:val="0"/>
          <w:bCs w:val="0"/>
          <w:spacing w:val="20"/>
          <w:sz w:val="28"/>
          <w:szCs w:val="36"/>
        </w:rPr>
        <w:t>工程建设的必要性</w:t>
      </w:r>
      <w:bookmarkEnd w:id="5"/>
      <w:bookmarkEnd w:id="6"/>
    </w:p>
    <w:p w:rsidR="0062148B">
      <w:pPr>
        <w:pStyle w:val="PlainText"/>
        <w:spacing w:line="440" w:lineRule="exact"/>
        <w:ind w:firstLine="480" w:firstLineChars="200"/>
        <w:rPr>
          <w:rFonts w:hAnsi="宋体"/>
          <w:color w:val="000000"/>
          <w:sz w:val="24"/>
          <w:szCs w:val="24"/>
        </w:rPr>
      </w:pPr>
      <w:r>
        <w:rPr>
          <w:rFonts w:hAnsi="宋体" w:hint="eastAsia"/>
          <w:color w:val="000000"/>
          <w:sz w:val="24"/>
          <w:szCs w:val="24"/>
        </w:rPr>
        <w:t>〔1〕</w:t>
      </w:r>
      <w:r>
        <w:rPr>
          <w:rFonts w:hAnsi="宋体"/>
          <w:color w:val="000000"/>
          <w:sz w:val="24"/>
          <w:szCs w:val="24"/>
        </w:rPr>
        <w:t>工程的建设，符合</w:t>
      </w:r>
      <w:r>
        <w:rPr>
          <w:rFonts w:hAnsi="宋体" w:hint="eastAsia"/>
          <w:color w:val="000000"/>
          <w:sz w:val="24"/>
          <w:szCs w:val="24"/>
        </w:rPr>
        <w:t>长沙</w:t>
      </w:r>
      <w:r>
        <w:rPr>
          <w:rFonts w:hAnsi="宋体"/>
          <w:color w:val="000000"/>
          <w:sz w:val="24"/>
          <w:szCs w:val="24"/>
        </w:rPr>
        <w:t>市城市开展总体规划，是</w:t>
      </w:r>
      <w:r>
        <w:rPr>
          <w:rFonts w:hAnsi="宋体" w:hint="eastAsia"/>
          <w:color w:val="000000"/>
          <w:sz w:val="24"/>
          <w:szCs w:val="24"/>
        </w:rPr>
        <w:t>长沙</w:t>
      </w:r>
      <w:r>
        <w:rPr>
          <w:rFonts w:hAnsi="宋体"/>
          <w:color w:val="000000"/>
          <w:sz w:val="24"/>
          <w:szCs w:val="24"/>
        </w:rPr>
        <w:t>市城市建设和开展的需要，是不断完善城市根底设施，改善城市环境，美化城市面貌的需要。该工程的建设对实现城市开展战略、推进城市提质扩容是有帮助的。</w:t>
      </w:r>
    </w:p>
    <w:p w:rsidR="0062148B">
      <w:pPr>
        <w:pStyle w:val="PlainText"/>
        <w:spacing w:line="440" w:lineRule="exact"/>
        <w:ind w:firstLine="480" w:firstLineChars="200"/>
        <w:rPr>
          <w:rFonts w:hAnsi="宋体"/>
          <w:color w:val="000000"/>
          <w:sz w:val="24"/>
          <w:szCs w:val="24"/>
        </w:rPr>
      </w:pPr>
      <w:r>
        <w:rPr>
          <w:rFonts w:hAnsi="宋体" w:hint="eastAsia"/>
          <w:color w:val="000000"/>
          <w:sz w:val="24"/>
          <w:szCs w:val="24"/>
        </w:rPr>
        <w:t>〔2〕</w:t>
      </w:r>
      <w:r>
        <w:rPr>
          <w:rFonts w:hAnsi="宋体"/>
          <w:color w:val="000000"/>
          <w:sz w:val="24"/>
          <w:szCs w:val="24"/>
        </w:rPr>
        <w:t>工程的建设，有利于完善</w:t>
      </w:r>
      <w:r>
        <w:rPr>
          <w:rFonts w:hAnsi="宋体" w:hint="eastAsia"/>
          <w:color w:val="000000"/>
          <w:sz w:val="24"/>
          <w:szCs w:val="24"/>
        </w:rPr>
        <w:t>芙蓉区</w:t>
      </w:r>
      <w:r>
        <w:rPr>
          <w:rFonts w:hAnsi="宋体"/>
          <w:color w:val="000000"/>
          <w:sz w:val="24"/>
          <w:szCs w:val="24"/>
        </w:rPr>
        <w:t>尤其是</w:t>
      </w:r>
      <w:r>
        <w:rPr>
          <w:rFonts w:hAnsi="宋体" w:hint="eastAsia"/>
          <w:color w:val="000000"/>
          <w:sz w:val="24"/>
          <w:szCs w:val="24"/>
        </w:rPr>
        <w:t>浏阳河风光带</w:t>
      </w:r>
      <w:r>
        <w:rPr>
          <w:rFonts w:hAnsi="宋体"/>
          <w:color w:val="000000"/>
          <w:sz w:val="24"/>
          <w:szCs w:val="24"/>
        </w:rPr>
        <w:t>周边的配套设施建设，有利于加强城市总体功能，促</w:t>
      </w:r>
      <w:r>
        <w:rPr>
          <w:rFonts w:hAnsi="宋体" w:hint="eastAsia"/>
          <w:color w:val="000000"/>
          <w:sz w:val="24"/>
          <w:szCs w:val="24"/>
        </w:rPr>
        <w:t>进</w:t>
      </w:r>
      <w:r>
        <w:rPr>
          <w:rFonts w:hAnsi="宋体"/>
          <w:color w:val="000000"/>
          <w:sz w:val="24"/>
          <w:szCs w:val="24"/>
        </w:rPr>
        <w:t>土地升值，繁荣市场经济，进一步促进该区域城市次中心地位的提升。同时，该工程的建设，有助于增加财政收入，筹集城市建设资金，保障城市建设的持续开展。</w:t>
      </w:r>
    </w:p>
    <w:p w:rsidR="0062148B">
      <w:pPr>
        <w:spacing w:line="440" w:lineRule="exact"/>
        <w:ind w:firstLine="480" w:firstLineChars="200"/>
        <w:rPr>
          <w:rFonts w:ascii="宋体" w:hAnsi="宋体" w:hint="eastAsia"/>
          <w:bCs/>
          <w:color w:val="000000"/>
          <w:sz w:val="24"/>
        </w:rPr>
      </w:pPr>
      <w:r>
        <w:rPr>
          <w:rFonts w:hAnsi="宋体" w:hint="eastAsia"/>
          <w:color w:val="000000"/>
          <w:sz w:val="24"/>
        </w:rPr>
        <w:t>〔3〕</w:t>
      </w:r>
      <w:r>
        <w:rPr>
          <w:rFonts w:ascii="宋体" w:hAnsi="宋体" w:hint="eastAsia"/>
          <w:bCs/>
          <w:color w:val="000000"/>
          <w:sz w:val="24"/>
        </w:rPr>
        <w:t>在开发过程，开展商应当借鉴目前竞争楼盘的优点与缺憾，深入研究即将开发的大面积工程的开展趋势，集中定位，取长补短。工程产品本身〔户型、外立面、风格、花园等等〕要根据目前芙蓉区的市场情况，进行合理的规划设计。</w:t>
      </w:r>
    </w:p>
    <w:p w:rsidR="0062148B">
      <w:pPr>
        <w:spacing w:line="440" w:lineRule="exact"/>
        <w:rPr>
          <w:rFonts w:ascii="宋体" w:hAnsi="宋体" w:hint="eastAsia"/>
          <w:bCs/>
          <w:color w:val="000000"/>
          <w:sz w:val="24"/>
        </w:rPr>
      </w:pPr>
      <w:r>
        <w:rPr>
          <w:rFonts w:ascii="宋体" w:hAnsi="宋体" w:hint="eastAsia"/>
          <w:bCs/>
          <w:color w:val="000000"/>
          <w:sz w:val="24"/>
        </w:rPr>
        <w:t>市场竞争加剧，在营销策略和营销推广上，应建立</w:t>
      </w:r>
      <w:r>
        <w:rPr>
          <w:rFonts w:ascii="宋体" w:hAnsi="宋体" w:hint="eastAsia"/>
          <w:bCs/>
          <w:color w:val="000000"/>
          <w:sz w:val="24"/>
        </w:rPr>
        <w:t>“</w:t>
      </w:r>
      <w:r>
        <w:rPr>
          <w:rFonts w:ascii="宋体" w:hAnsi="宋体" w:hint="eastAsia"/>
          <w:bCs/>
          <w:color w:val="000000"/>
          <w:sz w:val="24"/>
        </w:rPr>
        <w:t>长沙市房地产第一方阵〞之品牌形象，全方位提升工程的竞争能力，实现恒大江湾的品牌价值。</w:t>
      </w:r>
    </w:p>
    <w:p w:rsidR="0062148B">
      <w:pPr>
        <w:pStyle w:val="PlainText"/>
        <w:spacing w:line="440" w:lineRule="exact"/>
        <w:rPr>
          <w:rFonts w:hAnsi="宋体" w:hint="eastAsia"/>
          <w:color w:val="000000"/>
          <w:sz w:val="24"/>
          <w:szCs w:val="24"/>
        </w:rPr>
      </w:pPr>
      <w:r>
        <w:rPr>
          <w:rFonts w:hAnsi="宋体" w:hint="eastAsia"/>
          <w:color w:val="000000"/>
          <w:sz w:val="24"/>
          <w:szCs w:val="24"/>
        </w:rPr>
        <w:t xml:space="preserve">    〔4〕</w:t>
      </w:r>
      <w:r>
        <w:rPr>
          <w:rFonts w:hAnsi="宋体"/>
          <w:color w:val="000000"/>
          <w:sz w:val="24"/>
          <w:szCs w:val="24"/>
        </w:rPr>
        <w:t>工程的建设，有利于</w:t>
      </w:r>
      <w:r>
        <w:rPr>
          <w:rFonts w:hAnsi="宋体" w:hint="eastAsia"/>
          <w:color w:val="000000"/>
          <w:sz w:val="24"/>
          <w:szCs w:val="24"/>
        </w:rPr>
        <w:t>提高恒大集团</w:t>
      </w:r>
      <w:r>
        <w:rPr>
          <w:rFonts w:hAnsi="宋体"/>
          <w:color w:val="000000"/>
          <w:sz w:val="24"/>
          <w:szCs w:val="24"/>
        </w:rPr>
        <w:t>知名度和社会信誉度，提升企业形象，</w:t>
      </w:r>
      <w:r>
        <w:rPr>
          <w:rFonts w:hAnsi="宋体" w:hint="eastAsia"/>
          <w:color w:val="000000"/>
          <w:sz w:val="24"/>
          <w:szCs w:val="24"/>
        </w:rPr>
        <w:t>提搞企业的经营效益，</w:t>
      </w:r>
      <w:r>
        <w:rPr>
          <w:rFonts w:hAnsi="宋体"/>
          <w:color w:val="000000"/>
          <w:sz w:val="24"/>
          <w:szCs w:val="24"/>
        </w:rPr>
        <w:t>壮大企业实力</w:t>
      </w:r>
      <w:r>
        <w:rPr>
          <w:rFonts w:hAnsi="宋体" w:hint="eastAsia"/>
          <w:color w:val="000000"/>
          <w:sz w:val="24"/>
          <w:szCs w:val="24"/>
        </w:rPr>
        <w:t>。使恒大房地产在长沙更能根深蒂固，为以后的开展做铺垫。</w:t>
      </w:r>
    </w:p>
    <w:p w:rsidR="0062148B">
      <w:pPr>
        <w:pStyle w:val="PlainText"/>
        <w:spacing w:line="440" w:lineRule="exact"/>
        <w:ind w:firstLine="480" w:firstLineChars="200"/>
        <w:rPr>
          <w:rFonts w:hAnsi="宋体" w:hint="eastAsia"/>
          <w:color w:val="000000"/>
          <w:sz w:val="24"/>
          <w:szCs w:val="24"/>
        </w:rPr>
      </w:pPr>
      <w:r>
        <w:rPr>
          <w:rFonts w:hAnsi="宋体" w:hint="eastAsia"/>
          <w:color w:val="000000"/>
          <w:sz w:val="24"/>
          <w:szCs w:val="24"/>
        </w:rPr>
        <w:t>从以上分析可以看出，该工程的启动既能缓解芙蓉区市民居住需求又能让恒大品牌在长沙更入民心。使得工程既能赚钱又能赚名声可谓双赢。因此有必要开发此工程。</w:t>
      </w:r>
      <w:r>
        <w:rPr>
          <w:rFonts w:hAnsi="宋体" w:hint="eastAsia"/>
          <w:color w:val="000000"/>
          <w:sz w:val="36"/>
          <w:szCs w:val="24"/>
          <w:vertAlign w:val="superscript"/>
        </w:rPr>
        <w:t>[3]</w:t>
      </w:r>
    </w:p>
    <w:p w:rsidR="0062148B">
      <w:pPr>
        <w:pStyle w:val="Heading2"/>
        <w:spacing w:before="0" w:after="0" w:line="440" w:lineRule="exact"/>
        <w:rPr>
          <w:rFonts w:ascii="黑体" w:hAnsi="黑体" w:hint="eastAsia"/>
          <w:color w:val="000000"/>
          <w:sz w:val="28"/>
          <w:szCs w:val="24"/>
        </w:rPr>
      </w:pPr>
      <w:bookmarkStart w:id="7" w:name="_Toc419970955"/>
      <w:bookmarkStart w:id="8" w:name="_Toc420923224"/>
      <w:r>
        <w:rPr>
          <w:rFonts w:ascii="黑体" w:hAnsi="黑体" w:hint="eastAsia"/>
          <w:b w:val="0"/>
          <w:bCs w:val="0"/>
          <w:color w:val="000000"/>
          <w:sz w:val="28"/>
          <w:szCs w:val="24"/>
        </w:rPr>
        <w:t>2.2  工程合理性</w:t>
      </w:r>
      <w:bookmarkEnd w:id="7"/>
      <w:bookmarkEnd w:id="8"/>
    </w:p>
    <w:p w:rsidR="0062148B">
      <w:pPr>
        <w:pStyle w:val="PlainText"/>
        <w:spacing w:line="440" w:lineRule="exact"/>
        <w:ind w:firstLine="480" w:firstLineChars="200"/>
        <w:rPr>
          <w:rFonts w:hAnsi="宋体"/>
          <w:color w:val="000000"/>
          <w:sz w:val="24"/>
          <w:szCs w:val="24"/>
        </w:rPr>
      </w:pPr>
      <w:r>
        <w:rPr>
          <w:rFonts w:hAnsi="宋体"/>
          <w:color w:val="000000"/>
          <w:sz w:val="24"/>
          <w:szCs w:val="24"/>
        </w:rPr>
        <w:t>〔1〕本工程符合国家产业政策，符合国家宏观经济政策。</w:t>
      </w:r>
      <w:r>
        <w:rPr>
          <w:rFonts w:hAnsi="宋体" w:hint="eastAsia"/>
          <w:color w:val="000000"/>
          <w:sz w:val="24"/>
          <w:szCs w:val="24"/>
        </w:rPr>
        <w:t>本</w:t>
      </w:r>
      <w:r>
        <w:rPr>
          <w:rFonts w:hAnsi="宋体"/>
          <w:color w:val="000000"/>
          <w:sz w:val="24"/>
          <w:szCs w:val="24"/>
        </w:rPr>
        <w:t>工程的建设可促进</w:t>
      </w:r>
      <w:r>
        <w:rPr>
          <w:rFonts w:hAnsi="宋体" w:hint="eastAsia"/>
          <w:color w:val="000000"/>
          <w:sz w:val="24"/>
          <w:szCs w:val="24"/>
        </w:rPr>
        <w:t>芙蓉</w:t>
      </w:r>
      <w:r>
        <w:rPr>
          <w:rFonts w:hAnsi="宋体"/>
          <w:color w:val="000000"/>
          <w:sz w:val="24"/>
          <w:szCs w:val="24"/>
        </w:rPr>
        <w:t>区域经济及城市建设的开展，改善市民居住条件。</w:t>
      </w:r>
    </w:p>
    <w:p w:rsidR="0062148B">
      <w:pPr>
        <w:pStyle w:val="PlainText"/>
        <w:spacing w:line="440" w:lineRule="exact"/>
        <w:ind w:firstLine="480" w:firstLineChars="200"/>
        <w:rPr>
          <w:rFonts w:hAnsi="宋体" w:hint="eastAsia"/>
          <w:color w:val="000000"/>
          <w:sz w:val="24"/>
          <w:szCs w:val="24"/>
        </w:rPr>
      </w:pPr>
      <w:r>
        <w:rPr>
          <w:rFonts w:hAnsi="宋体"/>
          <w:color w:val="000000"/>
          <w:sz w:val="24"/>
          <w:szCs w:val="24"/>
        </w:rPr>
        <w:t>〔2〕本工程的建设，符合</w:t>
      </w:r>
      <w:r>
        <w:rPr>
          <w:rFonts w:hAnsi="宋体" w:hint="eastAsia"/>
          <w:color w:val="000000"/>
          <w:sz w:val="24"/>
          <w:szCs w:val="24"/>
        </w:rPr>
        <w:t>长沙</w:t>
      </w:r>
      <w:r>
        <w:rPr>
          <w:rFonts w:hAnsi="宋体"/>
          <w:color w:val="000000"/>
          <w:sz w:val="24"/>
          <w:szCs w:val="24"/>
        </w:rPr>
        <w:t>市总体规划，较好地贯彻了市政府加快中心城区改造与根底设施建设的决定；有利于完善</w:t>
      </w:r>
      <w:r>
        <w:rPr>
          <w:rFonts w:hAnsi="宋体" w:hint="eastAsia"/>
          <w:color w:val="000000"/>
          <w:sz w:val="24"/>
          <w:szCs w:val="24"/>
        </w:rPr>
        <w:t>浏阳河风光带的设备措施。</w:t>
      </w:r>
    </w:p>
    <w:p w:rsidR="0062148B">
      <w:pPr>
        <w:pStyle w:val="PlainText"/>
        <w:spacing w:line="440" w:lineRule="exact"/>
        <w:ind w:firstLine="480" w:firstLineChars="200"/>
        <w:rPr>
          <w:rFonts w:hAnsi="宋体" w:hint="eastAsia"/>
          <w:color w:val="000000"/>
          <w:sz w:val="24"/>
          <w:szCs w:val="24"/>
        </w:rPr>
      </w:pPr>
      <w:r>
        <w:rPr>
          <w:rFonts w:hAnsi="宋体"/>
          <w:color w:val="000000"/>
          <w:sz w:val="24"/>
          <w:szCs w:val="24"/>
        </w:rPr>
        <w:t>〔</w:t>
      </w:r>
      <w:r>
        <w:rPr>
          <w:rFonts w:hAnsi="宋体" w:hint="eastAsia"/>
          <w:color w:val="000000"/>
          <w:sz w:val="24"/>
          <w:szCs w:val="24"/>
        </w:rPr>
        <w:t>3</w:t>
      </w:r>
      <w:r>
        <w:rPr>
          <w:rFonts w:hAnsi="宋体"/>
          <w:color w:val="000000"/>
          <w:sz w:val="24"/>
          <w:szCs w:val="24"/>
        </w:rPr>
        <w:t>〕该工程建设对增加就业时机，改善投资环境，提升</w:t>
      </w:r>
      <w:r>
        <w:rPr>
          <w:rFonts w:hAnsi="宋体" w:hint="eastAsia"/>
          <w:color w:val="000000"/>
          <w:sz w:val="24"/>
          <w:szCs w:val="24"/>
        </w:rPr>
        <w:t>长沙</w:t>
      </w:r>
      <w:r>
        <w:rPr>
          <w:rFonts w:hAnsi="宋体"/>
          <w:color w:val="000000"/>
          <w:sz w:val="24"/>
          <w:szCs w:val="24"/>
        </w:rPr>
        <w:t>市的城市形象，带动</w:t>
      </w:r>
      <w:r>
        <w:rPr>
          <w:rFonts w:hAnsi="宋体" w:hint="eastAsia"/>
          <w:color w:val="000000"/>
          <w:sz w:val="24"/>
          <w:szCs w:val="24"/>
        </w:rPr>
        <w:t>长沙</w:t>
      </w:r>
      <w:r>
        <w:rPr>
          <w:rFonts w:hAnsi="宋体"/>
          <w:color w:val="000000"/>
          <w:sz w:val="24"/>
          <w:szCs w:val="24"/>
        </w:rPr>
        <w:t>市经济开展也有一定的现实意义。</w:t>
      </w:r>
    </w:p>
    <w:p w:rsidR="0062148B">
      <w:pPr>
        <w:pStyle w:val="PlainText"/>
        <w:spacing w:line="440" w:lineRule="exact"/>
        <w:ind w:firstLine="480" w:firstLineChars="200"/>
        <w:rPr>
          <w:rFonts w:hAnsi="宋体" w:hint="eastAsia"/>
          <w:color w:val="000000"/>
          <w:sz w:val="24"/>
          <w:szCs w:val="24"/>
        </w:rPr>
        <w:sectPr>
          <w:type w:val="nextPage"/>
          <w:pgSz w:w="11906" w:h="16838"/>
          <w:pgMar w:top="1440" w:right="1800" w:bottom="1440" w:left="1800" w:header="851" w:footer="992" w:gutter="0"/>
          <w:pgNumType w:start="3"/>
          <w:cols w:space="720"/>
          <w:titlePg w:val="0"/>
          <w:docGrid w:type="lines" w:linePitch="312"/>
        </w:sectPr>
      </w:pPr>
      <w:r>
        <w:rPr>
          <w:rFonts w:hAnsi="宋体" w:hint="eastAsia"/>
          <w:color w:val="000000"/>
          <w:sz w:val="24"/>
          <w:szCs w:val="24"/>
        </w:rPr>
        <w:t>从以上分析可以看出</w:t>
      </w:r>
    </w:p>
    <w:p w:rsidR="0062148B">
      <w:pPr>
        <w:pStyle w:val="PlainText"/>
        <w:spacing w:line="440" w:lineRule="exact"/>
        <w:ind w:firstLine="480" w:firstLineChars="200"/>
        <w:rPr>
          <w:rFonts w:hAnsi="宋体" w:hint="eastAsia"/>
          <w:color w:val="000000"/>
          <w:sz w:val="24"/>
          <w:szCs w:val="24"/>
        </w:rPr>
      </w:pPr>
      <w:r>
        <w:rPr>
          <w:rFonts w:hAnsi="宋体"/>
          <w:color w:val="000000"/>
          <w:sz w:val="24"/>
          <w:szCs w:val="24"/>
        </w:rPr>
        <w:t>，该工程启动的各项根底条件已具备，工程的各项优势明显，具有投资稳定，风险小的特点，既符合国家的有关方针、政策，又能产生客观的经济效益和良好的时机效益</w:t>
      </w:r>
      <w:r>
        <w:rPr>
          <w:rFonts w:hAnsi="宋体" w:hint="eastAsia"/>
          <w:color w:val="000000"/>
          <w:sz w:val="24"/>
          <w:szCs w:val="24"/>
        </w:rPr>
        <w:t>,</w:t>
      </w:r>
      <w:r>
        <w:rPr>
          <w:rFonts w:hAnsi="宋体"/>
          <w:color w:val="000000"/>
          <w:sz w:val="24"/>
          <w:szCs w:val="24"/>
        </w:rPr>
        <w:t>因此该工程可行。</w:t>
      </w:r>
    </w:p>
    <w:p w:rsidR="0062148B">
      <w:pPr>
        <w:pStyle w:val="Heading1"/>
        <w:spacing w:before="0" w:after="0" w:line="440" w:lineRule="exact"/>
        <w:rPr>
          <w:rFonts w:ascii="黑体" w:eastAsia="黑体" w:hAnsi="黑体" w:hint="eastAsia"/>
          <w:sz w:val="30"/>
          <w:szCs w:val="18"/>
        </w:rPr>
      </w:pPr>
      <w:bookmarkStart w:id="9" w:name="_Toc419970956"/>
      <w:bookmarkStart w:id="10" w:name="_Toc420923225"/>
      <w:r>
        <w:rPr>
          <w:rFonts w:ascii="黑体" w:eastAsia="黑体" w:hAnsi="黑体" w:cs="宋体" w:hint="eastAsia"/>
          <w:b w:val="0"/>
          <w:bCs w:val="0"/>
          <w:color w:val="424242"/>
          <w:kern w:val="0"/>
          <w:sz w:val="30"/>
          <w:szCs w:val="30"/>
        </w:rPr>
        <w:t xml:space="preserve">3  </w:t>
      </w:r>
      <w:r>
        <w:rPr>
          <w:rFonts w:ascii="黑体" w:eastAsia="黑体" w:hAnsi="黑体" w:hint="eastAsia"/>
          <w:b w:val="0"/>
          <w:bCs w:val="0"/>
          <w:caps/>
          <w:color w:val="000000"/>
          <w:sz w:val="30"/>
          <w:szCs w:val="30"/>
        </w:rPr>
        <w:t>长沙市房地产市场分析</w:t>
      </w:r>
      <w:bookmarkEnd w:id="9"/>
      <w:bookmarkEnd w:id="10"/>
    </w:p>
    <w:p w:rsidR="0062148B">
      <w:pPr>
        <w:spacing w:line="440" w:lineRule="exact"/>
        <w:rPr>
          <w:rFonts w:ascii="宋体" w:hAnsi="宋体" w:hint="eastAsia"/>
          <w:caps/>
          <w:color w:val="000000"/>
          <w:sz w:val="24"/>
        </w:rPr>
      </w:pPr>
      <w:r>
        <w:rPr>
          <w:rFonts w:ascii="宋体" w:hAnsi="宋体" w:hint="eastAsia"/>
          <w:caps/>
          <w:color w:val="000000"/>
          <w:sz w:val="24"/>
        </w:rPr>
        <w:t xml:space="preserve">通过对长沙房地产的市场区域分析，根据区域经济能力与住房需求量来估算工程价格定位的合理范围。 </w:t>
      </w:r>
    </w:p>
    <w:p w:rsidR="0062148B">
      <w:pPr>
        <w:pStyle w:val="Heading2"/>
        <w:spacing w:before="0" w:after="0" w:line="440" w:lineRule="exact"/>
        <w:rPr>
          <w:rFonts w:ascii="黑体" w:hAnsi="黑体" w:hint="eastAsia"/>
          <w:caps/>
          <w:color w:val="000000"/>
          <w:sz w:val="28"/>
          <w:szCs w:val="28"/>
        </w:rPr>
      </w:pPr>
      <w:bookmarkStart w:id="11" w:name="_Toc419970957"/>
      <w:bookmarkStart w:id="12" w:name="_Toc420923226"/>
      <w:r>
        <w:rPr>
          <w:rFonts w:ascii="黑体" w:hAnsi="黑体" w:hint="eastAsia"/>
          <w:b w:val="0"/>
          <w:bCs w:val="0"/>
          <w:color w:val="000000"/>
          <w:sz w:val="28"/>
          <w:szCs w:val="28"/>
        </w:rPr>
        <w:t xml:space="preserve">3.1  </w:t>
      </w:r>
      <w:r>
        <w:rPr>
          <w:rFonts w:ascii="黑体" w:hAnsi="黑体" w:hint="eastAsia"/>
          <w:b w:val="0"/>
          <w:bCs w:val="0"/>
          <w:caps/>
          <w:color w:val="000000"/>
          <w:sz w:val="28"/>
          <w:szCs w:val="28"/>
        </w:rPr>
        <w:t>宏观经济概况</w:t>
      </w:r>
      <w:bookmarkEnd w:id="11"/>
      <w:bookmarkEnd w:id="12"/>
    </w:p>
    <w:p w:rsidR="0062148B">
      <w:pPr>
        <w:spacing w:line="440" w:lineRule="exact"/>
        <w:ind w:firstLine="480" w:firstLineChars="200"/>
        <w:rPr>
          <w:rFonts w:ascii="宋体" w:hAnsi="宋体" w:cs="宋体" w:hint="eastAsia"/>
          <w:sz w:val="24"/>
        </w:rPr>
        <w:sectPr>
          <w:type w:val="nextPage"/>
          <w:pgSz w:w="11906" w:h="16838"/>
          <w:pgMar w:top="1440" w:right="1800" w:bottom="1440" w:left="1800" w:header="851" w:footer="992" w:gutter="0"/>
          <w:pgNumType w:start="4"/>
          <w:cols w:space="720"/>
          <w:titlePg w:val="0"/>
          <w:docGrid w:type="lines" w:linePitch="312"/>
        </w:sectPr>
      </w:pPr>
      <w:r>
        <w:rPr>
          <w:rFonts w:ascii="宋体" w:hAnsi="宋体" w:cs="宋体" w:hint="eastAsia"/>
          <w:sz w:val="24"/>
        </w:rPr>
        <w:t>中国辞别了高增长的经济现实，曾经风起云涌的中国房地产行业，在经历了一轮持续严厉的调控之后，也放慢了前进的脚步，理性思维改变，调整和转型已经成为现实的逃避</w:t>
      </w:r>
      <w:r>
        <w:rPr>
          <w:rFonts w:ascii="宋体" w:hAnsi="宋体" w:cs="宋体" w:hint="eastAsia"/>
          <w:sz w:val="24"/>
        </w:rPr>
        <w:t>“</w:t>
      </w:r>
      <w:r>
        <w:rPr>
          <w:rFonts w:ascii="宋体" w:hAnsi="宋体" w:cs="宋体" w:hint="eastAsia"/>
          <w:sz w:val="24"/>
        </w:rPr>
        <w:t>世界末日〞房地产行业出最好的方式。楼市调控后，从全国房地产市场的根底上一个温暖，房价也涨的最后的声音，不排除后期推出的更为严厉的措施稳固调控成果。从长远来看，以合理的控制和房地产业优化理性的趋势下，将不会改变。回首2023年，全市实现781十亿人民币的GDP，同比增长9.6％，比上年同期，人均GDP到达15541元，在全国中国大陆城市</w:t>
      </w:r>
      <w:r>
        <w:rPr>
          <w:rFonts w:ascii="宋体" w:hAnsi="宋体" w:cs="宋体"/>
          <w:sz w:val="24"/>
        </w:rPr>
        <w:t>GDP</w:t>
      </w:r>
      <w:r>
        <w:rPr>
          <w:rFonts w:ascii="宋体" w:hAnsi="宋体" w:cs="宋体" w:hint="eastAsia"/>
          <w:sz w:val="24"/>
        </w:rPr>
        <w:t>排名排名第15</w:t>
      </w:r>
      <w:r>
        <w:rPr>
          <w:rFonts w:ascii="宋体" w:hAnsi="宋体" w:cs="宋体"/>
          <w:sz w:val="24"/>
        </w:rPr>
        <w:t>;</w:t>
      </w:r>
      <w:r>
        <w:rPr>
          <w:rFonts w:ascii="宋体" w:hAnsi="宋体" w:cs="宋体" w:hint="eastAsia"/>
          <w:sz w:val="24"/>
        </w:rPr>
        <w:t>地方财政一般预算收入</w:t>
      </w:r>
      <w:r>
        <w:rPr>
          <w:rFonts w:ascii="宋体" w:hAnsi="宋体" w:cs="宋体"/>
          <w:sz w:val="24"/>
        </w:rPr>
        <w:t>4.6</w:t>
      </w:r>
      <w:r>
        <w:rPr>
          <w:rFonts w:ascii="宋体" w:hAnsi="宋体" w:cs="宋体" w:hint="eastAsia"/>
          <w:sz w:val="24"/>
        </w:rPr>
        <w:t>十亿人民币，同比增长比上年同期增长</w:t>
      </w:r>
      <w:r>
        <w:rPr>
          <w:rFonts w:ascii="宋体" w:hAnsi="宋体" w:cs="宋体"/>
          <w:sz w:val="24"/>
        </w:rPr>
        <w:t>19.2</w:t>
      </w:r>
      <w:r>
        <w:rPr>
          <w:rFonts w:ascii="宋体" w:hAnsi="宋体" w:cs="宋体" w:hint="eastAsia"/>
          <w:sz w:val="24"/>
        </w:rPr>
        <w:t>％；城镇居民</w:t>
      </w:r>
      <w:r>
        <w:rPr>
          <w:rFonts w:ascii="宋体" w:hAnsi="宋体" w:cs="宋体"/>
          <w:sz w:val="24"/>
        </w:rPr>
        <w:t>11009</w:t>
      </w:r>
      <w:r>
        <w:rPr>
          <w:rFonts w:ascii="宋体" w:hAnsi="宋体" w:cs="宋体" w:hint="eastAsia"/>
          <w:sz w:val="24"/>
        </w:rPr>
        <w:t>元中，</w:t>
      </w:r>
      <w:r>
        <w:rPr>
          <w:rFonts w:ascii="宋体" w:hAnsi="宋体" w:cs="宋体"/>
          <w:sz w:val="24"/>
        </w:rPr>
        <w:t>3972</w:t>
      </w:r>
      <w:r>
        <w:rPr>
          <w:rFonts w:ascii="宋体" w:hAnsi="宋体" w:cs="宋体" w:hint="eastAsia"/>
          <w:sz w:val="24"/>
        </w:rPr>
        <w:t>元，同比增长</w:t>
      </w:r>
      <w:r>
        <w:rPr>
          <w:rFonts w:ascii="宋体" w:hAnsi="宋体" w:cs="宋体"/>
          <w:sz w:val="24"/>
        </w:rPr>
        <w:t>10.5</w:t>
      </w:r>
      <w:r>
        <w:rPr>
          <w:rFonts w:ascii="宋体" w:hAnsi="宋体" w:cs="宋体" w:hint="eastAsia"/>
          <w:sz w:val="24"/>
        </w:rPr>
        <w:t>％和</w:t>
      </w:r>
      <w:r>
        <w:rPr>
          <w:rFonts w:ascii="宋体" w:hAnsi="宋体" w:cs="宋体"/>
          <w:sz w:val="24"/>
        </w:rPr>
        <w:t>15.1</w:t>
      </w:r>
      <w:r>
        <w:rPr>
          <w:rFonts w:ascii="宋体" w:hAnsi="宋体" w:cs="宋体" w:hint="eastAsia"/>
          <w:sz w:val="24"/>
        </w:rPr>
        <w:t>％，农民人均收入人均可支配收入；全市金融机构各项存款</w:t>
      </w:r>
      <w:r>
        <w:rPr>
          <w:rFonts w:ascii="宋体" w:hAnsi="宋体" w:cs="宋体"/>
          <w:sz w:val="24"/>
        </w:rPr>
        <w:t>74.2</w:t>
      </w:r>
      <w:r>
        <w:rPr>
          <w:rFonts w:ascii="宋体" w:hAnsi="宋体" w:cs="宋体" w:hint="eastAsia"/>
          <w:sz w:val="24"/>
        </w:rPr>
        <w:t>7十亿元平衡，</w:t>
      </w:r>
      <w:r>
        <w:rPr>
          <w:rFonts w:ascii="宋体" w:hAnsi="宋体" w:cs="宋体"/>
          <w:sz w:val="24"/>
        </w:rPr>
        <w:t>53.19</w:t>
      </w:r>
      <w:r>
        <w:rPr>
          <w:rFonts w:ascii="宋体" w:hAnsi="宋体" w:cs="宋体" w:hint="eastAsia"/>
          <w:sz w:val="24"/>
        </w:rPr>
        <w:t>十亿人民币，同比增长</w:t>
      </w:r>
      <w:r>
        <w:rPr>
          <w:rFonts w:ascii="宋体" w:hAnsi="宋体" w:cs="宋体"/>
          <w:sz w:val="24"/>
        </w:rPr>
        <w:t>7.8</w:t>
      </w:r>
      <w:r>
        <w:rPr>
          <w:rFonts w:ascii="宋体" w:hAnsi="宋体" w:cs="宋体" w:hint="eastAsia"/>
          <w:sz w:val="24"/>
        </w:rPr>
        <w:t>％和</w:t>
      </w:r>
      <w:r>
        <w:rPr>
          <w:rFonts w:ascii="宋体" w:hAnsi="宋体" w:cs="宋体"/>
          <w:sz w:val="24"/>
        </w:rPr>
        <w:t>15</w:t>
      </w:r>
      <w:r>
        <w:rPr>
          <w:rFonts w:ascii="宋体" w:hAnsi="宋体" w:cs="宋体" w:hint="eastAsia"/>
          <w:sz w:val="24"/>
        </w:rPr>
        <w:t>％的贷款余额。三产业构成比</w:t>
      </w:r>
      <w:r>
        <w:rPr>
          <w:rFonts w:ascii="宋体" w:hAnsi="宋体" w:cs="宋体"/>
          <w:sz w:val="24"/>
        </w:rPr>
        <w:t>25.4</w:t>
      </w:r>
      <w:r>
        <w:rPr>
          <w:rFonts w:ascii="宋体" w:hAnsi="宋体" w:cs="宋体" w:hint="eastAsia"/>
          <w:sz w:val="24"/>
        </w:rPr>
        <w:t>，第三产业比重到达</w:t>
      </w:r>
      <w:r>
        <w:rPr>
          <w:rFonts w:ascii="宋体" w:hAnsi="宋体" w:cs="宋体"/>
          <w:sz w:val="24"/>
        </w:rPr>
        <w:t>74.8</w:t>
      </w:r>
      <w:r>
        <w:rPr>
          <w:rFonts w:ascii="宋体" w:hAnsi="宋体" w:cs="宋体" w:hint="eastAsia"/>
          <w:sz w:val="24"/>
        </w:rPr>
        <w:t>％。回首2023年，长沙楼市进入温和，稳定的由慢了触底反弹的全年走势。早期的</w:t>
      </w:r>
      <w:r>
        <w:rPr>
          <w:rFonts w:ascii="宋体" w:hAnsi="宋体" w:cs="宋体" w:hint="eastAsia"/>
          <w:sz w:val="24"/>
        </w:rPr>
        <w:t>“</w:t>
      </w:r>
      <w:r>
        <w:rPr>
          <w:rFonts w:ascii="宋体" w:hAnsi="宋体" w:cs="宋体" w:hint="eastAsia"/>
          <w:sz w:val="24"/>
        </w:rPr>
        <w:t>倒春寒〞，冷清开局，传统的</w:t>
      </w:r>
      <w:r>
        <w:rPr>
          <w:rFonts w:ascii="宋体" w:hAnsi="宋体" w:cs="宋体" w:hint="eastAsia"/>
          <w:sz w:val="24"/>
        </w:rPr>
        <w:t>“</w:t>
      </w:r>
      <w:r>
        <w:rPr>
          <w:rFonts w:ascii="宋体" w:hAnsi="宋体" w:cs="宋体" w:hint="eastAsia"/>
          <w:sz w:val="24"/>
        </w:rPr>
        <w:t>红五月〞不红火，</w:t>
      </w:r>
      <w:r>
        <w:rPr>
          <w:rFonts w:ascii="宋体" w:hAnsi="宋体" w:cs="宋体" w:hint="eastAsia"/>
          <w:sz w:val="24"/>
        </w:rPr>
        <w:t>“</w:t>
      </w:r>
      <w:r>
        <w:rPr>
          <w:rFonts w:ascii="宋体" w:hAnsi="宋体" w:cs="宋体" w:hint="eastAsia"/>
          <w:sz w:val="24"/>
        </w:rPr>
        <w:t>金九银十〞也是成色缺乏，而房地产市场在全国的结束，说商业的恐慌情绪蔓延买家住房供给和</w:t>
      </w:r>
      <w:r>
        <w:rPr>
          <w:rFonts w:ascii="宋体" w:hAnsi="宋体" w:cs="宋体" w:hint="eastAsia"/>
          <w:sz w:val="24"/>
        </w:rPr>
        <w:t>“</w:t>
      </w:r>
      <w:r>
        <w:rPr>
          <w:rFonts w:ascii="宋体" w:hAnsi="宋体" w:cs="宋体" w:hint="eastAsia"/>
          <w:sz w:val="24"/>
        </w:rPr>
        <w:t>稳定〞让长沙楼市低估迹象显露复苏、楼市逐渐回暖。不过，考虑到稳定的监管政策和市场库存仍高，尽管复苏的趋势出现交易预计在房地产市场反弹不会有太大的空间，明年调控力度将是更严格。在2023年全市〔含三县〕房地产开发投资103.2十亿人民币，同比增长16.36％。其中住宅建筑面积73616700平方米，新开工面积18242300平方米，同比分别4.03％，21.65％；完成14022700平方米面积，同比下降3.41个百分点。</w:t>
      </w:r>
    </w:p>
    <w:p w:rsidR="0062148B">
      <w:pPr>
        <w:spacing w:line="440" w:lineRule="exact"/>
        <w:ind w:firstLine="480" w:firstLineChars="200"/>
        <w:rPr>
          <w:rFonts w:ascii="宋体" w:hAnsi="宋体" w:cs="宋体" w:hint="eastAsia"/>
          <w:sz w:val="24"/>
        </w:rPr>
      </w:pPr>
      <w:r>
        <w:rPr>
          <w:rFonts w:ascii="宋体" w:hAnsi="宋体" w:cs="宋体" w:hint="eastAsia"/>
          <w:sz w:val="24"/>
        </w:rPr>
        <w:t xml:space="preserve"> 2023年长沙市〔含三县〕批准出售总计19071400平方米，同比下降5.25％的;实现在14380900平方米备案中85.17十亿人民币金额纪录，同比分别19.95％、12.45％为该地区的房产交易。2023批售全市新建商品房累计19071400平方米，同比下降5.25％，其中批准预售的14823600平方米住宅，同比下降16.07％。按地区划分，六中的新住房批准预售共13347000平方米，同比下降2.67％，其中批准预售的10081600平方米住宅，同比下降16.51％。从县，每年预先核准的雨花区，最大的新住房，岳麓区，其次是最后芙蓉区来看，同比增长来看，宁乡县，天心区，雨花区，仰望城市的正增长，并且超过20％，其余均为负增长。但从各月来看，四月，十月，十一月，十二月，批准预售200平方米以上城市的新建住房面积，除了一月，二月，新的预批准为100-200平方米面积。</w:t>
      </w:r>
    </w:p>
    <w:p w:rsidR="0062148B">
      <w:pPr>
        <w:pStyle w:val="Heading2"/>
        <w:spacing w:before="0" w:after="0" w:line="440" w:lineRule="exact"/>
        <w:rPr>
          <w:rFonts w:ascii="黑体" w:hAnsi="黑体" w:hint="eastAsia"/>
          <w:color w:val="000000"/>
          <w:sz w:val="28"/>
          <w:szCs w:val="28"/>
        </w:rPr>
      </w:pPr>
      <w:bookmarkStart w:id="13" w:name="_Toc419970958"/>
      <w:bookmarkStart w:id="14" w:name="_Toc420923227"/>
      <w:r>
        <w:rPr>
          <w:rFonts w:ascii="黑体" w:hAnsi="黑体" w:hint="eastAsia"/>
          <w:b w:val="0"/>
          <w:bCs w:val="0"/>
          <w:color w:val="000000"/>
          <w:sz w:val="28"/>
          <w:szCs w:val="28"/>
        </w:rPr>
        <w:t xml:space="preserve">3.2  </w:t>
      </w:r>
      <w:r>
        <w:rPr>
          <w:rFonts w:ascii="黑体" w:hAnsi="黑体" w:hint="eastAsia"/>
          <w:b w:val="0"/>
          <w:bCs w:val="0"/>
          <w:caps/>
          <w:color w:val="000000"/>
          <w:sz w:val="28"/>
          <w:szCs w:val="28"/>
        </w:rPr>
        <w:t>长沙市房地产运行状况分析</w:t>
      </w:r>
      <w:bookmarkEnd w:id="13"/>
      <w:bookmarkEnd w:id="14"/>
    </w:p>
    <w:p w:rsidR="0062148B">
      <w:pPr>
        <w:pStyle w:val="Heading3"/>
        <w:spacing w:before="0" w:after="0" w:line="440" w:lineRule="exact"/>
        <w:rPr>
          <w:rFonts w:ascii="黑体" w:eastAsia="黑体" w:hint="eastAsia"/>
          <w:sz w:val="24"/>
          <w:szCs w:val="24"/>
        </w:rPr>
      </w:pPr>
      <w:bookmarkStart w:id="15" w:name="_Toc419970959"/>
      <w:bookmarkStart w:id="16" w:name="_Toc420923228"/>
      <w:r>
        <w:rPr>
          <w:rFonts w:ascii="黑体" w:eastAsia="黑体" w:hint="eastAsia"/>
          <w:b w:val="0"/>
          <w:sz w:val="24"/>
          <w:szCs w:val="24"/>
        </w:rPr>
        <w:t>3.2.1  长沙2023年房地产开发投资情况</w:t>
      </w:r>
      <w:bookmarkEnd w:id="15"/>
      <w:bookmarkEnd w:id="16"/>
    </w:p>
    <w:p w:rsidR="0062148B">
      <w:pPr>
        <w:spacing w:line="440" w:lineRule="exact"/>
        <w:ind w:firstLine="538" w:firstLineChars="224"/>
        <w:rPr>
          <w:rFonts w:ascii="宋体" w:hAnsi="宋体" w:hint="eastAsia"/>
          <w:color w:val="000000"/>
          <w:sz w:val="24"/>
        </w:rPr>
      </w:pPr>
      <w:r>
        <w:rPr>
          <w:rFonts w:ascii="宋体" w:hAnsi="宋体" w:hint="eastAsia"/>
          <w:color w:val="000000"/>
          <w:sz w:val="24"/>
        </w:rPr>
        <w:t>通过对长沙市各区的房地产开发以及增长率的调查分析，需要了解芙蓉区的房地产市场活泼以及饱满程度。如表所示：</w:t>
      </w:r>
    </w:p>
    <w:p w:rsidR="0062148B">
      <w:pPr>
        <w:pStyle w:val="ListParagraph"/>
        <w:adjustRightInd/>
        <w:snapToGrid/>
        <w:spacing w:after="0" w:line="440" w:lineRule="exact"/>
        <w:ind w:firstLine="0" w:firstLineChars="0"/>
        <w:jc w:val="center"/>
        <w:rPr>
          <w:rFonts w:ascii="黑体" w:eastAsia="黑体" w:hAnsi="宋体" w:hint="eastAsia"/>
          <w:sz w:val="21"/>
          <w:szCs w:val="21"/>
        </w:rPr>
      </w:pPr>
      <w:r>
        <w:rPr>
          <w:rFonts w:ascii="黑体" w:eastAsia="黑体" w:hAnsi="宋体" w:hint="eastAsia"/>
          <w:sz w:val="21"/>
          <w:szCs w:val="21"/>
        </w:rPr>
        <w:t>表1  长沙地区房地产市场根本情况表</w:t>
      </w:r>
    </w:p>
    <w:p w:rsidR="0062148B">
      <w:pPr>
        <w:pStyle w:val="ListParagraph"/>
        <w:adjustRightInd/>
        <w:snapToGrid/>
        <w:spacing w:after="0" w:line="320" w:lineRule="exact"/>
        <w:ind w:firstLine="0" w:firstLineChars="0"/>
        <w:jc w:val="center"/>
        <w:rPr>
          <w:rFonts w:ascii="Times New Roman" w:eastAsia="宋体" w:hAnsi="Times New Roman" w:hint="eastAsia"/>
          <w:sz w:val="21"/>
          <w:szCs w:val="21"/>
        </w:rPr>
      </w:pPr>
      <w:r>
        <w:rPr>
          <w:rFonts w:ascii="Times New Roman" w:eastAsia="宋体" w:hAnsi="Times New Roman"/>
          <w:sz w:val="21"/>
          <w:szCs w:val="21"/>
        </w:rPr>
        <w:t>Table 1 Changsha real estate market fundamentals Fact Sheet</w:t>
      </w:r>
    </w:p>
    <w:tbl>
      <w:tblPr>
        <w:tblStyle w:val="TableNormal"/>
        <w:tblpPr w:leftFromText="180" w:rightFromText="180" w:vertAnchor="text" w:horzAnchor="margin" w:tblpXSpec="center" w:tblpX="1" w:tblpY="221"/>
        <w:tblOverlap w:val="never"/>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
      <w:tblGrid>
        <w:gridCol w:w="1381"/>
        <w:gridCol w:w="1441"/>
        <w:gridCol w:w="1441"/>
        <w:gridCol w:w="1644"/>
        <w:gridCol w:w="1941"/>
      </w:tblGrid>
      <w:tr>
        <w:tblPrEx>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Ex>
        <w:trPr>
          <w:trHeight w:val="1040"/>
        </w:trPr>
        <w:tc>
          <w:tcPr>
            <w:tcW w:w="1381" w:type="dxa"/>
            <w:tcBorders>
              <w:top w:val="single" w:sz="12" w:space="0" w:color="auto"/>
              <w:left w:val="nil"/>
              <w:bottom w:val="single" w:sz="8" w:space="0" w:color="auto"/>
            </w:tcBorders>
            <w:vAlign w:val="center"/>
          </w:tcPr>
          <w:p w:rsidR="0062148B">
            <w:pPr>
              <w:spacing w:line="320" w:lineRule="exact"/>
              <w:suppressOverlap/>
              <w:jc w:val="center"/>
              <w:rPr>
                <w:rFonts w:ascii="宋体" w:hAnsi="宋体" w:hint="eastAsia"/>
                <w:szCs w:val="21"/>
              </w:rPr>
            </w:pPr>
          </w:p>
          <w:p w:rsidR="0062148B">
            <w:pPr>
              <w:spacing w:line="320" w:lineRule="exact"/>
              <w:suppressOverlap/>
              <w:jc w:val="center"/>
              <w:rPr>
                <w:rFonts w:ascii="宋体" w:hAnsi="宋体" w:hint="eastAsia"/>
                <w:szCs w:val="21"/>
              </w:rPr>
            </w:pPr>
            <w:r>
              <w:rPr>
                <w:rFonts w:ascii="宋体" w:hAnsi="宋体" w:hint="eastAsia"/>
                <w:szCs w:val="21"/>
              </w:rPr>
              <w:t>区域</w:t>
            </w:r>
          </w:p>
        </w:tc>
        <w:tc>
          <w:tcPr>
            <w:tcW w:w="1441" w:type="dxa"/>
            <w:tcBorders>
              <w:top w:val="single" w:sz="12" w:space="0" w:color="auto"/>
              <w:bottom w:val="single" w:sz="8" w:space="0" w:color="auto"/>
            </w:tcBorders>
            <w:vAlign w:val="center"/>
          </w:tcPr>
          <w:p w:rsidR="0062148B">
            <w:pPr>
              <w:spacing w:line="320" w:lineRule="exact"/>
              <w:suppressOverlap/>
              <w:jc w:val="center"/>
              <w:rPr>
                <w:rFonts w:ascii="宋体" w:hAnsi="宋体" w:hint="eastAsia"/>
                <w:szCs w:val="21"/>
              </w:rPr>
            </w:pPr>
            <w:r>
              <w:rPr>
                <w:rFonts w:ascii="宋体" w:hAnsi="宋体" w:hint="eastAsia"/>
                <w:szCs w:val="21"/>
              </w:rPr>
              <w:t>新建商品房预售面积〔万㎡〕</w:t>
            </w:r>
          </w:p>
        </w:tc>
        <w:tc>
          <w:tcPr>
            <w:tcW w:w="1441" w:type="dxa"/>
            <w:tcBorders>
              <w:top w:val="single" w:sz="12" w:space="0" w:color="auto"/>
              <w:bottom w:val="single" w:sz="8" w:space="0" w:color="auto"/>
            </w:tcBorders>
            <w:vAlign w:val="center"/>
          </w:tcPr>
          <w:p w:rsidR="0062148B">
            <w:pPr>
              <w:spacing w:line="320" w:lineRule="exact"/>
              <w:ind w:firstLine="210" w:firstLineChars="100"/>
              <w:suppressOverlap/>
              <w:rPr>
                <w:rFonts w:ascii="宋体" w:hAnsi="宋体" w:hint="eastAsia"/>
                <w:szCs w:val="21"/>
              </w:rPr>
            </w:pPr>
            <w:r>
              <w:rPr>
                <w:rFonts w:ascii="宋体" w:hAnsi="宋体" w:hint="eastAsia"/>
                <w:szCs w:val="21"/>
              </w:rPr>
              <w:t>增长 〔%〕</w:t>
            </w:r>
          </w:p>
        </w:tc>
        <w:tc>
          <w:tcPr>
            <w:tcW w:w="1644" w:type="dxa"/>
            <w:tcBorders>
              <w:top w:val="single" w:sz="12" w:space="0" w:color="auto"/>
              <w:bottom w:val="single" w:sz="8" w:space="0" w:color="auto"/>
              <w:right w:val="nil"/>
            </w:tcBorders>
            <w:vAlign w:val="center"/>
          </w:tcPr>
          <w:p w:rsidR="0062148B">
            <w:pPr>
              <w:spacing w:line="320" w:lineRule="exact"/>
              <w:suppressOverlap/>
              <w:jc w:val="center"/>
              <w:rPr>
                <w:rFonts w:ascii="宋体" w:hAnsi="宋体" w:hint="eastAsia"/>
                <w:szCs w:val="21"/>
              </w:rPr>
            </w:pPr>
            <w:r>
              <w:rPr>
                <w:rFonts w:ascii="宋体" w:hAnsi="宋体" w:hint="eastAsia"/>
                <w:szCs w:val="21"/>
              </w:rPr>
              <w:t>住 宅 预 售</w:t>
            </w:r>
          </w:p>
          <w:p w:rsidR="0062148B">
            <w:pPr>
              <w:spacing w:line="320" w:lineRule="exact"/>
              <w:suppressOverlap/>
              <w:jc w:val="center"/>
              <w:rPr>
                <w:rFonts w:ascii="宋体" w:hAnsi="宋体" w:hint="eastAsia"/>
                <w:szCs w:val="21"/>
              </w:rPr>
            </w:pPr>
            <w:r>
              <w:rPr>
                <w:rFonts w:ascii="宋体" w:hAnsi="宋体" w:hint="eastAsia"/>
                <w:szCs w:val="21"/>
              </w:rPr>
              <w:t>面 积 预 售</w:t>
            </w:r>
          </w:p>
          <w:p w:rsidR="0062148B">
            <w:pPr>
              <w:spacing w:line="320" w:lineRule="exact"/>
              <w:suppressOverlap/>
              <w:jc w:val="center"/>
              <w:rPr>
                <w:rFonts w:ascii="宋体" w:hAnsi="宋体" w:hint="eastAsia"/>
                <w:szCs w:val="21"/>
              </w:rPr>
            </w:pPr>
            <w:r>
              <w:rPr>
                <w:rFonts w:ascii="宋体" w:hAnsi="宋体" w:hint="eastAsia"/>
                <w:szCs w:val="21"/>
              </w:rPr>
              <w:t>面积〔万㎡〕</w:t>
            </w:r>
          </w:p>
        </w:tc>
        <w:tc>
          <w:tcPr>
            <w:tcW w:w="1941" w:type="dxa"/>
            <w:tcBorders>
              <w:top w:val="single" w:sz="12" w:space="0" w:color="auto"/>
              <w:bottom w:val="single" w:sz="8" w:space="0" w:color="auto"/>
              <w:right w:val="nil"/>
            </w:tcBorders>
            <w:vAlign w:val="center"/>
          </w:tcPr>
          <w:p w:rsidR="0062148B">
            <w:pPr>
              <w:spacing w:line="320" w:lineRule="exact"/>
              <w:ind w:firstLine="525" w:firstLineChars="250"/>
              <w:suppressOverlap/>
              <w:rPr>
                <w:rFonts w:ascii="宋体" w:hAnsi="宋体" w:hint="eastAsia"/>
                <w:szCs w:val="21"/>
              </w:rPr>
            </w:pPr>
            <w:r>
              <w:rPr>
                <w:rFonts w:ascii="宋体" w:hAnsi="宋体" w:hint="eastAsia"/>
                <w:szCs w:val="21"/>
              </w:rPr>
              <w:t>增长〔%〕</w:t>
            </w:r>
          </w:p>
        </w:tc>
      </w:tr>
      <w:tr>
        <w:tblPrEx>
          <w:tblW w:w="0" w:type="auto"/>
          <w:tblInd w:w="0" w:type="dxa"/>
          <w:tblLayout w:type="fixed"/>
          <w:tblLook w:val="0000"/>
        </w:tblPrEx>
        <w:trPr>
          <w:trHeight w:val="491"/>
        </w:trPr>
        <w:tc>
          <w:tcPr>
            <w:tcW w:w="1381" w:type="dxa"/>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全 市</w:t>
            </w:r>
          </w:p>
        </w:tc>
        <w:tc>
          <w:tcPr>
            <w:tcW w:w="2882" w:type="dxa"/>
            <w:gridSpan w:val="2"/>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1907.14       5.25</w:t>
            </w:r>
          </w:p>
        </w:tc>
        <w:tc>
          <w:tcPr>
            <w:tcW w:w="3585" w:type="dxa"/>
            <w:gridSpan w:val="2"/>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1482.36           16.07</w:t>
            </w:r>
          </w:p>
        </w:tc>
      </w:tr>
      <w:tr>
        <w:tblPrEx>
          <w:tblW w:w="0" w:type="auto"/>
          <w:tblInd w:w="0" w:type="dxa"/>
          <w:tblLayout w:type="fixed"/>
          <w:tblLook w:val="0000"/>
        </w:tblPrEx>
        <w:trPr>
          <w:trHeight w:val="563"/>
        </w:trPr>
        <w:tc>
          <w:tcPr>
            <w:tcW w:w="1381"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芙蓉区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154.46        35.27</w:t>
            </w:r>
          </w:p>
        </w:tc>
        <w:tc>
          <w:tcPr>
            <w:tcW w:w="3585"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128.35            16.51</w:t>
            </w:r>
          </w:p>
        </w:tc>
      </w:tr>
      <w:tr>
        <w:tblPrEx>
          <w:tblW w:w="0" w:type="auto"/>
          <w:tblInd w:w="0" w:type="dxa"/>
          <w:tblLayout w:type="fixed"/>
          <w:tblLook w:val="0000"/>
        </w:tblPrEx>
        <w:trPr>
          <w:trHeight w:val="605"/>
        </w:trPr>
        <w:tc>
          <w:tcPr>
            <w:tcW w:w="1381"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天心区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216.43        29.74</w:t>
            </w:r>
          </w:p>
        </w:tc>
        <w:tc>
          <w:tcPr>
            <w:tcW w:w="1644"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159.35</w:t>
            </w:r>
          </w:p>
        </w:tc>
        <w:tc>
          <w:tcPr>
            <w:tcW w:w="1941" w:type="dxa"/>
            <w:tcBorders>
              <w:top w:val="nil"/>
              <w:left w:val="nil"/>
              <w:bottom w:val="nil"/>
              <w:right w:val="nil"/>
            </w:tcBorders>
            <w:vAlign w:val="center"/>
          </w:tcPr>
          <w:p w:rsidR="0062148B">
            <w:pPr>
              <w:spacing w:line="440" w:lineRule="exact"/>
              <w:ind w:firstLine="480" w:firstLineChars="200"/>
              <w:suppressOverlap/>
              <w:jc w:val="center"/>
              <w:rPr>
                <w:rFonts w:ascii="宋体" w:hAnsi="宋体" w:hint="eastAsia"/>
                <w:sz w:val="24"/>
              </w:rPr>
            </w:pPr>
            <w:r>
              <w:rPr>
                <w:rFonts w:ascii="宋体" w:hAnsi="宋体" w:hint="eastAsia"/>
                <w:sz w:val="24"/>
              </w:rPr>
              <w:t>23.71</w:t>
            </w:r>
          </w:p>
        </w:tc>
      </w:tr>
      <w:tr>
        <w:tblPrEx>
          <w:tblW w:w="0" w:type="auto"/>
          <w:tblInd w:w="0" w:type="dxa"/>
          <w:tblLayout w:type="fixed"/>
          <w:tblLook w:val="0000"/>
        </w:tblPrEx>
        <w:trPr>
          <w:trHeight w:val="511"/>
        </w:trPr>
        <w:tc>
          <w:tcPr>
            <w:tcW w:w="1381" w:type="dxa"/>
            <w:tcBorders>
              <w:top w:val="nil"/>
              <w:left w:val="nil"/>
              <w:bottom w:val="nil"/>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岳麓区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325.81        10.25</w:t>
            </w:r>
          </w:p>
        </w:tc>
        <w:tc>
          <w:tcPr>
            <w:tcW w:w="1644"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243.81</w:t>
            </w:r>
          </w:p>
        </w:tc>
        <w:tc>
          <w:tcPr>
            <w:tcW w:w="1941" w:type="dxa"/>
            <w:tcBorders>
              <w:top w:val="nil"/>
              <w:left w:val="nil"/>
              <w:bottom w:val="nil"/>
              <w:right w:val="nil"/>
            </w:tcBorders>
            <w:vAlign w:val="center"/>
          </w:tcPr>
          <w:p w:rsidR="0062148B">
            <w:pPr>
              <w:spacing w:line="440" w:lineRule="exact"/>
              <w:suppressOverlap/>
              <w:jc w:val="center"/>
              <w:rPr>
                <w:rFonts w:ascii="宋体" w:hAnsi="宋体" w:hint="eastAsia"/>
                <w:sz w:val="24"/>
              </w:rPr>
            </w:pPr>
            <w:r>
              <w:rPr>
                <w:rFonts w:ascii="宋体" w:hAnsi="宋体" w:hint="eastAsia"/>
                <w:sz w:val="24"/>
              </w:rPr>
              <w:t xml:space="preserve">   9.36</w:t>
            </w:r>
          </w:p>
        </w:tc>
      </w:tr>
      <w:tr>
        <w:tblPrEx>
          <w:tblW w:w="0" w:type="auto"/>
          <w:tblInd w:w="0" w:type="dxa"/>
          <w:tblLayout w:type="fixed"/>
          <w:tblLook w:val="0000"/>
        </w:tblPrEx>
        <w:trPr>
          <w:trHeight w:val="470"/>
        </w:trPr>
        <w:tc>
          <w:tcPr>
            <w:tcW w:w="1381" w:type="dxa"/>
            <w:tcBorders>
              <w:top w:val="nil"/>
              <w:left w:val="nil"/>
              <w:bottom w:val="nil"/>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开福区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199.13        27.64</w:t>
            </w:r>
          </w:p>
        </w:tc>
        <w:tc>
          <w:tcPr>
            <w:tcW w:w="1644"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132.24</w:t>
            </w:r>
          </w:p>
        </w:tc>
        <w:tc>
          <w:tcPr>
            <w:tcW w:w="1941" w:type="dxa"/>
            <w:tcBorders>
              <w:top w:val="nil"/>
              <w:left w:val="nil"/>
              <w:bottom w:val="nil"/>
              <w:right w:val="nil"/>
            </w:tcBorders>
            <w:vAlign w:val="center"/>
          </w:tcPr>
          <w:p w:rsidR="0062148B">
            <w:pPr>
              <w:spacing w:line="440" w:lineRule="exact"/>
              <w:suppressOverlap/>
              <w:jc w:val="center"/>
              <w:rPr>
                <w:rFonts w:ascii="宋体" w:hAnsi="宋体" w:hint="eastAsia"/>
                <w:sz w:val="24"/>
              </w:rPr>
            </w:pPr>
            <w:r>
              <w:rPr>
                <w:rFonts w:ascii="宋体" w:hAnsi="宋体" w:hint="eastAsia"/>
                <w:sz w:val="24"/>
              </w:rPr>
              <w:t xml:space="preserve">    20.84</w:t>
            </w:r>
          </w:p>
        </w:tc>
      </w:tr>
      <w:tr>
        <w:tblPrEx>
          <w:tblW w:w="0" w:type="auto"/>
          <w:tblInd w:w="0" w:type="dxa"/>
          <w:tblLayout w:type="fixed"/>
          <w:tblLook w:val="0000"/>
        </w:tblPrEx>
        <w:trPr>
          <w:trHeight w:val="517"/>
        </w:trPr>
        <w:tc>
          <w:tcPr>
            <w:tcW w:w="1381" w:type="dxa"/>
            <w:tcBorders>
              <w:top w:val="nil"/>
              <w:left w:val="nil"/>
              <w:bottom w:val="nil"/>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雨花区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329.22        20.17</w:t>
            </w:r>
          </w:p>
        </w:tc>
        <w:tc>
          <w:tcPr>
            <w:tcW w:w="3585"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158.54            6.52</w:t>
            </w:r>
          </w:p>
        </w:tc>
      </w:tr>
      <w:tr>
        <w:tblPrEx>
          <w:tblW w:w="0" w:type="auto"/>
          <w:tblInd w:w="0" w:type="dxa"/>
          <w:tblLayout w:type="fixed"/>
          <w:tblLook w:val="0000"/>
        </w:tblPrEx>
        <w:trPr>
          <w:trHeight w:val="569"/>
        </w:trPr>
        <w:tc>
          <w:tcPr>
            <w:tcW w:w="1381" w:type="dxa"/>
            <w:tcBorders>
              <w:top w:val="nil"/>
              <w:left w:val="nil"/>
              <w:bottom w:val="nil"/>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望城区</w:t>
            </w:r>
          </w:p>
        </w:tc>
        <w:tc>
          <w:tcPr>
            <w:tcW w:w="2882"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208.59       -25.58</w:t>
            </w:r>
          </w:p>
        </w:tc>
        <w:tc>
          <w:tcPr>
            <w:tcW w:w="3585" w:type="dxa"/>
            <w:gridSpan w:val="2"/>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158.45           -22.22</w:t>
            </w:r>
          </w:p>
        </w:tc>
      </w:tr>
      <w:tr>
        <w:tblPrEx>
          <w:tblW w:w="0" w:type="auto"/>
          <w:tblInd w:w="0" w:type="dxa"/>
          <w:tblLayout w:type="fixed"/>
          <w:tblLook w:val="0000"/>
        </w:tblPrEx>
        <w:trPr>
          <w:trHeight w:val="558"/>
        </w:trPr>
        <w:tc>
          <w:tcPr>
            <w:tcW w:w="1381" w:type="dxa"/>
            <w:tcBorders>
              <w:top w:val="nil"/>
              <w:left w:val="nil"/>
              <w:bottom w:val="single" w:sz="12" w:space="0" w:color="auto"/>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长沙县</w:t>
            </w:r>
          </w:p>
        </w:tc>
        <w:tc>
          <w:tcPr>
            <w:tcW w:w="2882" w:type="dxa"/>
            <w:gridSpan w:val="2"/>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303.11       -19.63</w:t>
            </w:r>
          </w:p>
        </w:tc>
        <w:tc>
          <w:tcPr>
            <w:tcW w:w="3585" w:type="dxa"/>
            <w:gridSpan w:val="2"/>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26365            -26.25</w:t>
            </w:r>
          </w:p>
        </w:tc>
      </w:tr>
    </w:tbl>
    <w:p w:rsidR="0062148B">
      <w:pPr>
        <w:spacing w:line="440" w:lineRule="exact"/>
        <w:rPr>
          <w:rFonts w:ascii="宋体" w:hAnsi="宋体" w:cs="宋体" w:hint="eastAsia"/>
          <w:szCs w:val="21"/>
        </w:rPr>
      </w:pPr>
      <w:r>
        <w:rPr>
          <w:rFonts w:ascii="宋体" w:hAnsi="宋体" w:cs="宋体" w:hint="eastAsia"/>
          <w:sz w:val="24"/>
        </w:rPr>
        <w:t xml:space="preserve">    从各区县情况来看，芙蓉区新建商品房面积为长沙市最少但增长率是最高，由此看来，芙蓉区的房地产市场非常广阔，处于正在高速增长的黄金期，如果能让恒大江湾打出品牌效果用高调的宣传模式深入民心，可想销售必将炽热甚至供不应求。</w:t>
      </w:r>
    </w:p>
    <w:p w:rsidR="0062148B">
      <w:pPr>
        <w:pStyle w:val="Heading3"/>
        <w:spacing w:before="0" w:after="0" w:line="440" w:lineRule="exact"/>
        <w:rPr>
          <w:rFonts w:ascii="黑体" w:eastAsia="黑体" w:hAnsi="黑体" w:hint="eastAsia"/>
          <w:color w:val="000000"/>
          <w:sz w:val="24"/>
        </w:rPr>
      </w:pPr>
      <w:bookmarkStart w:id="17" w:name="_Toc419970960"/>
      <w:bookmarkStart w:id="18" w:name="_Toc420923229"/>
      <w:r>
        <w:rPr>
          <w:rFonts w:ascii="黑体" w:eastAsia="黑体" w:hAnsi="黑体" w:hint="eastAsia"/>
          <w:b w:val="0"/>
          <w:bCs w:val="0"/>
          <w:color w:val="000000"/>
          <w:sz w:val="24"/>
        </w:rPr>
        <w:t>3.2.2  房地产运行状况</w:t>
      </w:r>
      <w:bookmarkEnd w:id="17"/>
      <w:bookmarkEnd w:id="18"/>
    </w:p>
    <w:p w:rsidR="0062148B">
      <w:pPr>
        <w:spacing w:line="440" w:lineRule="exact"/>
        <w:ind w:firstLine="480" w:firstLineChars="200"/>
        <w:rPr>
          <w:rFonts w:ascii="宋体" w:hAnsi="宋体" w:hint="eastAsia"/>
          <w:bCs/>
          <w:color w:val="000000"/>
          <w:sz w:val="24"/>
        </w:rPr>
        <w:sectPr>
          <w:type w:val="nextPage"/>
          <w:pgSz w:w="11906" w:h="16838"/>
          <w:pgMar w:top="1440" w:right="1800" w:bottom="1440" w:left="1800" w:header="851" w:footer="992" w:gutter="0"/>
          <w:pgNumType w:start="5"/>
          <w:cols w:space="720"/>
          <w:titlePg w:val="0"/>
          <w:docGrid w:type="lines" w:linePitch="312"/>
        </w:sectPr>
      </w:pPr>
      <w:r>
        <w:rPr>
          <w:rFonts w:ascii="宋体" w:hAnsi="宋体" w:hint="eastAsia"/>
          <w:bCs/>
          <w:color w:val="000000"/>
          <w:sz w:val="24"/>
        </w:rPr>
        <w:t>长沙房地产的持续升温：长沙市房地产市场不断升温自2001年以来，去年的市场调整后，长沙市房地产市场更受欢送。到2023年，更纷纷推出房地产市场，市场销售价格已经提高显著长沙高档楼盘已突破10000元每平方米。</w:t>
      </w:r>
    </w:p>
    <w:p w:rsidR="0062148B">
      <w:pPr>
        <w:spacing w:line="440" w:lineRule="exact"/>
        <w:ind w:firstLine="480" w:firstLineChars="200"/>
        <w:rPr>
          <w:rFonts w:ascii="宋体" w:hAnsi="宋体" w:hint="eastAsia"/>
          <w:bCs/>
          <w:color w:val="000000"/>
          <w:sz w:val="24"/>
        </w:rPr>
      </w:pPr>
      <w:r>
        <w:rPr>
          <w:rFonts w:ascii="宋体" w:hAnsi="宋体" w:hint="eastAsia"/>
          <w:bCs/>
          <w:color w:val="000000"/>
          <w:sz w:val="24"/>
        </w:rPr>
        <w:t>住宅市场结构趋于合理：长沙市房地产开发完成投资比上年同期有较大增长。其中：住宅投资占投资，住宅投资的主要优势出现超过60％，说明在根据市场的住宅消费需求的长沙市房地产开发投资的方向及时调整住房投资增加产业。</w:t>
      </w:r>
    </w:p>
    <w:p w:rsidR="0062148B">
      <w:pPr>
        <w:spacing w:line="440" w:lineRule="exact"/>
        <w:ind w:firstLine="480" w:firstLineChars="200"/>
        <w:rPr>
          <w:rFonts w:ascii="宋体" w:hAnsi="宋体" w:hint="eastAsia"/>
          <w:bCs/>
          <w:color w:val="000000"/>
          <w:sz w:val="24"/>
        </w:rPr>
      </w:pPr>
      <w:r>
        <w:rPr>
          <w:rFonts w:ascii="宋体" w:hAnsi="宋体" w:hint="eastAsia"/>
          <w:bCs/>
          <w:color w:val="000000"/>
          <w:sz w:val="24"/>
        </w:rPr>
        <w:t>中档价位的市场力量：统计数据显示，低于6000元的限价商品房建设/平方米的住房已成为主要市场，对家庭户的营业额超过70％的总营业额</w:t>
      </w:r>
    </w:p>
    <w:p w:rsidR="0062148B">
      <w:pPr>
        <w:pStyle w:val="Heading3"/>
        <w:spacing w:before="0" w:after="0" w:line="440" w:lineRule="exact"/>
        <w:rPr>
          <w:rFonts w:ascii="黑体" w:eastAsia="黑体" w:hAnsi="黑体" w:hint="eastAsia"/>
          <w:color w:val="000000"/>
          <w:sz w:val="24"/>
          <w:szCs w:val="28"/>
        </w:rPr>
      </w:pPr>
      <w:bookmarkStart w:id="19" w:name="_Toc419970963"/>
      <w:bookmarkStart w:id="20" w:name="_Toc420923230"/>
      <w:r>
        <w:rPr>
          <w:rFonts w:ascii="黑体" w:eastAsia="黑体" w:hAnsi="黑体" w:hint="eastAsia"/>
          <w:b w:val="0"/>
          <w:bCs w:val="0"/>
          <w:color w:val="000000"/>
          <w:sz w:val="24"/>
          <w:szCs w:val="28"/>
        </w:rPr>
        <w:t>3.2.3  工程周边区域房地产状况</w:t>
      </w:r>
      <w:bookmarkEnd w:id="19"/>
      <w:bookmarkEnd w:id="20"/>
    </w:p>
    <w:p w:rsidR="0062148B">
      <w:pPr>
        <w:spacing w:line="440" w:lineRule="exact"/>
        <w:ind w:firstLine="480" w:firstLineChars="200"/>
        <w:rPr>
          <w:rFonts w:ascii="宋体" w:hAnsi="宋体" w:hint="eastAsia"/>
          <w:caps/>
          <w:color w:val="000000"/>
          <w:sz w:val="24"/>
        </w:rPr>
      </w:pPr>
      <w:r>
        <w:rPr>
          <w:rFonts w:ascii="宋体" w:hAnsi="宋体" w:hint="eastAsia"/>
          <w:caps/>
          <w:color w:val="000000"/>
          <w:sz w:val="24"/>
        </w:rPr>
        <w:t>浏阳河以东繁华商业闹市区的市政中心可以设置的房地产工程，环境优美的有机结合，位于浏阳河风光带是最好的工程。浏阳河200米有着环境优美通过色彩的休闲区，恒大江湾一带直通的远大路，且自然环境和建材商业气氛东部的心脏地带也是一个组合有机，人与自然的和谐自然。</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河东区</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区域特点：东屯渡桥东，更多的以市场为根底的建材。环境优美，交通便利，中小学等等。</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价格区间：5999-7000元/平方米。</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代表楼盘：辉煌国际。</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河西区</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区域特征：东屯渡桥西，商业和政治重要领域，第一豪华别墅的开展，豪华别墅是典型的住宅区。</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价格区间：6999-9800元/平方米。</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代表楼盘：长房白沙湾，佳兆业。</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望龙建材区</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区域特征：此区域是一个相对较偏的郊区环，一些建材和农业企业，地铁可达性好，深低廉的房价让人喜欢。</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价格区间：3999-6200 /平方米。</w:t>
      </w:r>
    </w:p>
    <w:p w:rsidR="0062148B">
      <w:pPr>
        <w:spacing w:line="440" w:lineRule="exact"/>
        <w:ind w:firstLine="480" w:firstLineChars="200"/>
        <w:rPr>
          <w:rFonts w:ascii="宋体" w:hAnsi="宋体" w:hint="eastAsia"/>
          <w:color w:val="000000"/>
          <w:sz w:val="24"/>
        </w:rPr>
      </w:pPr>
      <w:r>
        <w:rPr>
          <w:rFonts w:ascii="宋体" w:hAnsi="宋体" w:hint="eastAsia"/>
          <w:sz w:val="24"/>
        </w:rPr>
        <w:t>代表楼盘: 湘域中心, 中房瑞致。</w:t>
      </w:r>
    </w:p>
    <w:p w:rsidR="0062148B">
      <w:pPr>
        <w:spacing w:line="440" w:lineRule="exact"/>
        <w:ind w:firstLine="480" w:firstLineChars="200"/>
        <w:rPr>
          <w:rFonts w:ascii="宋体" w:hAnsi="宋体" w:hint="eastAsia"/>
          <w:bCs/>
          <w:color w:val="000000"/>
          <w:sz w:val="24"/>
        </w:rPr>
        <w:sectPr>
          <w:type w:val="nextPage"/>
          <w:pgSz w:w="11906" w:h="16838"/>
          <w:pgMar w:top="1440" w:right="1800" w:bottom="1440" w:left="1800" w:header="851" w:footer="992" w:gutter="0"/>
          <w:pgNumType w:start="6"/>
          <w:cols w:space="720"/>
          <w:titlePg w:val="0"/>
          <w:docGrid w:type="lines" w:linePitch="312"/>
        </w:sectPr>
      </w:pPr>
      <w:r>
        <w:rPr>
          <w:rFonts w:ascii="宋体" w:hAnsi="宋体" w:hint="eastAsia"/>
          <w:bCs/>
          <w:color w:val="000000"/>
          <w:sz w:val="24"/>
        </w:rPr>
        <w:t>房价持续高位,</w:t>
      </w:r>
      <w:r>
        <w:rPr>
          <w:rFonts w:ascii="宋体" w:hAnsi="宋体"/>
          <w:color w:val="000000"/>
          <w:sz w:val="24"/>
        </w:rPr>
        <w:t xml:space="preserve"> 涨幅趋缓</w:t>
      </w:r>
      <w:r>
        <w:rPr>
          <w:rFonts w:ascii="宋体" w:hAnsi="宋体" w:hint="eastAsia"/>
          <w:color w:val="000000"/>
          <w:sz w:val="24"/>
        </w:rPr>
        <w:t>：市建委开发办的统计数据显示，截至2023年底，长沙市芙蓉区浏阳河西区价格超过7000元/平方米。房价上涨过快的势头，长沙已得到有效控制，宏观调控政策的效果开始显现面对房价和家庭收入的13.7：1的比例悬殊，长沙高房价已经成为不争的事实。所以在这种房价与区域位子成正比的情况下，恒大江湾的介入将给市民更多的选择余地。</w:t>
      </w:r>
    </w:p>
    <w:p w:rsidR="0062148B">
      <w:pPr>
        <w:pStyle w:val="Heading2"/>
        <w:spacing w:before="0" w:after="0" w:line="440" w:lineRule="exact"/>
        <w:rPr>
          <w:rFonts w:ascii="黑体" w:hAnsi="黑体" w:hint="eastAsia"/>
          <w:caps/>
          <w:color w:val="000000"/>
          <w:sz w:val="28"/>
        </w:rPr>
      </w:pPr>
      <w:bookmarkStart w:id="21" w:name="_Toc419970964"/>
      <w:bookmarkStart w:id="22" w:name="_Toc420923231"/>
      <w:r>
        <w:rPr>
          <w:rFonts w:ascii="黑体" w:hAnsi="黑体" w:hint="eastAsia"/>
          <w:b w:val="0"/>
          <w:bCs w:val="0"/>
          <w:color w:val="000000"/>
          <w:sz w:val="28"/>
        </w:rPr>
        <w:t>3.3</w:t>
      </w:r>
      <w:bookmarkStart w:id="23" w:name="_Toc419970965"/>
      <w:bookmarkEnd w:id="21"/>
      <w:bookmarkEnd w:id="23"/>
      <w:r>
        <w:rPr>
          <w:rFonts w:ascii="黑体" w:hAnsi="黑体" w:hint="eastAsia"/>
          <w:b w:val="0"/>
          <w:bCs w:val="0"/>
          <w:color w:val="000000"/>
          <w:kern w:val="0"/>
          <w:sz w:val="28"/>
        </w:rPr>
        <w:t>市场供需了解</w:t>
      </w:r>
      <w:bookmarkEnd w:id="22"/>
    </w:p>
    <w:p w:rsidR="0062148B">
      <w:pPr>
        <w:spacing w:line="440" w:lineRule="atLeast"/>
        <w:ind w:firstLine="480" w:firstLineChars="200"/>
        <w:rPr>
          <w:rFonts w:ascii="宋体" w:hAnsi="宋体" w:hint="eastAsia"/>
          <w:caps/>
          <w:color w:val="000000"/>
          <w:sz w:val="24"/>
        </w:rPr>
      </w:pPr>
      <w:r>
        <w:rPr>
          <w:rFonts w:ascii="宋体" w:hAnsi="宋体" w:hint="eastAsia"/>
          <w:caps/>
          <w:color w:val="000000"/>
          <w:sz w:val="24"/>
        </w:rPr>
        <w:t>该片区的房地产工程都在一个环境优美为主要卖点，依靠美丽的风景和良好的环境，以提高他们的素质。对该地区的市场分析了解市场需求形势，芙蓉区政府的整体长远规划是根底，强调布局和开放的统一，连贯性，科学合理的功能和空间。区规划应多运用现代城市设计手法，与自然环境完全融合，以满足开发和建设，合理布局的要求，提高了土地利用，土地开发利用更加合理的价值，创造可行的条件。加强住宅景观，绿化建设刘郎河区充分利用自然景观，丰富空间环境和自然环境是该地区的一个生活方向。厂址位于辉煌国际销售的东部，一方面验证了对手湾房地产市场吸纳和接受新的住宅产品，这也验证了公民在该地区的购置力。几年前，该片区开始靠拢热区吸引了不少人的眼光。目前正在房地产建设中数量最多的豪华房地产的该片区的范围内制定，并已在建或建成的整个地区的其他楼盘，无论是辉煌国际还是佳兆业都与恒大湾且一定差距。</w:t>
      </w:r>
    </w:p>
    <w:p w:rsidR="0062148B">
      <w:pPr>
        <w:spacing w:line="440" w:lineRule="atLeast"/>
        <w:ind w:firstLine="3045" w:firstLineChars="1450"/>
        <w:rPr>
          <w:rFonts w:ascii="黑体" w:eastAsia="黑体" w:hAnsi="宋体" w:hint="eastAsia"/>
          <w:bCs/>
          <w:color w:val="000000"/>
          <w:kern w:val="0"/>
          <w:szCs w:val="21"/>
        </w:rPr>
      </w:pPr>
      <w:r>
        <w:rPr>
          <w:rFonts w:ascii="黑体" w:eastAsia="黑体" w:hAnsi="宋体" w:hint="eastAsia"/>
          <w:bCs/>
          <w:color w:val="000000"/>
          <w:kern w:val="0"/>
          <w:szCs w:val="21"/>
        </w:rPr>
        <w:t>表2  竞争楼盘状况表</w:t>
      </w:r>
    </w:p>
    <w:tbl>
      <w:tblPr>
        <w:tblStyle w:val="TableNormal"/>
        <w:tblpPr w:leftFromText="180" w:rightFromText="180" w:vertAnchor="text" w:horzAnchor="margin" w:tblpXSpec="center" w:tblpX="1" w:tblpY="571"/>
        <w:tblOverlap w:val="never"/>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
      <w:tblGrid>
        <w:gridCol w:w="1596"/>
        <w:gridCol w:w="1572"/>
        <w:gridCol w:w="1440"/>
        <w:gridCol w:w="1620"/>
        <w:gridCol w:w="1651"/>
      </w:tblGrid>
      <w:tr>
        <w:tblPrEx>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Ex>
        <w:trPr>
          <w:trHeight w:val="593"/>
        </w:trPr>
        <w:tc>
          <w:tcPr>
            <w:tcW w:w="1596" w:type="dxa"/>
            <w:tcBorders>
              <w:top w:val="single" w:sz="12" w:space="0" w:color="auto"/>
              <w:left w:val="nil"/>
              <w:bottom w:val="single" w:sz="8" w:space="0" w:color="auto"/>
            </w:tcBorders>
            <w:vAlign w:val="center"/>
          </w:tcPr>
          <w:p w:rsidR="0062148B">
            <w:pPr>
              <w:spacing w:line="320" w:lineRule="atLeast"/>
              <w:suppressOverlap/>
              <w:jc w:val="center"/>
              <w:rPr>
                <w:rFonts w:ascii="宋体" w:hAnsi="宋体" w:hint="eastAsia"/>
                <w:szCs w:val="21"/>
              </w:rPr>
            </w:pPr>
            <w:r>
              <w:rPr>
                <w:rFonts w:ascii="宋体" w:hAnsi="宋体" w:hint="eastAsia"/>
                <w:szCs w:val="21"/>
              </w:rPr>
              <w:t>工程名称</w:t>
            </w:r>
          </w:p>
        </w:tc>
        <w:tc>
          <w:tcPr>
            <w:tcW w:w="1572" w:type="dxa"/>
            <w:tcBorders>
              <w:top w:val="single" w:sz="12" w:space="0" w:color="auto"/>
              <w:bottom w:val="single" w:sz="8" w:space="0" w:color="auto"/>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位置</w:t>
            </w:r>
          </w:p>
        </w:tc>
        <w:tc>
          <w:tcPr>
            <w:tcW w:w="1440" w:type="dxa"/>
            <w:tcBorders>
              <w:top w:val="single" w:sz="12" w:space="0" w:color="auto"/>
              <w:bottom w:val="single" w:sz="8" w:space="0" w:color="auto"/>
            </w:tcBorders>
            <w:vAlign w:val="center"/>
          </w:tcPr>
          <w:p w:rsidR="0062148B">
            <w:pPr>
              <w:spacing w:line="320" w:lineRule="atLeast"/>
              <w:ind w:firstLine="105" w:firstLineChars="50"/>
              <w:suppressOverlap/>
              <w:rPr>
                <w:rFonts w:ascii="宋体" w:hAnsi="宋体" w:hint="eastAsia"/>
                <w:szCs w:val="21"/>
              </w:rPr>
            </w:pPr>
            <w:r>
              <w:rPr>
                <w:rFonts w:ascii="宋体" w:hAnsi="宋体" w:hint="eastAsia"/>
                <w:szCs w:val="21"/>
              </w:rPr>
              <w:t>主要户型</w:t>
            </w:r>
          </w:p>
        </w:tc>
        <w:tc>
          <w:tcPr>
            <w:tcW w:w="1620" w:type="dxa"/>
            <w:tcBorders>
              <w:top w:val="single" w:sz="12" w:space="0" w:color="auto"/>
              <w:bottom w:val="single" w:sz="8" w:space="0" w:color="auto"/>
              <w:right w:val="nil"/>
            </w:tcBorders>
            <w:vAlign w:val="center"/>
          </w:tcPr>
          <w:p w:rsidR="0062148B">
            <w:pPr>
              <w:spacing w:line="320" w:lineRule="atLeast"/>
              <w:ind w:firstLine="105" w:firstLineChars="50"/>
              <w:suppressOverlap/>
              <w:jc w:val="center"/>
              <w:rPr>
                <w:rFonts w:ascii="宋体" w:hAnsi="宋体" w:hint="eastAsia"/>
                <w:szCs w:val="21"/>
              </w:rPr>
            </w:pPr>
            <w:r>
              <w:rPr>
                <w:rFonts w:ascii="宋体" w:hAnsi="宋体" w:hint="eastAsia"/>
                <w:szCs w:val="21"/>
              </w:rPr>
              <w:t>产品形式</w:t>
            </w:r>
          </w:p>
        </w:tc>
        <w:tc>
          <w:tcPr>
            <w:tcW w:w="1651" w:type="dxa"/>
            <w:tcBorders>
              <w:top w:val="single" w:sz="12" w:space="0" w:color="auto"/>
              <w:bottom w:val="single" w:sz="8" w:space="0" w:color="auto"/>
              <w:right w:val="nil"/>
            </w:tcBorders>
            <w:vAlign w:val="center"/>
          </w:tcPr>
          <w:p w:rsidR="0062148B">
            <w:pPr>
              <w:spacing w:line="320" w:lineRule="atLeast"/>
              <w:ind w:firstLine="210" w:firstLineChars="100"/>
              <w:suppressOverlap/>
              <w:jc w:val="center"/>
              <w:rPr>
                <w:rFonts w:ascii="宋体" w:hAnsi="宋体" w:hint="eastAsia"/>
                <w:szCs w:val="21"/>
              </w:rPr>
            </w:pPr>
            <w:r>
              <w:rPr>
                <w:rFonts w:ascii="宋体" w:hAnsi="宋体" w:hint="eastAsia"/>
                <w:szCs w:val="21"/>
              </w:rPr>
              <w:t>平均价格</w:t>
            </w:r>
          </w:p>
        </w:tc>
      </w:tr>
      <w:tr>
        <w:tblPrEx>
          <w:tblW w:w="0" w:type="auto"/>
          <w:tblInd w:w="0" w:type="dxa"/>
          <w:tblLayout w:type="fixed"/>
          <w:tblLook w:val="0000"/>
        </w:tblPrEx>
        <w:trPr>
          <w:trHeight w:val="491"/>
        </w:trPr>
        <w:tc>
          <w:tcPr>
            <w:tcW w:w="1596" w:type="dxa"/>
            <w:tcBorders>
              <w:top w:val="single" w:sz="8" w:space="0" w:color="auto"/>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中房瑞致</w:t>
            </w:r>
          </w:p>
        </w:tc>
        <w:tc>
          <w:tcPr>
            <w:tcW w:w="3012" w:type="dxa"/>
            <w:gridSpan w:val="2"/>
            <w:tcBorders>
              <w:top w:val="single" w:sz="8" w:space="0" w:color="auto"/>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望龙小区</w:t>
            </w:r>
            <w:r>
              <w:rPr>
                <w:rFonts w:ascii="宋体" w:hAnsi="宋体" w:hint="eastAsia"/>
                <w:szCs w:val="21"/>
              </w:rPr>
              <w:t xml:space="preserve">      </w:t>
            </w:r>
            <w:r>
              <w:rPr>
                <w:rFonts w:ascii="宋体" w:hAnsi="宋体" w:hint="eastAsia"/>
                <w:color w:val="000000"/>
                <w:szCs w:val="21"/>
              </w:rPr>
              <w:t>3室2厅</w:t>
            </w:r>
          </w:p>
        </w:tc>
        <w:tc>
          <w:tcPr>
            <w:tcW w:w="1620" w:type="dxa"/>
            <w:tcBorders>
              <w:top w:val="single" w:sz="8" w:space="0" w:color="auto"/>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小高层洋房</w:t>
            </w:r>
          </w:p>
        </w:tc>
        <w:tc>
          <w:tcPr>
            <w:tcW w:w="1651" w:type="dxa"/>
            <w:tcBorders>
              <w:top w:val="single" w:sz="8" w:space="0" w:color="auto"/>
              <w:left w:val="nil"/>
              <w:bottom w:val="nil"/>
              <w:right w:val="nil"/>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5600</w:t>
            </w:r>
          </w:p>
        </w:tc>
      </w:tr>
      <w:tr>
        <w:tblPrEx>
          <w:tblW w:w="0" w:type="auto"/>
          <w:tblInd w:w="0" w:type="dxa"/>
          <w:tblLayout w:type="fixed"/>
          <w:tblLook w:val="0000"/>
        </w:tblPrEx>
        <w:trPr>
          <w:trHeight w:val="563"/>
        </w:trPr>
        <w:tc>
          <w:tcPr>
            <w:tcW w:w="1596" w:type="dxa"/>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辉煌国际城</w:t>
            </w:r>
          </w:p>
        </w:tc>
        <w:tc>
          <w:tcPr>
            <w:tcW w:w="3012" w:type="dxa"/>
            <w:gridSpan w:val="2"/>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东屯渡东</w:t>
            </w:r>
            <w:r>
              <w:rPr>
                <w:rFonts w:ascii="宋体" w:hAnsi="宋体" w:hint="eastAsia"/>
                <w:szCs w:val="21"/>
              </w:rPr>
              <w:t xml:space="preserve">      </w:t>
            </w:r>
            <w:r>
              <w:rPr>
                <w:rFonts w:ascii="宋体" w:hAnsi="宋体" w:hint="eastAsia"/>
                <w:color w:val="000000"/>
                <w:szCs w:val="21"/>
              </w:rPr>
              <w:t>3室2厅</w:t>
            </w:r>
          </w:p>
        </w:tc>
        <w:tc>
          <w:tcPr>
            <w:tcW w:w="1620" w:type="dxa"/>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高层</w:t>
            </w:r>
          </w:p>
        </w:tc>
        <w:tc>
          <w:tcPr>
            <w:tcW w:w="1651" w:type="dxa"/>
            <w:tcBorders>
              <w:top w:val="nil"/>
              <w:left w:val="nil"/>
              <w:bottom w:val="nil"/>
              <w:right w:val="nil"/>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6800</w:t>
            </w:r>
          </w:p>
        </w:tc>
      </w:tr>
      <w:tr>
        <w:tblPrEx>
          <w:tblW w:w="0" w:type="auto"/>
          <w:tblInd w:w="0" w:type="dxa"/>
          <w:tblLayout w:type="fixed"/>
          <w:tblLook w:val="0000"/>
        </w:tblPrEx>
        <w:trPr>
          <w:trHeight w:val="605"/>
        </w:trPr>
        <w:tc>
          <w:tcPr>
            <w:tcW w:w="1596" w:type="dxa"/>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长房白沙湾</w:t>
            </w:r>
          </w:p>
        </w:tc>
        <w:tc>
          <w:tcPr>
            <w:tcW w:w="3012" w:type="dxa"/>
            <w:gridSpan w:val="2"/>
            <w:tcBorders>
              <w:top w:val="nil"/>
              <w:left w:val="nil"/>
              <w:bottom w:val="nil"/>
              <w:right w:val="nil"/>
            </w:tcBorders>
            <w:vAlign w:val="center"/>
          </w:tcPr>
          <w:p w:rsidR="0062148B">
            <w:pPr>
              <w:spacing w:line="320" w:lineRule="atLeast"/>
              <w:ind w:firstLine="105" w:firstLineChars="50"/>
              <w:suppressOverlap/>
              <w:rPr>
                <w:rFonts w:ascii="宋体" w:hAnsi="宋体" w:hint="eastAsia"/>
                <w:szCs w:val="21"/>
              </w:rPr>
            </w:pPr>
            <w:r>
              <w:rPr>
                <w:rFonts w:ascii="宋体" w:hAnsi="宋体" w:hint="eastAsia"/>
                <w:color w:val="000000"/>
                <w:szCs w:val="21"/>
              </w:rPr>
              <w:t>万佳丽中路</w:t>
            </w:r>
            <w:r>
              <w:rPr>
                <w:rFonts w:ascii="宋体" w:hAnsi="宋体" w:hint="eastAsia"/>
                <w:szCs w:val="21"/>
              </w:rPr>
              <w:t xml:space="preserve">      </w:t>
            </w:r>
            <w:r>
              <w:rPr>
                <w:rFonts w:ascii="宋体" w:hAnsi="宋体" w:hint="eastAsia"/>
                <w:color w:val="000000"/>
                <w:szCs w:val="21"/>
              </w:rPr>
              <w:t>4室2厅</w:t>
            </w:r>
          </w:p>
        </w:tc>
        <w:tc>
          <w:tcPr>
            <w:tcW w:w="1620" w:type="dxa"/>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小高层</w:t>
            </w:r>
          </w:p>
        </w:tc>
        <w:tc>
          <w:tcPr>
            <w:tcW w:w="1651" w:type="dxa"/>
            <w:tcBorders>
              <w:top w:val="nil"/>
              <w:left w:val="nil"/>
              <w:bottom w:val="nil"/>
              <w:right w:val="nil"/>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7200</w:t>
            </w:r>
          </w:p>
        </w:tc>
      </w:tr>
      <w:tr>
        <w:tblPrEx>
          <w:tblW w:w="0" w:type="auto"/>
          <w:tblInd w:w="0" w:type="dxa"/>
          <w:tblLayout w:type="fixed"/>
          <w:tblLook w:val="0000"/>
        </w:tblPrEx>
        <w:trPr>
          <w:trHeight w:val="511"/>
        </w:trPr>
        <w:tc>
          <w:tcPr>
            <w:tcW w:w="1596" w:type="dxa"/>
            <w:tcBorders>
              <w:top w:val="nil"/>
              <w:left w:val="nil"/>
              <w:bottom w:val="nil"/>
              <w:right w:val="nil"/>
            </w:tcBorders>
            <w:vAlign w:val="center"/>
          </w:tcPr>
          <w:p w:rsidR="0062148B">
            <w:pPr>
              <w:spacing w:line="320" w:lineRule="atLeast"/>
              <w:ind w:firstLine="105" w:firstLineChars="50"/>
              <w:suppressOverlap/>
              <w:jc w:val="center"/>
              <w:rPr>
                <w:rFonts w:ascii="宋体" w:hAnsi="宋体" w:hint="eastAsia"/>
                <w:szCs w:val="21"/>
              </w:rPr>
            </w:pPr>
            <w:r>
              <w:rPr>
                <w:rFonts w:ascii="宋体" w:hAnsi="宋体" w:hint="eastAsia"/>
                <w:color w:val="000000"/>
                <w:szCs w:val="21"/>
              </w:rPr>
              <w:t>佳兆业</w:t>
            </w:r>
          </w:p>
        </w:tc>
        <w:tc>
          <w:tcPr>
            <w:tcW w:w="3012" w:type="dxa"/>
            <w:gridSpan w:val="2"/>
            <w:tcBorders>
              <w:top w:val="nil"/>
              <w:left w:val="nil"/>
              <w:bottom w:val="nil"/>
              <w:right w:val="nil"/>
            </w:tcBorders>
            <w:vAlign w:val="center"/>
          </w:tcPr>
          <w:p w:rsidR="0062148B">
            <w:pPr>
              <w:spacing w:line="320" w:lineRule="atLeast"/>
              <w:ind w:firstLine="105" w:firstLineChars="50"/>
              <w:suppressOverlap/>
              <w:rPr>
                <w:rFonts w:ascii="宋体" w:hAnsi="宋体" w:hint="eastAsia"/>
                <w:szCs w:val="21"/>
              </w:rPr>
            </w:pPr>
            <w:r>
              <w:rPr>
                <w:rFonts w:ascii="宋体" w:hAnsi="宋体" w:hint="eastAsia"/>
                <w:color w:val="000000"/>
                <w:szCs w:val="21"/>
              </w:rPr>
              <w:t>万佳丽中路</w:t>
            </w:r>
            <w:r>
              <w:rPr>
                <w:rFonts w:ascii="宋体" w:hAnsi="宋体" w:hint="eastAsia"/>
                <w:szCs w:val="21"/>
              </w:rPr>
              <w:t xml:space="preserve">      </w:t>
            </w:r>
            <w:r>
              <w:rPr>
                <w:rFonts w:ascii="宋体" w:hAnsi="宋体" w:hint="eastAsia"/>
                <w:color w:val="000000"/>
                <w:szCs w:val="21"/>
              </w:rPr>
              <w:t>4室2厅</w:t>
            </w:r>
          </w:p>
        </w:tc>
        <w:tc>
          <w:tcPr>
            <w:tcW w:w="1620" w:type="dxa"/>
            <w:tcBorders>
              <w:top w:val="nil"/>
              <w:left w:val="nil"/>
              <w:bottom w:val="nil"/>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小高层</w:t>
            </w:r>
          </w:p>
        </w:tc>
        <w:tc>
          <w:tcPr>
            <w:tcW w:w="1651" w:type="dxa"/>
            <w:tcBorders>
              <w:top w:val="nil"/>
              <w:left w:val="nil"/>
              <w:bottom w:val="nil"/>
              <w:right w:val="nil"/>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8000</w:t>
            </w:r>
          </w:p>
        </w:tc>
      </w:tr>
      <w:tr>
        <w:tblPrEx>
          <w:tblW w:w="0" w:type="auto"/>
          <w:tblInd w:w="0" w:type="dxa"/>
          <w:tblLayout w:type="fixed"/>
          <w:tblLook w:val="0000"/>
        </w:tblPrEx>
        <w:trPr>
          <w:trHeight w:val="558"/>
        </w:trPr>
        <w:tc>
          <w:tcPr>
            <w:tcW w:w="1596" w:type="dxa"/>
            <w:tcBorders>
              <w:top w:val="nil"/>
              <w:left w:val="nil"/>
              <w:bottom w:val="single" w:sz="12" w:space="0" w:color="auto"/>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湘域中心</w:t>
            </w:r>
          </w:p>
        </w:tc>
        <w:tc>
          <w:tcPr>
            <w:tcW w:w="3012" w:type="dxa"/>
            <w:gridSpan w:val="2"/>
            <w:tcBorders>
              <w:top w:val="nil"/>
              <w:left w:val="nil"/>
              <w:bottom w:val="single" w:sz="12" w:space="0" w:color="auto"/>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望龙小区      3室1厅</w:t>
            </w:r>
          </w:p>
        </w:tc>
        <w:tc>
          <w:tcPr>
            <w:tcW w:w="1620" w:type="dxa"/>
            <w:tcBorders>
              <w:top w:val="nil"/>
              <w:left w:val="nil"/>
              <w:bottom w:val="single" w:sz="12" w:space="0" w:color="auto"/>
              <w:right w:val="nil"/>
            </w:tcBorders>
            <w:vAlign w:val="center"/>
          </w:tcPr>
          <w:p w:rsidR="0062148B">
            <w:pPr>
              <w:spacing w:line="320" w:lineRule="atLeast"/>
              <w:suppressOverlap/>
              <w:jc w:val="center"/>
              <w:rPr>
                <w:rFonts w:ascii="宋体" w:hAnsi="宋体" w:hint="eastAsia"/>
                <w:szCs w:val="21"/>
              </w:rPr>
            </w:pPr>
            <w:r>
              <w:rPr>
                <w:rFonts w:ascii="宋体" w:hAnsi="宋体" w:hint="eastAsia"/>
                <w:color w:val="000000"/>
                <w:szCs w:val="21"/>
              </w:rPr>
              <w:t>小高层</w:t>
            </w:r>
          </w:p>
        </w:tc>
        <w:tc>
          <w:tcPr>
            <w:tcW w:w="1651" w:type="dxa"/>
            <w:tcBorders>
              <w:top w:val="nil"/>
              <w:left w:val="nil"/>
              <w:bottom w:val="single" w:sz="12" w:space="0" w:color="auto"/>
              <w:right w:val="nil"/>
            </w:tcBorders>
            <w:vAlign w:val="center"/>
          </w:tcPr>
          <w:p w:rsidR="0062148B">
            <w:pPr>
              <w:spacing w:line="320" w:lineRule="atLeast"/>
              <w:ind w:firstLine="420" w:firstLineChars="200"/>
              <w:suppressOverlap/>
              <w:rPr>
                <w:rFonts w:ascii="宋体" w:hAnsi="宋体" w:hint="eastAsia"/>
                <w:szCs w:val="21"/>
              </w:rPr>
            </w:pPr>
            <w:r>
              <w:rPr>
                <w:rFonts w:ascii="宋体" w:hAnsi="宋体" w:hint="eastAsia"/>
                <w:szCs w:val="21"/>
              </w:rPr>
              <w:t xml:space="preserve">4200   </w:t>
            </w:r>
          </w:p>
        </w:tc>
      </w:tr>
    </w:tbl>
    <w:p w:rsidR="0062148B">
      <w:pPr>
        <w:spacing w:line="320" w:lineRule="atLeast"/>
        <w:ind w:firstLine="2310" w:firstLineChars="1100"/>
        <w:rPr>
          <w:rFonts w:hint="eastAsia"/>
          <w:bCs/>
          <w:color w:val="000000"/>
          <w:kern w:val="0"/>
          <w:szCs w:val="21"/>
        </w:rPr>
      </w:pPr>
      <w:r>
        <w:rPr>
          <w:bCs/>
          <w:color w:val="000000"/>
          <w:kern w:val="0"/>
          <w:szCs w:val="21"/>
        </w:rPr>
        <w:t>Table2Statement of competition Property</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该片区楼盘是芙蓉区价格水平目前比拟高、开发水平较高的地区。主要范围指浏阳河一带的区域与东岸建材市场区域开发楼盘的主要特征如下：</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浏阳河风光带是其最主要的卖点，既能享受河边风景，又能远离城市喧闹。开发的楼盘档次较高，多为别墅、小高层等中、高档住宅，价格定位相应较高。该片区开发产品面积较大，立面多为欧式或现代风格，内部配套设施完善。此区域楼盘目标群体主要为中高收入阶层，外地及市郊县镇置业者在消费群所占一定比重。主要目标客户那么是建材商的老板。</w:t>
      </w:r>
    </w:p>
    <w:p w:rsidR="0062148B">
      <w:pPr>
        <w:spacing w:line="440" w:lineRule="exact"/>
        <w:ind w:firstLine="480" w:firstLineChars="200"/>
        <w:rPr>
          <w:rFonts w:ascii="宋体" w:hAnsi="宋体" w:hint="eastAsia"/>
          <w:bCs/>
          <w:color w:val="000000"/>
          <w:sz w:val="24"/>
        </w:rPr>
        <w:sectPr>
          <w:type w:val="nextPage"/>
          <w:pgSz w:w="11906" w:h="16838"/>
          <w:pgMar w:top="1440" w:right="1800" w:bottom="1440" w:left="1800" w:header="851" w:footer="992" w:gutter="0"/>
          <w:pgNumType w:start="7"/>
          <w:cols w:space="720"/>
          <w:titlePg w:val="0"/>
          <w:docGrid w:type="lines" w:linePitch="312"/>
        </w:sectPr>
      </w:pPr>
      <w:r>
        <w:rPr>
          <w:rFonts w:ascii="宋体" w:hAnsi="宋体" w:hint="eastAsia"/>
          <w:bCs/>
          <w:color w:val="000000"/>
          <w:sz w:val="24"/>
        </w:rPr>
        <w:t>通过分析片区房地产市场需求，保证工程开发符合市场需求，我对周围竞品楼盘做了开发程度、卖点以及销售率做了大量的调查以及分析。</w:t>
      </w:r>
    </w:p>
    <w:p w:rsidR="0062148B">
      <w:pPr>
        <w:spacing w:line="440" w:lineRule="exact"/>
        <w:ind w:firstLine="480" w:firstLineChars="200"/>
        <w:rPr>
          <w:rFonts w:ascii="宋体" w:hAnsi="宋体" w:hint="eastAsia"/>
          <w:bCs/>
          <w:color w:val="000000"/>
          <w:sz w:val="24"/>
        </w:rPr>
      </w:pPr>
      <w:r>
        <w:rPr>
          <w:rFonts w:ascii="宋体" w:hAnsi="宋体" w:hint="eastAsia"/>
          <w:bCs/>
          <w:color w:val="000000"/>
          <w:sz w:val="24"/>
        </w:rPr>
        <w:t>如表2所示：</w:t>
      </w:r>
    </w:p>
    <w:p w:rsidR="0062148B">
      <w:pPr>
        <w:spacing w:line="320" w:lineRule="exact"/>
        <w:jc w:val="center"/>
        <w:rPr>
          <w:rFonts w:ascii="黑体" w:eastAsia="黑体" w:hAnsi="宋体" w:hint="eastAsia"/>
          <w:bCs/>
          <w:color w:val="000000"/>
          <w:szCs w:val="21"/>
        </w:rPr>
      </w:pPr>
      <w:r>
        <w:rPr>
          <w:rFonts w:ascii="黑体" w:eastAsia="黑体" w:hAnsi="宋体" w:hint="eastAsia"/>
          <w:bCs/>
          <w:color w:val="000000"/>
          <w:szCs w:val="21"/>
        </w:rPr>
        <w:t>表3  竞品楼盘销售程度表</w:t>
      </w:r>
    </w:p>
    <w:tbl>
      <w:tblPr>
        <w:tblStyle w:val="TableNormal"/>
        <w:tblpPr w:leftFromText="180" w:rightFromText="180" w:vertAnchor="text" w:horzAnchor="margin" w:tblpXSpec="center" w:tblpX="1" w:tblpY="490"/>
        <w:tblOverlap w:val="never"/>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
      <w:tblGrid>
        <w:gridCol w:w="1596"/>
        <w:gridCol w:w="1932"/>
        <w:gridCol w:w="2340"/>
        <w:gridCol w:w="2011"/>
      </w:tblGrid>
      <w:tr>
        <w:tblPrEx>
          <w:tblW w:w="0" w:type="auto"/>
          <w:tblInd w:w="0"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ayout w:type="fixed"/>
          <w:tblLook w:val="0000"/>
        </w:tblPrEx>
        <w:trPr>
          <w:trHeight w:val="593"/>
        </w:trPr>
        <w:tc>
          <w:tcPr>
            <w:tcW w:w="1596" w:type="dxa"/>
            <w:tcBorders>
              <w:top w:val="single" w:sz="12" w:space="0" w:color="auto"/>
              <w:left w:val="nil"/>
              <w:bottom w:val="single" w:sz="8" w:space="0" w:color="auto"/>
            </w:tcBorders>
            <w:vAlign w:val="center"/>
          </w:tcPr>
          <w:p w:rsidR="0062148B">
            <w:pPr>
              <w:spacing w:line="440" w:lineRule="exact"/>
              <w:suppressOverlap/>
              <w:jc w:val="center"/>
              <w:rPr>
                <w:rFonts w:ascii="宋体" w:hAnsi="宋体" w:hint="eastAsia"/>
                <w:szCs w:val="21"/>
              </w:rPr>
            </w:pPr>
            <w:r>
              <w:rPr>
                <w:rFonts w:ascii="宋体" w:hAnsi="宋体" w:hint="eastAsia"/>
                <w:szCs w:val="21"/>
              </w:rPr>
              <w:t>工程名称</w:t>
            </w:r>
          </w:p>
        </w:tc>
        <w:tc>
          <w:tcPr>
            <w:tcW w:w="1932" w:type="dxa"/>
            <w:tcBorders>
              <w:top w:val="single" w:sz="12" w:space="0" w:color="auto"/>
              <w:bottom w:val="single" w:sz="8" w:space="0" w:color="auto"/>
            </w:tcBorders>
            <w:vAlign w:val="center"/>
          </w:tcPr>
          <w:p w:rsidR="0062148B">
            <w:pPr>
              <w:spacing w:line="440" w:lineRule="exact"/>
              <w:suppressOverlap/>
              <w:jc w:val="center"/>
              <w:rPr>
                <w:rFonts w:ascii="宋体" w:hAnsi="宋体" w:hint="eastAsia"/>
                <w:szCs w:val="21"/>
              </w:rPr>
            </w:pPr>
            <w:r>
              <w:rPr>
                <w:rFonts w:ascii="宋体" w:hAnsi="宋体" w:hint="eastAsia"/>
                <w:szCs w:val="21"/>
              </w:rPr>
              <w:t>工程建设程度</w:t>
            </w:r>
          </w:p>
        </w:tc>
        <w:tc>
          <w:tcPr>
            <w:tcW w:w="2340" w:type="dxa"/>
            <w:tcBorders>
              <w:top w:val="single" w:sz="12" w:space="0" w:color="auto"/>
              <w:bottom w:val="single" w:sz="8" w:space="0" w:color="auto"/>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szCs w:val="21"/>
              </w:rPr>
              <w:t>卖点</w:t>
            </w:r>
          </w:p>
        </w:tc>
        <w:tc>
          <w:tcPr>
            <w:tcW w:w="2011" w:type="dxa"/>
            <w:tcBorders>
              <w:top w:val="single" w:sz="12" w:space="0" w:color="auto"/>
              <w:bottom w:val="single" w:sz="8" w:space="0" w:color="auto"/>
              <w:right w:val="nil"/>
            </w:tcBorders>
            <w:vAlign w:val="center"/>
          </w:tcPr>
          <w:p w:rsidR="0062148B">
            <w:pPr>
              <w:spacing w:line="440" w:lineRule="exact"/>
              <w:ind w:firstLine="210" w:firstLineChars="100"/>
              <w:suppressOverlap/>
              <w:jc w:val="center"/>
              <w:rPr>
                <w:rFonts w:ascii="宋体" w:hAnsi="宋体" w:hint="eastAsia"/>
                <w:szCs w:val="21"/>
              </w:rPr>
            </w:pPr>
            <w:r>
              <w:rPr>
                <w:rFonts w:ascii="宋体" w:hAnsi="宋体" w:hint="eastAsia"/>
                <w:szCs w:val="21"/>
              </w:rPr>
              <w:t>销售率</w:t>
            </w:r>
          </w:p>
        </w:tc>
      </w:tr>
      <w:tr>
        <w:tblPrEx>
          <w:tblW w:w="0" w:type="auto"/>
          <w:tblInd w:w="0" w:type="dxa"/>
          <w:tblLayout w:type="fixed"/>
          <w:tblLook w:val="0000"/>
        </w:tblPrEx>
        <w:trPr>
          <w:trHeight w:val="491"/>
        </w:trPr>
        <w:tc>
          <w:tcPr>
            <w:tcW w:w="1596" w:type="dxa"/>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color w:val="000000"/>
                <w:szCs w:val="21"/>
              </w:rPr>
              <w:t>中房瑞致</w:t>
            </w:r>
          </w:p>
        </w:tc>
        <w:tc>
          <w:tcPr>
            <w:tcW w:w="1932" w:type="dxa"/>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第二期开工</w:t>
            </w:r>
          </w:p>
        </w:tc>
        <w:tc>
          <w:tcPr>
            <w:tcW w:w="2340" w:type="dxa"/>
            <w:tcBorders>
              <w:top w:val="single" w:sz="8" w:space="0" w:color="auto"/>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交通便利，价格适中</w:t>
            </w:r>
          </w:p>
        </w:tc>
        <w:tc>
          <w:tcPr>
            <w:tcW w:w="2011" w:type="dxa"/>
            <w:tcBorders>
              <w:top w:val="single" w:sz="8" w:space="0" w:color="auto"/>
              <w:left w:val="nil"/>
              <w:bottom w:val="nil"/>
              <w:right w:val="nil"/>
            </w:tcBorders>
            <w:vAlign w:val="center"/>
          </w:tcPr>
          <w:p w:rsidR="0062148B">
            <w:pPr>
              <w:spacing w:line="440" w:lineRule="exact"/>
              <w:suppressOverlap/>
              <w:rPr>
                <w:rFonts w:ascii="宋体" w:hAnsi="宋体" w:hint="eastAsia"/>
                <w:szCs w:val="21"/>
              </w:rPr>
            </w:pPr>
            <w:r>
              <w:rPr>
                <w:rFonts w:ascii="宋体" w:hAnsi="宋体" w:hint="eastAsia"/>
                <w:szCs w:val="21"/>
              </w:rPr>
              <w:t>一期98%，二期78%</w:t>
            </w:r>
          </w:p>
        </w:tc>
      </w:tr>
      <w:tr>
        <w:tblPrEx>
          <w:tblW w:w="0" w:type="auto"/>
          <w:tblInd w:w="0" w:type="dxa"/>
          <w:tblLayout w:type="fixed"/>
          <w:tblLook w:val="0000"/>
        </w:tblPrEx>
        <w:trPr>
          <w:trHeight w:val="563"/>
        </w:trPr>
        <w:tc>
          <w:tcPr>
            <w:tcW w:w="1596"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color w:val="000000"/>
                <w:szCs w:val="21"/>
              </w:rPr>
              <w:t>辉煌国际城</w:t>
            </w:r>
          </w:p>
        </w:tc>
        <w:tc>
          <w:tcPr>
            <w:tcW w:w="1932"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第二期开工</w:t>
            </w:r>
          </w:p>
        </w:tc>
        <w:tc>
          <w:tcPr>
            <w:tcW w:w="2340"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环境优美临河</w:t>
            </w:r>
          </w:p>
        </w:tc>
        <w:tc>
          <w:tcPr>
            <w:tcW w:w="2011" w:type="dxa"/>
            <w:tcBorders>
              <w:top w:val="nil"/>
              <w:left w:val="nil"/>
              <w:bottom w:val="nil"/>
              <w:right w:val="nil"/>
            </w:tcBorders>
            <w:vAlign w:val="center"/>
          </w:tcPr>
          <w:p w:rsidR="0062148B">
            <w:pPr>
              <w:spacing w:line="440" w:lineRule="exact"/>
              <w:suppressOverlap/>
              <w:rPr>
                <w:rFonts w:ascii="宋体" w:hAnsi="宋体" w:hint="eastAsia"/>
                <w:szCs w:val="21"/>
              </w:rPr>
            </w:pPr>
            <w:r>
              <w:rPr>
                <w:rFonts w:ascii="宋体" w:hAnsi="宋体" w:hint="eastAsia"/>
                <w:szCs w:val="21"/>
              </w:rPr>
              <w:t>一期95%，二期79%</w:t>
            </w:r>
          </w:p>
        </w:tc>
      </w:tr>
      <w:tr>
        <w:tblPrEx>
          <w:tblW w:w="0" w:type="auto"/>
          <w:tblInd w:w="0" w:type="dxa"/>
          <w:tblLayout w:type="fixed"/>
          <w:tblLook w:val="0000"/>
        </w:tblPrEx>
        <w:trPr>
          <w:trHeight w:val="605"/>
        </w:trPr>
        <w:tc>
          <w:tcPr>
            <w:tcW w:w="1596"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color w:val="000000"/>
                <w:szCs w:val="21"/>
              </w:rPr>
              <w:t>长房白沙湾</w:t>
            </w:r>
          </w:p>
        </w:tc>
        <w:tc>
          <w:tcPr>
            <w:tcW w:w="1932"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第一期完工</w:t>
            </w:r>
          </w:p>
        </w:tc>
        <w:tc>
          <w:tcPr>
            <w:tcW w:w="2340"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地区开发程度高</w:t>
            </w:r>
          </w:p>
        </w:tc>
        <w:tc>
          <w:tcPr>
            <w:tcW w:w="2011" w:type="dxa"/>
            <w:tcBorders>
              <w:top w:val="nil"/>
              <w:left w:val="nil"/>
              <w:bottom w:val="nil"/>
              <w:right w:val="nil"/>
            </w:tcBorders>
            <w:vAlign w:val="center"/>
          </w:tcPr>
          <w:p w:rsidR="0062148B">
            <w:pPr>
              <w:spacing w:line="440" w:lineRule="exact"/>
              <w:ind w:firstLine="525" w:firstLineChars="250"/>
              <w:suppressOverlap/>
              <w:rPr>
                <w:rFonts w:ascii="宋体" w:hAnsi="宋体" w:hint="eastAsia"/>
                <w:szCs w:val="21"/>
              </w:rPr>
            </w:pPr>
            <w:r>
              <w:rPr>
                <w:rFonts w:ascii="宋体" w:hAnsi="宋体" w:hint="eastAsia"/>
                <w:szCs w:val="21"/>
              </w:rPr>
              <w:t>一期86%</w:t>
            </w:r>
          </w:p>
        </w:tc>
      </w:tr>
      <w:tr>
        <w:tblPrEx>
          <w:tblW w:w="0" w:type="auto"/>
          <w:tblInd w:w="0" w:type="dxa"/>
          <w:tblLayout w:type="fixed"/>
          <w:tblLook w:val="0000"/>
        </w:tblPrEx>
        <w:trPr>
          <w:trHeight w:val="511"/>
        </w:trPr>
        <w:tc>
          <w:tcPr>
            <w:tcW w:w="1596" w:type="dxa"/>
            <w:tcBorders>
              <w:top w:val="nil"/>
              <w:left w:val="nil"/>
              <w:bottom w:val="nil"/>
              <w:right w:val="nil"/>
            </w:tcBorders>
            <w:vAlign w:val="center"/>
          </w:tcPr>
          <w:p w:rsidR="0062148B">
            <w:pPr>
              <w:spacing w:line="440" w:lineRule="exact"/>
              <w:ind w:firstLine="105" w:firstLineChars="50"/>
              <w:suppressOverlap/>
              <w:jc w:val="center"/>
              <w:rPr>
                <w:rFonts w:ascii="宋体" w:hAnsi="宋体" w:hint="eastAsia"/>
                <w:szCs w:val="21"/>
              </w:rPr>
            </w:pPr>
            <w:r>
              <w:rPr>
                <w:rFonts w:ascii="宋体" w:hAnsi="宋体" w:hint="eastAsia"/>
                <w:color w:val="000000"/>
                <w:szCs w:val="21"/>
              </w:rPr>
              <w:t>佳兆业</w:t>
            </w:r>
          </w:p>
        </w:tc>
        <w:tc>
          <w:tcPr>
            <w:tcW w:w="1932"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第一期完工</w:t>
            </w:r>
          </w:p>
        </w:tc>
        <w:tc>
          <w:tcPr>
            <w:tcW w:w="2340"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品牌好、地区繁荣</w:t>
            </w:r>
          </w:p>
        </w:tc>
        <w:tc>
          <w:tcPr>
            <w:tcW w:w="2011" w:type="dxa"/>
            <w:tcBorders>
              <w:top w:val="nil"/>
              <w:left w:val="nil"/>
              <w:bottom w:val="nil"/>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一期88%</w:t>
            </w:r>
          </w:p>
        </w:tc>
      </w:tr>
      <w:tr>
        <w:tblPrEx>
          <w:tblW w:w="0" w:type="auto"/>
          <w:tblInd w:w="0" w:type="dxa"/>
          <w:tblLayout w:type="fixed"/>
          <w:tblLook w:val="0000"/>
        </w:tblPrEx>
        <w:trPr>
          <w:trHeight w:val="558"/>
        </w:trPr>
        <w:tc>
          <w:tcPr>
            <w:tcW w:w="1596" w:type="dxa"/>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color w:val="000000"/>
                <w:szCs w:val="21"/>
              </w:rPr>
              <w:t>湘域中心</w:t>
            </w:r>
          </w:p>
        </w:tc>
        <w:tc>
          <w:tcPr>
            <w:tcW w:w="1932" w:type="dxa"/>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第一期开工</w:t>
            </w:r>
          </w:p>
        </w:tc>
        <w:tc>
          <w:tcPr>
            <w:tcW w:w="2340" w:type="dxa"/>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价格廉价</w:t>
            </w:r>
          </w:p>
        </w:tc>
        <w:tc>
          <w:tcPr>
            <w:tcW w:w="2011" w:type="dxa"/>
            <w:tcBorders>
              <w:top w:val="nil"/>
              <w:left w:val="nil"/>
              <w:bottom w:val="single" w:sz="12" w:space="0" w:color="auto"/>
              <w:right w:val="nil"/>
            </w:tcBorders>
            <w:vAlign w:val="center"/>
          </w:tcPr>
          <w:p w:rsidR="0062148B">
            <w:pPr>
              <w:spacing w:line="440" w:lineRule="exact"/>
              <w:suppressOverlap/>
              <w:jc w:val="center"/>
              <w:rPr>
                <w:rFonts w:ascii="宋体" w:hAnsi="宋体" w:hint="eastAsia"/>
                <w:szCs w:val="21"/>
              </w:rPr>
            </w:pPr>
            <w:r>
              <w:rPr>
                <w:rFonts w:ascii="宋体" w:hAnsi="宋体" w:hint="eastAsia"/>
                <w:szCs w:val="21"/>
              </w:rPr>
              <w:t>一期92%</w:t>
            </w:r>
          </w:p>
        </w:tc>
      </w:tr>
    </w:tbl>
    <w:p w:rsidR="0062148B">
      <w:pPr>
        <w:spacing w:line="320" w:lineRule="exact"/>
        <w:jc w:val="center"/>
        <w:rPr>
          <w:rFonts w:hint="eastAsia"/>
          <w:bCs/>
          <w:color w:val="000000"/>
          <w:szCs w:val="21"/>
        </w:rPr>
      </w:pPr>
      <w:r>
        <w:rPr>
          <w:rFonts w:hint="eastAsia"/>
          <w:bCs/>
          <w:color w:val="000000"/>
          <w:szCs w:val="21"/>
        </w:rPr>
        <w:t>Table 3  Property level of competing products sales table</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长沙房地产需求走势近期呈现以下特点：</w:t>
      </w:r>
    </w:p>
    <w:p w:rsidR="0062148B">
      <w:pPr>
        <w:widowControl/>
        <w:shd w:val="clear" w:color="auto" w:fill="FFFFFF"/>
        <w:spacing w:line="440" w:lineRule="exact"/>
        <w:ind w:firstLine="480" w:firstLineChars="200"/>
        <w:jc w:val="left"/>
        <w:rPr>
          <w:rFonts w:ascii="宋体" w:hAnsi="宋体" w:hint="eastAsia"/>
          <w:sz w:val="24"/>
        </w:rPr>
      </w:pPr>
      <w:r>
        <w:rPr>
          <w:rFonts w:ascii="宋体" w:hAnsi="宋体" w:hint="eastAsia"/>
          <w:color w:val="000000"/>
          <w:sz w:val="24"/>
        </w:rPr>
        <w:t>浏阳河附近的房地产工程中房瑞致、辉煌国际城相比拟而言是销售率很好的。说明中房瑞致与辉煌国际城这种价格适中、位置较好的工程是解决市民住房困难最好的选择。而如恒大江湾这种高档物业，适当的价格、优美的环境和开展趋势将备受市民关注，将会吸引了购房者的投资。根据周围竞品的建设程度和卖点以及销售率</w:t>
      </w:r>
      <w:r>
        <w:rPr>
          <w:rFonts w:ascii="宋体" w:hAnsi="宋体" w:hint="eastAsia"/>
          <w:shadow/>
          <w:sz w:val="24"/>
        </w:rPr>
        <w:t>对</w:t>
      </w:r>
      <w:r>
        <w:rPr>
          <w:rFonts w:ascii="宋体" w:hAnsi="宋体" w:hint="eastAsia"/>
          <w:bCs/>
          <w:sz w:val="24"/>
        </w:rPr>
        <w:t xml:space="preserve">住宅需求分析，长沙芙蓉区还有很大需求空间。 </w:t>
      </w:r>
      <w:r>
        <w:rPr>
          <w:rFonts w:ascii="宋体" w:hAnsi="宋体" w:hint="eastAsia"/>
          <w:sz w:val="24"/>
        </w:rPr>
        <w:br/>
        <w:t>　　从2023年到2023年，全市人均住房使用面积年均递增率4.4%。按此测算，2023年人均住房使用面积为20.38平方米，假设平均家庭人口为2.77人(2023年户籍平均家庭人口)，那么户均住房使用面积为56.45平方米，折算成建筑面积76.61平方米；2023年人均住房使用面积为25.28平方米，户均住房使用面积为70.03平方米，折算成建筑面积93.14平方米。这也就是说，到2023年前后，长沙家庭住房平均面积将提高到一个比拟稳定的合理水平。</w:t>
        <w:br/>
        <w:t xml:space="preserve">　　综合以上的市场调查，现阶段城市居民住宅需求的根本特征有： </w:t>
        <w:br/>
        <w:t xml:space="preserve">　　〔1〕面积及居室需求。现阶段90%以上的购房居民对住宅建筑面积的需求为60－150平方米，其中大局部居民的需求又在80－120平方米之间。 </w:t>
        <w:br/>
        <w:t xml:space="preserve">　　〔2〕住房价格承受能力。70%以上的居民认为商品住宅的适宜价格应4000-6000元/平方米。 </w:t>
        <w:br/>
        <w:t>　　〔3〕购房方式及付款方式。60%以上购房者愿意采用分期付款或按揭方式购房。在按揭类型上，</w:t>
      </w:r>
      <w:r>
        <w:rPr>
          <w:rFonts w:ascii="宋体" w:hAnsi="宋体" w:hint="eastAsia"/>
          <w:sz w:val="24"/>
        </w:rPr>
        <w:t>“</w:t>
      </w:r>
      <w:r>
        <w:rPr>
          <w:rFonts w:ascii="宋体" w:hAnsi="宋体" w:hint="eastAsia"/>
          <w:sz w:val="24"/>
        </w:rPr>
        <w:t>5成10年〞或</w:t>
      </w:r>
      <w:r>
        <w:rPr>
          <w:rFonts w:ascii="宋体" w:hAnsi="宋体" w:hint="eastAsia"/>
          <w:sz w:val="24"/>
        </w:rPr>
        <w:t>“</w:t>
      </w:r>
      <w:r>
        <w:rPr>
          <w:rFonts w:ascii="宋体" w:hAnsi="宋体" w:hint="eastAsia"/>
          <w:sz w:val="24"/>
        </w:rPr>
        <w:t>7成20年〞是大多数购房者的选择。</w:t>
      </w:r>
    </w:p>
    <w:p w:rsidR="0062148B">
      <w:pPr>
        <w:widowControl/>
        <w:shd w:val="clear" w:color="auto" w:fill="FFFFFF"/>
        <w:spacing w:line="360" w:lineRule="auto"/>
        <w:ind w:firstLine="480" w:firstLineChars="200"/>
        <w:jc w:val="left"/>
        <w:rPr>
          <w:rFonts w:ascii="宋体" w:hAnsi="宋体" w:hint="eastAsia"/>
          <w:sz w:val="24"/>
        </w:rPr>
        <w:sectPr>
          <w:type w:val="nextPage"/>
          <w:pgSz w:w="11906" w:h="16838"/>
          <w:pgMar w:top="1440" w:right="1800" w:bottom="1440" w:left="1800" w:header="851" w:footer="992" w:gutter="0"/>
          <w:pgNumType w:start="8"/>
          <w:cols w:space="720"/>
          <w:titlePg w:val="0"/>
          <w:docGrid w:type="lines" w:linePitch="312"/>
        </w:sectPr>
      </w:pPr>
      <w:r>
        <w:rPr>
          <w:rFonts w:ascii="宋体" w:hAnsi="宋体" w:hint="eastAsia"/>
          <w:sz w:val="24"/>
        </w:rPr>
        <w:t>〔4〕区域选择。现阶段百分之70的居民都想买临河的住宅，但有超过百分之90的居民觉得中心地段价格太贵。</w:t>
      </w:r>
    </w:p>
    <w:p w:rsidR="0062148B">
      <w:pPr>
        <w:widowControl/>
        <w:shd w:val="clear" w:color="auto" w:fill="FFFFFF"/>
        <w:spacing w:line="360" w:lineRule="auto"/>
        <w:ind w:firstLine="480" w:firstLineChars="200"/>
        <w:jc w:val="left"/>
        <w:rPr>
          <w:rFonts w:ascii="宋体" w:hAnsi="宋体" w:hint="eastAsia"/>
          <w:b/>
          <w:shadow/>
          <w:sz w:val="24"/>
        </w:rPr>
      </w:pPr>
      <w:r>
        <w:rPr>
          <w:rFonts w:ascii="宋体" w:hAnsi="宋体" w:hint="eastAsia"/>
          <w:sz w:val="24"/>
        </w:rPr>
        <w:t>根据以上调查分析，考虑未来10年是我市建设现代化城市的关键时期，居民收入水平稳步提高，城区危旧房改造、绿化隔离地区建设、城市边缘集团和地铁开发、城市根底设施建设等因素的综合影响可以得出结论：目前在繁荣地区中市场上房价区间在6000左右80-120平方米的房子出现供不应求的情况。</w:t>
      </w:r>
    </w:p>
    <w:p w:rsidR="0062148B">
      <w:pPr>
        <w:pStyle w:val="Heading1"/>
        <w:spacing w:before="0" w:after="0" w:line="440" w:lineRule="exact"/>
        <w:rPr>
          <w:rFonts w:ascii="黑体" w:eastAsia="黑体" w:hAnsi="黑体" w:hint="eastAsia"/>
          <w:caps/>
          <w:shadow/>
          <w:color w:val="000000"/>
          <w:sz w:val="30"/>
          <w:szCs w:val="30"/>
        </w:rPr>
      </w:pPr>
      <w:bookmarkStart w:id="24" w:name="_Toc419970967"/>
      <w:bookmarkStart w:id="25" w:name="_Toc420923232"/>
      <w:r>
        <w:rPr>
          <w:rFonts w:ascii="黑体" w:eastAsia="黑体" w:hAnsi="黑体" w:hint="eastAsia"/>
          <w:b w:val="0"/>
          <w:bCs w:val="0"/>
          <w:caps/>
          <w:shadow/>
          <w:color w:val="000000"/>
          <w:sz w:val="30"/>
          <w:szCs w:val="30"/>
        </w:rPr>
        <w:t>4  产品开发建议</w:t>
      </w:r>
      <w:bookmarkStart w:id="26" w:name="_Toc16529427"/>
      <w:bookmarkEnd w:id="24"/>
      <w:bookmarkEnd w:id="25"/>
    </w:p>
    <w:p w:rsidR="0062148B">
      <w:pPr>
        <w:tabs>
          <w:tab w:val="left" w:pos="540"/>
        </w:tabs>
        <w:spacing w:line="440" w:lineRule="exact"/>
        <w:ind w:firstLine="480" w:firstLineChars="200"/>
        <w:rPr>
          <w:rFonts w:ascii="宋体" w:hAnsi="宋体" w:hint="eastAsia"/>
          <w:color w:val="000000"/>
          <w:sz w:val="24"/>
        </w:rPr>
      </w:pPr>
      <w:r>
        <w:rPr>
          <w:rFonts w:ascii="宋体" w:hAnsi="宋体" w:hint="eastAsia"/>
          <w:color w:val="000000"/>
          <w:sz w:val="24"/>
        </w:rPr>
        <w:t>本工程在价位上定位为高档住宅，在</w:t>
      </w:r>
      <w:r>
        <w:rPr>
          <w:rFonts w:ascii="宋体" w:hAnsi="宋体"/>
          <w:color w:val="000000"/>
          <w:sz w:val="24"/>
        </w:rPr>
        <w:t>房型规划设计</w:t>
      </w:r>
      <w:r>
        <w:rPr>
          <w:rFonts w:ascii="宋体" w:hAnsi="宋体" w:hint="eastAsia"/>
          <w:color w:val="000000"/>
          <w:sz w:val="24"/>
        </w:rPr>
        <w:t>可以更</w:t>
      </w:r>
      <w:r>
        <w:rPr>
          <w:rFonts w:ascii="宋体" w:hAnsi="宋体"/>
          <w:color w:val="000000"/>
          <w:sz w:val="24"/>
        </w:rPr>
        <w:t>合理、面积</w:t>
      </w:r>
      <w:r>
        <w:rPr>
          <w:rFonts w:ascii="宋体" w:hAnsi="宋体" w:hint="eastAsia"/>
          <w:color w:val="000000"/>
          <w:sz w:val="24"/>
        </w:rPr>
        <w:t>和价位相对</w:t>
      </w:r>
      <w:r>
        <w:rPr>
          <w:rFonts w:ascii="宋体" w:hAnsi="宋体"/>
          <w:color w:val="000000"/>
          <w:sz w:val="24"/>
        </w:rPr>
        <w:t>适中，功能</w:t>
      </w:r>
      <w:r>
        <w:rPr>
          <w:rFonts w:ascii="宋体" w:hAnsi="宋体" w:hint="eastAsia"/>
          <w:color w:val="000000"/>
          <w:sz w:val="24"/>
        </w:rPr>
        <w:t>又</w:t>
      </w:r>
      <w:r>
        <w:rPr>
          <w:rFonts w:ascii="宋体" w:hAnsi="宋体"/>
          <w:color w:val="000000"/>
          <w:sz w:val="24"/>
        </w:rPr>
        <w:t>齐全</w:t>
      </w:r>
      <w:r>
        <w:rPr>
          <w:rFonts w:ascii="宋体" w:hAnsi="宋体" w:hint="eastAsia"/>
          <w:color w:val="000000"/>
          <w:sz w:val="24"/>
        </w:rPr>
        <w:t>〔例如配套〕</w:t>
      </w:r>
      <w:r>
        <w:rPr>
          <w:rFonts w:ascii="宋体" w:hAnsi="宋体"/>
          <w:color w:val="000000"/>
          <w:sz w:val="24"/>
        </w:rPr>
        <w:t>，</w:t>
      </w:r>
      <w:r>
        <w:rPr>
          <w:rFonts w:ascii="宋体" w:hAnsi="宋体" w:hint="eastAsia"/>
          <w:color w:val="000000"/>
          <w:sz w:val="24"/>
        </w:rPr>
        <w:t>同时</w:t>
      </w:r>
      <w:r>
        <w:rPr>
          <w:rFonts w:ascii="宋体" w:hAnsi="宋体"/>
          <w:color w:val="000000"/>
          <w:sz w:val="24"/>
        </w:rPr>
        <w:t>满足人们的</w:t>
      </w:r>
      <w:r>
        <w:rPr>
          <w:rFonts w:ascii="宋体" w:hAnsi="宋体" w:hint="eastAsia"/>
          <w:color w:val="000000"/>
          <w:sz w:val="24"/>
        </w:rPr>
        <w:t>享乐</w:t>
      </w:r>
      <w:r>
        <w:rPr>
          <w:rFonts w:ascii="宋体" w:hAnsi="宋体"/>
          <w:color w:val="000000"/>
          <w:sz w:val="24"/>
        </w:rPr>
        <w:t>生活需要和健康需求。</w:t>
      </w:r>
      <w:r>
        <w:rPr>
          <w:rFonts w:ascii="宋体" w:hAnsi="宋体" w:hint="eastAsia"/>
          <w:color w:val="000000"/>
          <w:sz w:val="24"/>
        </w:rPr>
        <w:t>方案</w:t>
      </w:r>
      <w:r>
        <w:rPr>
          <w:rFonts w:ascii="宋体" w:hAnsi="宋体" w:hint="eastAsia"/>
          <w:sz w:val="24"/>
        </w:rPr>
        <w:t>首一期总建筑面积约8.4万㎡，共6单元，共计900户住宅。其中1、2栋为楼王，特点为楼间距150米，超开阔景观，3-12栋为普通住宅，楼间距80米。7万㎡世界级皇家园林、2000㎡超大内湖景致。容积率小于等于2.8。用地面积22.3万平米。用地性质居住、商业。使用年限商业40年，住宅70年，绿地率</w:t>
      </w:r>
      <w:r>
        <w:rPr>
          <w:rFonts w:ascii="宋体" w:hAnsi="宋体" w:hint="eastAsia"/>
          <w:sz w:val="24"/>
        </w:rPr>
        <w:t>≥</w:t>
      </w:r>
      <w:r>
        <w:rPr>
          <w:rFonts w:ascii="宋体" w:hAnsi="宋体" w:hint="eastAsia"/>
          <w:sz w:val="24"/>
        </w:rPr>
        <w:t>40%。工程总投资44106.66万元，销售收入69635.96万元，工程净利润13856.60万元。内部收益率23.08%。投资回收期3.8年。财务净现值〔i=12%〕5323.3万元。建设总工期为3年。</w:t>
      </w:r>
      <w:r>
        <w:rPr>
          <w:rFonts w:ascii="宋体" w:hAnsi="宋体" w:hint="eastAsia"/>
          <w:color w:val="000000"/>
          <w:sz w:val="24"/>
        </w:rPr>
        <w:t>住宅</w:t>
      </w:r>
      <w:r>
        <w:rPr>
          <w:rFonts w:ascii="宋体" w:hAnsi="宋体"/>
          <w:color w:val="000000"/>
          <w:sz w:val="24"/>
        </w:rPr>
        <w:t>面积大都控制在</w:t>
      </w:r>
      <w:r>
        <w:rPr>
          <w:rFonts w:ascii="宋体" w:hAnsi="宋体" w:hint="eastAsia"/>
          <w:color w:val="000000"/>
          <w:sz w:val="24"/>
        </w:rPr>
        <w:t>80-120</w:t>
      </w:r>
      <w:r>
        <w:rPr>
          <w:rFonts w:ascii="宋体" w:hAnsi="宋体"/>
          <w:color w:val="000000"/>
          <w:sz w:val="24"/>
        </w:rPr>
        <w:t>平方米以内，而房型设计紧凑合理，开发商</w:t>
      </w:r>
      <w:r>
        <w:rPr>
          <w:rFonts w:ascii="宋体" w:hAnsi="宋体" w:hint="eastAsia"/>
          <w:color w:val="000000"/>
          <w:sz w:val="24"/>
        </w:rPr>
        <w:t>可以</w:t>
      </w:r>
      <w:r>
        <w:rPr>
          <w:rFonts w:ascii="宋体" w:hAnsi="宋体"/>
          <w:color w:val="000000"/>
          <w:sz w:val="24"/>
        </w:rPr>
        <w:t>在控制总价的根底上，在有限的建筑面积里把</w:t>
      </w:r>
      <w:r>
        <w:rPr>
          <w:rFonts w:ascii="宋体" w:hAnsi="宋体" w:hint="eastAsia"/>
          <w:color w:val="000000"/>
          <w:sz w:val="24"/>
        </w:rPr>
        <w:t>住宅</w:t>
      </w:r>
      <w:r>
        <w:rPr>
          <w:rFonts w:ascii="宋体" w:hAnsi="宋体"/>
          <w:color w:val="000000"/>
          <w:sz w:val="24"/>
        </w:rPr>
        <w:t>所有的功能做足，在同样总价的范围内，</w:t>
      </w:r>
      <w:r>
        <w:rPr>
          <w:rFonts w:ascii="宋体" w:hAnsi="宋体" w:hint="eastAsia"/>
          <w:color w:val="000000"/>
          <w:sz w:val="24"/>
        </w:rPr>
        <w:t>此类物业</w:t>
      </w:r>
      <w:r>
        <w:rPr>
          <w:rFonts w:ascii="宋体" w:hAnsi="宋体"/>
          <w:color w:val="000000"/>
          <w:sz w:val="24"/>
        </w:rPr>
        <w:t>给了消费者更多的享受自然环境的空间，这也</w:t>
      </w:r>
      <w:r>
        <w:rPr>
          <w:rFonts w:ascii="宋体" w:hAnsi="宋体" w:hint="eastAsia"/>
          <w:color w:val="000000"/>
          <w:sz w:val="24"/>
        </w:rPr>
        <w:t>就</w:t>
      </w:r>
      <w:r>
        <w:rPr>
          <w:rFonts w:ascii="宋体" w:hAnsi="宋体"/>
          <w:color w:val="000000"/>
          <w:sz w:val="24"/>
        </w:rPr>
        <w:t>是</w:t>
      </w:r>
      <w:r>
        <w:rPr>
          <w:rFonts w:ascii="宋体" w:hAnsi="宋体" w:hint="eastAsia"/>
          <w:color w:val="000000"/>
          <w:sz w:val="24"/>
        </w:rPr>
        <w:t>可以让</w:t>
      </w:r>
      <w:r>
        <w:rPr>
          <w:rFonts w:ascii="宋体" w:hAnsi="宋体"/>
          <w:color w:val="000000"/>
          <w:sz w:val="24"/>
        </w:rPr>
        <w:t>其</w:t>
      </w:r>
      <w:r>
        <w:rPr>
          <w:rFonts w:ascii="宋体" w:hAnsi="宋体" w:hint="eastAsia"/>
          <w:color w:val="000000"/>
          <w:sz w:val="24"/>
        </w:rPr>
        <w:t>成为</w:t>
      </w:r>
      <w:r>
        <w:rPr>
          <w:rFonts w:ascii="宋体" w:hAnsi="宋体"/>
          <w:color w:val="000000"/>
          <w:sz w:val="24"/>
        </w:rPr>
        <w:t>备受消费者青睐的原因。</w:t>
      </w:r>
      <w:r>
        <w:rPr>
          <w:rFonts w:ascii="宋体" w:hAnsi="宋体" w:hint="eastAsia"/>
          <w:color w:val="000000"/>
          <w:sz w:val="24"/>
        </w:rPr>
        <w:t>再加上恒大房地产的9A精装，顶尖名牌荟萃、行业领先设计、超豪华材料、精品化施工、标准化管理、人性化关心、智能化环保健康、创新家装工艺、全国统一采购统一配送，使市民享受超值的精装修住宅。</w:t>
      </w:r>
    </w:p>
    <w:p w:rsidR="0062148B">
      <w:pPr>
        <w:pStyle w:val="Heading2"/>
        <w:spacing w:before="0" w:after="0" w:line="440" w:lineRule="exact"/>
        <w:rPr>
          <w:rFonts w:ascii="黑体" w:hAnsi="黑体" w:hint="eastAsia"/>
          <w:color w:val="000000"/>
          <w:kern w:val="0"/>
          <w:sz w:val="28"/>
        </w:rPr>
      </w:pPr>
      <w:bookmarkStart w:id="27" w:name="_Toc420923233"/>
      <w:r>
        <w:rPr>
          <w:rFonts w:ascii="黑体" w:hAnsi="黑体" w:hint="eastAsia"/>
          <w:b w:val="0"/>
          <w:bCs w:val="0"/>
          <w:color w:val="000000"/>
          <w:kern w:val="0"/>
          <w:sz w:val="28"/>
        </w:rPr>
        <w:t>4.1  工程开发需要考虑的问题点</w:t>
      </w:r>
      <w:bookmarkEnd w:id="27"/>
    </w:p>
    <w:p w:rsidR="0062148B">
      <w:pPr>
        <w:spacing w:line="440" w:lineRule="exact"/>
        <w:ind w:firstLine="480" w:firstLineChars="200"/>
        <w:rPr>
          <w:rFonts w:ascii="宋体" w:hAnsi="宋体" w:hint="eastAsia"/>
          <w:color w:val="000000"/>
          <w:sz w:val="24"/>
        </w:rPr>
        <w:sectPr>
          <w:type w:val="nextPage"/>
          <w:pgSz w:w="11906" w:h="16838"/>
          <w:pgMar w:top="1440" w:right="1800" w:bottom="1440" w:left="1800" w:header="851" w:footer="992" w:gutter="0"/>
          <w:pgNumType w:start="9"/>
          <w:cols w:space="720"/>
          <w:titlePg w:val="0"/>
          <w:docGrid w:type="lines" w:linePitch="312"/>
        </w:sectPr>
      </w:pPr>
      <w:r>
        <w:rPr>
          <w:rFonts w:ascii="宋体" w:hAnsi="宋体" w:hint="eastAsia"/>
          <w:color w:val="000000"/>
          <w:sz w:val="24"/>
        </w:rPr>
        <w:t>有自己的一套豪宅和生活居住，享受生活，享受生活的味道，是人们追求的目标和幸福。但事情如何连接到这在建筑规划，这就需要一个好的规划，比方产品设计</w:t>
      </w:r>
      <w:r>
        <w:rPr>
          <w:rFonts w:ascii="宋体" w:hAnsi="宋体" w:hint="eastAsia"/>
          <w:color w:val="000000"/>
          <w:sz w:val="24"/>
        </w:rPr>
        <w:t>“</w:t>
      </w:r>
      <w:r>
        <w:rPr>
          <w:rFonts w:ascii="宋体" w:hAnsi="宋体" w:hint="eastAsia"/>
          <w:color w:val="000000"/>
          <w:sz w:val="24"/>
        </w:rPr>
        <w:t>享受你的人生〞。而这种味道，风格，质量是由一个小圆圈赞赏。要在更大的消费群认可，此外，我们需要有一个更深入、更系统的评估和全程营销筹划推广。如果这个工程品牌在庞大的客户群中得到广泛宣扬，必将会出现流行、快销的局面。否那么，销售周期将延长，投资者将不会得到最大的实惠。换句话说，对于这种附加产品的一个工程</w:t>
      </w:r>
      <w:r>
        <w:rPr>
          <w:rFonts w:ascii="宋体" w:hAnsi="宋体" w:hint="eastAsia"/>
          <w:color w:val="000000"/>
          <w:sz w:val="24"/>
        </w:rPr>
        <w:t>“</w:t>
      </w:r>
      <w:r>
        <w:rPr>
          <w:rFonts w:ascii="宋体" w:hAnsi="宋体" w:hint="eastAsia"/>
          <w:color w:val="000000"/>
          <w:sz w:val="24"/>
        </w:rPr>
        <w:t>享受生活〞是我们的主观卖点。但市场是动态的，休闲生活为这种类型的财产、欢乐的精神不是</w:t>
      </w:r>
      <w:r>
        <w:rPr>
          <w:rFonts w:ascii="宋体" w:hAnsi="宋体" w:hint="eastAsia"/>
          <w:color w:val="000000"/>
          <w:sz w:val="24"/>
        </w:rPr>
        <w:t>“</w:t>
      </w:r>
      <w:r>
        <w:rPr>
          <w:rFonts w:ascii="宋体" w:hAnsi="宋体" w:hint="eastAsia"/>
          <w:color w:val="000000"/>
          <w:sz w:val="24"/>
        </w:rPr>
        <w:t>意识形态〞或</w:t>
      </w:r>
      <w:r>
        <w:rPr>
          <w:rFonts w:ascii="宋体" w:hAnsi="宋体" w:hint="eastAsia"/>
          <w:color w:val="000000"/>
          <w:sz w:val="24"/>
        </w:rPr>
        <w:t>“</w:t>
      </w:r>
      <w:r>
        <w:rPr>
          <w:rFonts w:ascii="宋体" w:hAnsi="宋体" w:hint="eastAsia"/>
          <w:color w:val="000000"/>
          <w:sz w:val="24"/>
        </w:rPr>
        <w:t>行为〞，与普通豪华住宅不同，</w:t>
      </w:r>
      <w:r>
        <w:rPr>
          <w:rFonts w:ascii="宋体" w:hAnsi="宋体" w:hint="eastAsia"/>
          <w:color w:val="000000"/>
          <w:sz w:val="24"/>
        </w:rPr>
        <w:t>“</w:t>
      </w:r>
    </w:p>
    <w:p w:rsidR="0062148B">
      <w:pPr>
        <w:spacing w:line="440" w:lineRule="exact"/>
        <w:ind w:firstLine="480" w:firstLineChars="200"/>
        <w:rPr>
          <w:rFonts w:ascii="宋体" w:hAnsi="宋体" w:hint="eastAsia"/>
          <w:color w:val="000000"/>
          <w:sz w:val="24"/>
        </w:rPr>
      </w:pPr>
      <w:r>
        <w:rPr>
          <w:rFonts w:ascii="宋体" w:hAnsi="宋体" w:hint="eastAsia"/>
          <w:color w:val="000000"/>
          <w:sz w:val="24"/>
        </w:rPr>
        <w:t>奢侈品〞是一个相对成熟的市场和产品的形成，而这个工程不仅是竞争，还是谁比谁做更多的色彩！我们需要打造出属于我们的特色，这就要求我们需要有一些区别于其他的建筑风格。</w:t>
      </w:r>
    </w:p>
    <w:p w:rsidR="0062148B">
      <w:pPr>
        <w:pStyle w:val="Heading2"/>
        <w:spacing w:before="0" w:after="0" w:line="440" w:lineRule="exact"/>
        <w:rPr>
          <w:rFonts w:ascii="黑体" w:hAnsi="黑体" w:hint="eastAsia"/>
          <w:color w:val="000000"/>
          <w:kern w:val="0"/>
          <w:sz w:val="28"/>
        </w:rPr>
      </w:pPr>
      <w:bookmarkStart w:id="28" w:name="_Toc420923234"/>
      <w:r>
        <w:rPr>
          <w:rFonts w:ascii="黑体" w:hAnsi="黑体" w:hint="eastAsia"/>
          <w:b w:val="0"/>
          <w:bCs w:val="0"/>
          <w:color w:val="000000"/>
          <w:kern w:val="0"/>
          <w:sz w:val="28"/>
        </w:rPr>
        <w:t>4.2  房型</w:t>
      </w:r>
      <w:bookmarkEnd w:id="28"/>
    </w:p>
    <w:p w:rsidR="0062148B">
      <w:pPr>
        <w:spacing w:line="440" w:lineRule="exact"/>
        <w:ind w:firstLine="480" w:firstLineChars="200"/>
        <w:jc w:val="left"/>
        <w:rPr>
          <w:rFonts w:ascii="宋体" w:hAnsi="宋体" w:hint="eastAsia"/>
          <w:color w:val="000000"/>
          <w:spacing w:val="20"/>
          <w:sz w:val="24"/>
          <w:szCs w:val="28"/>
        </w:rPr>
      </w:pPr>
      <w:r>
        <w:rPr>
          <w:rFonts w:ascii="宋体" w:hAnsi="宋体" w:hint="eastAsia"/>
          <w:sz w:val="24"/>
        </w:rPr>
        <w:t xml:space="preserve">科学、合理地设计和分配住宅户型，力求户户有良好的朝向，景观及通风的环境，降低楼电梯效劳数，尽量减少户间干扰。户型大小符合国家制定的居住标准要求，以多元化的户型适应消费者日益增长的个性化住房需求，并能以灵活的户型结构适应消费者家庭阶段性改变所导致的布局调整，使住房具有较长使用期。 </w:t>
      </w:r>
      <w:r>
        <w:rPr>
          <w:rFonts w:ascii="宋体" w:hAnsi="宋体" w:hint="eastAsia"/>
          <w:color w:val="000000"/>
          <w:spacing w:val="20"/>
          <w:sz w:val="24"/>
          <w:szCs w:val="28"/>
        </w:rPr>
        <w:t>合理安排户内的厨房、卫生间、洗衣间、贮藏室、工人房、效劳性阳台等功能性空间，并能妥善解决电气供给、油烟排放、空气调节、垃圾收集、处理等问题。</w:t>
      </w:r>
    </w:p>
    <w:p w:rsidR="0062148B">
      <w:pPr>
        <w:spacing w:line="440" w:lineRule="exact"/>
        <w:ind w:firstLine="480" w:firstLineChars="200"/>
        <w:jc w:val="left"/>
        <w:rPr>
          <w:rFonts w:ascii="黑体" w:eastAsia="黑体" w:hAnsi="宋体" w:hint="eastAsia"/>
          <w:color w:val="000000"/>
          <w:sz w:val="30"/>
          <w:szCs w:val="30"/>
        </w:rPr>
      </w:pPr>
      <w:r>
        <w:rPr>
          <w:rFonts w:ascii="宋体" w:hAnsi="宋体" w:hint="eastAsia"/>
          <w:color w:val="000000"/>
          <w:spacing w:val="20"/>
          <w:sz w:val="24"/>
          <w:szCs w:val="28"/>
        </w:rPr>
        <w:t>再根据市场需求的特点〔80-120平米住宅区间是最受欢送的〕，结合绿色健康的主题应该集中设计纯板楼、南北通透的3室2厅的房型。</w:t>
      </w:r>
    </w:p>
    <w:p w:rsidR="0062148B">
      <w:pPr>
        <w:pStyle w:val="Heading2"/>
        <w:spacing w:before="0" w:after="0" w:line="440" w:lineRule="exact"/>
        <w:rPr>
          <w:rFonts w:ascii="黑体" w:hAnsi="黑体" w:hint="eastAsia"/>
          <w:color w:val="000000"/>
          <w:sz w:val="28"/>
          <w:szCs w:val="28"/>
        </w:rPr>
      </w:pPr>
      <w:bookmarkStart w:id="29" w:name="_Toc419970968"/>
      <w:bookmarkStart w:id="30" w:name="_Toc420923235"/>
      <w:bookmarkEnd w:id="26"/>
      <w:r>
        <w:rPr>
          <w:rFonts w:ascii="黑体" w:hAnsi="黑体" w:hint="eastAsia"/>
          <w:b w:val="0"/>
          <w:bCs w:val="0"/>
          <w:color w:val="000000"/>
          <w:sz w:val="28"/>
          <w:szCs w:val="28"/>
        </w:rPr>
        <w:t>4.3  外立面</w:t>
      </w:r>
      <w:bookmarkEnd w:id="29"/>
      <w:r>
        <w:rPr>
          <w:rFonts w:ascii="黑体" w:hAnsi="黑体" w:hint="eastAsia"/>
          <w:b w:val="0"/>
          <w:bCs w:val="0"/>
          <w:color w:val="000000"/>
          <w:sz w:val="28"/>
          <w:szCs w:val="28"/>
        </w:rPr>
        <w:t>与装修</w:t>
      </w:r>
      <w:bookmarkEnd w:id="30"/>
    </w:p>
    <w:p w:rsidR="0062148B">
      <w:pPr>
        <w:pStyle w:val="NormalWeb"/>
        <w:spacing w:line="440" w:lineRule="exact"/>
        <w:ind w:firstLine="480" w:firstLineChars="200"/>
        <w:rPr>
          <w:rFonts w:ascii="黑体" w:eastAsia="黑体" w:hAnsi="宋体"/>
          <w:bCs/>
          <w:sz w:val="28"/>
          <w:szCs w:val="28"/>
        </w:rPr>
      </w:pPr>
      <w:r>
        <w:rPr>
          <w:rFonts w:hint="eastAsia"/>
        </w:rPr>
        <w:t>生活在有山有林的大自然的环境中，享受的是美与和谐的自然景观，享受的是惬意与悠闲的生活状态，享受的是精神和物质的极致发挥外立面的色彩应是柔和的，含蓄的，直观的，灵动的；以现代建筑群风格定位群体外立面的色彩，纯洁的白、透亮的蓝，庄重的咖啡为基调，建筑本身的硬朗与和谐的外立面相照应，浑然天成，恰到好处。</w:t>
      </w:r>
    </w:p>
    <w:p w:rsidR="0062148B">
      <w:pPr>
        <w:spacing w:line="440" w:lineRule="exact"/>
        <w:ind w:firstLine="480" w:firstLineChars="200"/>
        <w:rPr>
          <w:rFonts w:ascii="宋体" w:hAnsi="宋体" w:hint="eastAsia"/>
          <w:sz w:val="24"/>
        </w:rPr>
      </w:pPr>
      <w:r>
        <w:rPr>
          <w:rFonts w:ascii="宋体" w:hAnsi="宋体" w:hint="eastAsia"/>
          <w:sz w:val="24"/>
        </w:rPr>
        <w:t>外墙装修标准：</w:t>
      </w:r>
    </w:p>
    <w:p w:rsidR="0062148B">
      <w:pPr>
        <w:spacing w:line="440" w:lineRule="exact"/>
        <w:ind w:firstLine="480" w:firstLineChars="200"/>
        <w:rPr>
          <w:rFonts w:ascii="宋体" w:hAnsi="宋体"/>
          <w:sz w:val="24"/>
        </w:rPr>
      </w:pPr>
      <w:r>
        <w:rPr>
          <w:rFonts w:ascii="宋体" w:hAnsi="宋体" w:hint="eastAsia"/>
          <w:bCs/>
          <w:sz w:val="24"/>
        </w:rPr>
        <w:t>结构</w:t>
      </w:r>
      <w:r>
        <w:rPr>
          <w:rFonts w:ascii="宋体" w:hAnsi="宋体"/>
          <w:sz w:val="24"/>
        </w:rPr>
        <w:t>：</w:t>
      </w:r>
      <w:r>
        <w:rPr>
          <w:rFonts w:ascii="宋体" w:hAnsi="宋体" w:hint="eastAsia"/>
          <w:sz w:val="24"/>
        </w:rPr>
        <w:t>主结构采用现浇剪力墙结构，无论承重、抗压、防风、抗震、耐火特性，均符合规定之标准。外墙需做外墙外保温。</w:t>
      </w:r>
    </w:p>
    <w:p w:rsidR="0062148B">
      <w:pPr>
        <w:spacing w:line="440" w:lineRule="exact"/>
        <w:ind w:firstLine="480" w:firstLineChars="200"/>
        <w:rPr>
          <w:rFonts w:ascii="宋体" w:hAnsi="宋体"/>
          <w:b/>
          <w:bCs/>
          <w:sz w:val="24"/>
        </w:rPr>
      </w:pPr>
      <w:r>
        <w:rPr>
          <w:rFonts w:ascii="宋体" w:hAnsi="宋体" w:hint="eastAsia"/>
          <w:bCs/>
          <w:sz w:val="24"/>
        </w:rPr>
        <w:t>外立面</w:t>
      </w:r>
      <w:r>
        <w:rPr>
          <w:rFonts w:ascii="宋体" w:hAnsi="宋体" w:hint="eastAsia"/>
          <w:sz w:val="24"/>
        </w:rPr>
        <w:t>：外立面风格新潮、有点儿另类、色彩但又不失沉稳、材质的设计与价格需匹配，在后期销售中以此点可做为产品的有力卖点诉求，主要以区别于周边同质工程，技高拔筹。</w:t>
      </w:r>
    </w:p>
    <w:p w:rsidR="0062148B">
      <w:pPr>
        <w:pStyle w:val="PlainText"/>
        <w:spacing w:line="440" w:lineRule="exact"/>
        <w:ind w:firstLine="480" w:firstLineChars="200"/>
        <w:rPr>
          <w:rFonts w:hAnsi="宋体" w:hint="eastAsia"/>
          <w:sz w:val="24"/>
        </w:rPr>
      </w:pPr>
      <w:r>
        <w:rPr>
          <w:rFonts w:hAnsi="宋体" w:hint="eastAsia"/>
          <w:bCs/>
          <w:sz w:val="24"/>
        </w:rPr>
        <w:t>首层大堂装修</w:t>
      </w:r>
      <w:r>
        <w:rPr>
          <w:rFonts w:hAnsi="宋体" w:hint="eastAsia"/>
          <w:sz w:val="24"/>
        </w:rPr>
        <w:t>：单元门入口建议设计成外接酒店式玻璃幕大堂，拼花磨光花岗岩地面，大理石及局部木饰面，悬挂</w:t>
      </w:r>
      <w:r>
        <w:rPr>
          <w:rFonts w:hAnsi="宋体" w:hint="eastAsia"/>
          <w:sz w:val="24"/>
          <w:szCs w:val="28"/>
        </w:rPr>
        <w:t>艺术挂画、吊灯、壁灯，还专设洽谈、休息区，配有空调，</w:t>
      </w:r>
      <w:r>
        <w:rPr>
          <w:rFonts w:hAnsi="宋体" w:hint="eastAsia"/>
          <w:sz w:val="24"/>
        </w:rPr>
        <w:t>单元门高档不锈钢防盗门彰显高档品质。</w:t>
      </w:r>
    </w:p>
    <w:p w:rsidR="0062148B">
      <w:pPr>
        <w:pStyle w:val="PlainText"/>
        <w:spacing w:line="440" w:lineRule="exact"/>
        <w:ind w:firstLine="480" w:firstLineChars="200"/>
        <w:rPr>
          <w:rFonts w:hAnsi="宋体" w:hint="eastAsia"/>
          <w:sz w:val="24"/>
        </w:rPr>
      </w:pPr>
      <w:r>
        <w:rPr>
          <w:rFonts w:hAnsi="宋体" w:hint="eastAsia"/>
          <w:bCs/>
          <w:sz w:val="24"/>
        </w:rPr>
        <w:t>电梯间</w:t>
      </w:r>
      <w:r>
        <w:rPr>
          <w:rFonts w:hAnsi="宋体" w:hint="eastAsia"/>
          <w:sz w:val="24"/>
        </w:rPr>
        <w:t>：首层为大理石电梯门套，豪华花纹不锈钢电梯门。</w:t>
      </w:r>
    </w:p>
    <w:p w:rsidR="0062148B">
      <w:pPr>
        <w:pStyle w:val="PlainText"/>
        <w:spacing w:line="440" w:lineRule="exact"/>
        <w:ind w:firstLine="480" w:firstLineChars="200"/>
        <w:rPr>
          <w:rFonts w:hAnsi="宋体" w:hint="eastAsia"/>
          <w:sz w:val="24"/>
        </w:rPr>
      </w:pPr>
      <w:r>
        <w:rPr>
          <w:rFonts w:hAnsi="宋体" w:hint="eastAsia"/>
          <w:sz w:val="24"/>
        </w:rPr>
        <w:t>公共走廊：优质地砖、高级环保乳胶漆墙面，配以柔和灯光〔延时开关〕；矿棉吸声板吊顶；金属栏杆，木扶手。电梯间：不锈钢电梯门套和不锈钢电梯门</w:t>
      </w:r>
    </w:p>
    <w:p w:rsidR="0062148B">
      <w:pPr>
        <w:spacing w:line="440" w:lineRule="exact"/>
        <w:ind w:firstLine="480" w:firstLineChars="200"/>
        <w:rPr>
          <w:rFonts w:ascii="宋体" w:hAnsi="宋体" w:hint="eastAsia"/>
          <w:b/>
          <w:bCs/>
          <w:sz w:val="24"/>
        </w:rPr>
      </w:pPr>
      <w:r>
        <w:rPr>
          <w:rFonts w:ascii="宋体" w:hAnsi="宋体" w:hint="eastAsia"/>
          <w:bCs/>
          <w:sz w:val="24"/>
        </w:rPr>
        <w:t>电梯</w:t>
      </w:r>
      <w:r>
        <w:rPr>
          <w:rFonts w:ascii="宋体" w:hAnsi="宋体" w:hint="eastAsia"/>
          <w:b/>
          <w:bCs/>
          <w:sz w:val="24"/>
        </w:rPr>
        <w:t>：</w:t>
      </w:r>
      <w:r>
        <w:rPr>
          <w:rFonts w:ascii="宋体" w:hAnsi="宋体" w:hint="eastAsia"/>
          <w:b/>
          <w:bCs/>
          <w:sz w:val="24"/>
        </w:rPr>
        <w:br/>
      </w:r>
      <w:r>
        <w:rPr>
          <w:rFonts w:ascii="宋体" w:hAnsi="宋体" w:hint="eastAsia"/>
          <w:b/>
          <w:bCs/>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https://d.book118.com/866054055222010032</w:t>
        </w:r>
      </w:hyperlink>
    </w:p>
    <w:p w:rsidR="0062148B">
      <w:pPr>
        <w:spacing w:line="440" w:lineRule="exact"/>
        <w:ind w:firstLine="480" w:firstLineChars="200"/>
        <w:rPr>
          <w:rFonts w:ascii="宋体" w:hAnsi="宋体" w:hint="eastAsia"/>
          <w:b/>
          <w:bCs/>
          <w:sz w:val="24"/>
        </w:rPr>
      </w:pPr>
    </w:p>
    <w:sectPr>
      <w:type w:val="nextPage"/>
      <w:pgSz w:w="11906" w:h="16838"/>
      <w:pgMar w:top="1440" w:right="1800" w:bottom="1440" w:left="1800" w:header="851" w:footer="992" w:gutter="0"/>
      <w:pgNumType w:start="10"/>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华文行楷">
    <w:altName w:val="微软雅黑"/>
    <w:panose1 w:val="02010800040101010101"/>
    <w:charset w:val="86"/>
    <w:family w:val="auto"/>
    <w:pitch w:val="default"/>
    <w:sig w:usb0="00000001" w:usb1="080F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default"/>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PMingLiU">
    <w:altName w:val="新細明體"/>
    <w:panose1 w:val="02020500000000000000"/>
    <w:charset w:val="88"/>
    <w:family w:val="roman"/>
    <w:pitch w:val="variable"/>
    <w:sig w:usb0="A00002FF" w:usb1="28CFFCFA" w:usb2="00000016" w:usb3="00000000" w:csb0="00100001"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8C282B"/>
    <w:multiLevelType w:val="multilevel"/>
    <w:tmpl w:val="1D8C282B"/>
    <w:lvl w:ilvl="0">
      <w:start w:val="7"/>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420"/>
  <w:drawingGridVerticalSpacing w:val="156"/>
  <w:noPunctuationKerning/>
  <w:characterSpacingControl w:val="compressPunctuation"/>
  <w:noLineBreaksAfter w:lang="en-US" w:val="([{·‘“〈《「『【〔〖（．［｛￡￥"/>
  <w:noLineBreaksBefore w:lang="en-US" w:val="!),.:;?]}¨·ˇˉ―‖’”…∶、。〃々〉》」』】〕〗！＂＇），．：；？］｀｜｝～￠"/>
  <w:compat>
    <w:spaceForUL/>
    <w:balanceSingleByteDoubleByteWidth/>
    <w:doNotLeaveBackslashAlone/>
    <w:ulTrailSpace/>
    <w:adjustLineHeightInTable/>
    <w:doNotBreakWrappedTables/>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673E6"/>
    <w:rsid w:val="0005469B"/>
    <w:rsid w:val="00170D54"/>
    <w:rsid w:val="001B7AB6"/>
    <w:rsid w:val="00351817"/>
    <w:rsid w:val="00502C08"/>
    <w:rsid w:val="0062148B"/>
    <w:rsid w:val="00635EF6"/>
    <w:rsid w:val="00646C65"/>
    <w:rsid w:val="008019D6"/>
    <w:rsid w:val="008905E7"/>
    <w:rsid w:val="00B23B97"/>
    <w:rsid w:val="00B673E6"/>
    <w:rsid w:val="00BA051C"/>
    <w:rsid w:val="00D15FAD"/>
    <w:rsid w:val="00E94BAB"/>
    <w:rsid w:val="07682F37"/>
    <w:rsid w:val="15F26C8F"/>
    <w:rsid w:val="30347DA4"/>
    <w:rsid w:val="68D77510"/>
    <w:rsid w:val="792B13D8"/>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uiPriority="0" w:unhideWhenUsed="0"/>
    <w:lsdException w:name="toc 2" w:uiPriority="0" w:unhideWhenUsed="0"/>
    <w:lsdException w:name="toc 3"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lsdException w:name="Table Theme" w:semiHidden="0" w:uiPriority="0"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szCs w:val="24"/>
      <w:lang w:val="en-US" w:eastAsia="zh-CN" w:bidi="ar-SA"/>
    </w:rPr>
  </w:style>
  <w:style w:type="paragraph" w:styleId="Heading1">
    <w:name w:val="heading 1"/>
    <w:basedOn w:val="Normal"/>
    <w:next w:val="Normal"/>
    <w:link w:val="1Char"/>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2Char"/>
    <w:qFormat/>
    <w:pPr>
      <w:keepNext/>
      <w:keepLines/>
      <w:spacing w:before="260" w:after="260" w:line="416" w:lineRule="auto"/>
      <w:outlineLvl w:val="1"/>
    </w:pPr>
    <w:rPr>
      <w:rFonts w:ascii="Arial" w:eastAsia="黑体" w:hAnsi="Arial"/>
      <w:b/>
      <w:bCs/>
      <w:sz w:val="32"/>
      <w:szCs w:val="32"/>
    </w:rPr>
  </w:style>
  <w:style w:type="paragraph" w:styleId="Heading3">
    <w:name w:val="heading 3"/>
    <w:basedOn w:val="Normal"/>
    <w:next w:val="Normal"/>
    <w:link w:val="3Char"/>
    <w:qFormat/>
    <w:pPr>
      <w:keepNext/>
      <w:keepLines/>
      <w:spacing w:before="260" w:after="260" w:line="416" w:lineRule="auto"/>
      <w:outlineLvl w:val="2"/>
    </w:pPr>
    <w:rPr>
      <w:b/>
      <w:bCs/>
      <w:sz w:val="32"/>
      <w:szCs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00FF"/>
      <w:u w:val="single"/>
    </w:rPr>
  </w:style>
  <w:style w:type="character" w:styleId="PageNumber">
    <w:name w:val="page number"/>
    <w:basedOn w:val="DefaultParagraphFont"/>
  </w:style>
  <w:style w:type="character" w:customStyle="1" w:styleId="Char">
    <w:name w:val="纯文本 Char"/>
    <w:basedOn w:val="DefaultParagraphFont"/>
    <w:link w:val="PlainText"/>
    <w:rPr>
      <w:rFonts w:ascii="宋体" w:eastAsia="宋体" w:hAnsi="Courier New" w:cs="Courier New"/>
      <w:kern w:val="2"/>
      <w:sz w:val="21"/>
      <w:szCs w:val="21"/>
      <w:lang w:val="en-US" w:eastAsia="zh-CN" w:bidi="ar-SA"/>
    </w:rPr>
  </w:style>
  <w:style w:type="character" w:customStyle="1" w:styleId="ListParagraphCharChar">
    <w:name w:val="List Paragraph Char Char"/>
    <w:basedOn w:val="DefaultParagraphFont"/>
    <w:link w:val="ListParagraph"/>
    <w:rPr>
      <w:rFonts w:ascii="Tahoma" w:eastAsia="微软雅黑" w:hAnsi="Tahoma"/>
      <w:sz w:val="22"/>
      <w:szCs w:val="22"/>
      <w:lang w:val="en-US" w:eastAsia="zh-CN" w:bidi="ar-SA"/>
    </w:rPr>
  </w:style>
  <w:style w:type="character" w:customStyle="1" w:styleId="2Char">
    <w:name w:val="标题 2 Char"/>
    <w:link w:val="Heading2"/>
    <w:rPr>
      <w:rFonts w:ascii="Arial" w:eastAsia="黑体" w:hAnsi="Arial"/>
      <w:b/>
      <w:bCs/>
      <w:kern w:val="2"/>
      <w:sz w:val="32"/>
      <w:szCs w:val="32"/>
      <w:lang w:val="en-US" w:eastAsia="zh-CN" w:bidi="ar-SA"/>
    </w:rPr>
  </w:style>
  <w:style w:type="character" w:customStyle="1" w:styleId="1Char">
    <w:name w:val="标题 1 Char"/>
    <w:link w:val="Heading1"/>
    <w:rPr>
      <w:rFonts w:eastAsia="宋体"/>
      <w:b/>
      <w:bCs/>
      <w:kern w:val="44"/>
      <w:sz w:val="44"/>
      <w:szCs w:val="44"/>
      <w:lang w:val="en-US" w:eastAsia="zh-CN" w:bidi="ar-SA"/>
    </w:rPr>
  </w:style>
  <w:style w:type="character" w:customStyle="1" w:styleId="3Char">
    <w:name w:val="标题 3 Char"/>
    <w:link w:val="Heading3"/>
    <w:rPr>
      <w:rFonts w:eastAsia="宋体"/>
      <w:b/>
      <w:bCs/>
      <w:kern w:val="2"/>
      <w:sz w:val="32"/>
      <w:szCs w:val="32"/>
      <w:lang w:val="en-US" w:eastAsia="zh-CN" w:bidi="ar-SA"/>
    </w:rPr>
  </w:style>
  <w:style w:type="paragraph" w:styleId="BodyTextIndent">
    <w:name w:val="Body Text Indent"/>
    <w:basedOn w:val="Normal"/>
    <w:pPr>
      <w:spacing w:after="120"/>
      <w:ind w:left="420" w:leftChars="200"/>
    </w:pPr>
  </w:style>
  <w:style w:type="paragraph" w:styleId="Footer">
    <w:name w:val="footer"/>
    <w:basedOn w:val="Normal"/>
    <w:pPr>
      <w:tabs>
        <w:tab w:val="center" w:pos="4153"/>
        <w:tab w:val="right" w:pos="8306"/>
      </w:tabs>
      <w:snapToGrid w:val="0"/>
      <w:jc w:val="left"/>
    </w:pPr>
    <w:rPr>
      <w:sz w:val="18"/>
      <w:szCs w:val="18"/>
    </w:rPr>
  </w:style>
  <w:style w:type="paragraph" w:styleId="NormalWeb">
    <w:name w:val="Normal (Web)"/>
    <w:basedOn w:val="Normal"/>
    <w:rPr>
      <w:sz w:val="24"/>
      <w:szCs w:val="20"/>
    </w:rPr>
  </w:style>
  <w:style w:type="paragraph" w:styleId="PlainText">
    <w:name w:val="Plain Text"/>
    <w:basedOn w:val="Normal"/>
    <w:link w:val="Char"/>
    <w:rPr>
      <w:rFonts w:ascii="宋体" w:hAnsi="Courier New" w:cs="Courier New"/>
      <w:szCs w:val="21"/>
    </w:rPr>
  </w:style>
  <w:style w:type="paragraph" w:styleId="HTMLPreformatted">
    <w:name w:val="HTML Preformatted"/>
    <w:basedOn w:val="Normal"/>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kern w:val="0"/>
      <w:sz w:val="20"/>
      <w:szCs w:val="20"/>
    </w:rPr>
  </w:style>
  <w:style w:type="paragraph" w:styleId="TOC1">
    <w:name w:val="toc 1"/>
    <w:basedOn w:val="Normal"/>
    <w:next w:val="Normal"/>
    <w:semiHidden/>
  </w:style>
  <w:style w:type="paragraph" w:styleId="TOC3">
    <w:name w:val="toc 3"/>
    <w:basedOn w:val="Normal"/>
    <w:next w:val="Normal"/>
    <w:semiHidden/>
    <w:pPr>
      <w:ind w:left="840" w:leftChars="400"/>
    </w:pPr>
  </w:style>
  <w:style w:type="paragraph" w:styleId="TOC2">
    <w:name w:val="toc 2"/>
    <w:basedOn w:val="Normal"/>
    <w:next w:val="Normal"/>
    <w:semiHidden/>
    <w:pPr>
      <w:ind w:left="420" w:leftChars="200"/>
    </w:pPr>
  </w:style>
  <w:style w:type="paragraph" w:styleId="Header">
    <w:name w:val="header"/>
    <w:basedOn w:val="Normal"/>
    <w:pPr>
      <w:pBdr>
        <w:bottom w:val="single" w:sz="6" w:space="1" w:color="auto"/>
      </w:pBdr>
      <w:tabs>
        <w:tab w:val="center" w:pos="4153"/>
        <w:tab w:val="right" w:pos="8306"/>
      </w:tabs>
      <w:snapToGrid w:val="0"/>
      <w:jc w:val="center"/>
    </w:pPr>
    <w:rPr>
      <w:sz w:val="18"/>
      <w:szCs w:val="18"/>
    </w:rPr>
  </w:style>
  <w:style w:type="paragraph" w:styleId="BodyText">
    <w:name w:val="Body Text"/>
    <w:basedOn w:val="Normal"/>
    <w:pPr>
      <w:spacing w:line="360" w:lineRule="auto"/>
    </w:pPr>
    <w:rPr>
      <w:rFonts w:ascii="PMingLiU" w:eastAsia="PMingLiU" w:hAnsi="PMingLiU"/>
      <w:b/>
      <w:bCs/>
      <w:sz w:val="24"/>
      <w:u w:val="single"/>
    </w:rPr>
  </w:style>
  <w:style w:type="paragraph" w:customStyle="1" w:styleId="ListParagraph">
    <w:name w:val="List Paragraph"/>
    <w:basedOn w:val="Normal"/>
    <w:link w:val="ListParagraphCharChar"/>
    <w:pPr>
      <w:widowControl/>
      <w:adjustRightInd w:val="0"/>
      <w:snapToGrid w:val="0"/>
      <w:spacing w:after="200"/>
      <w:ind w:firstLine="420" w:firstLineChars="200"/>
      <w:jc w:val="left"/>
    </w:pPr>
    <w:rPr>
      <w:rFonts w:ascii="Tahoma" w:eastAsia="微软雅黑" w:hAnsi="Tahoma"/>
      <w:kern w:val="0"/>
      <w:sz w:val="22"/>
      <w:szCs w:val="22"/>
    </w:rPr>
  </w:style>
  <w:style w:type="table" w:styleId="TableGrid">
    <w:name w:val="Table Grid"/>
    <w:basedOn w:val="TableNormal"/>
    <w:unhideWhenUsed/>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866054055222010032"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4318</Words>
  <Characters>24619</Characters>
  <Application>Microsoft Office Word</Application>
  <DocSecurity>0</DocSecurity>
  <Lines>205</Lines>
  <Paragraphs>57</Paragraphs>
  <ScaleCrop>false</ScaleCrop>
  <Company>Microsoft</Company>
  <LinksUpToDate>false</LinksUpToDate>
  <CharactersWithSpaces>28880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湖南农业大学东方科技学院</dc:title>
  <dc:creator>微软中国</dc:creator>
  <cp:lastModifiedBy>Administrator</cp:lastModifiedBy>
  <cp:revision>2</cp:revision>
  <dcterms:created xsi:type="dcterms:W3CDTF">2015-05-24T06:21:00Z</dcterms:created>
  <dcterms:modified xsi:type="dcterms:W3CDTF">2015-07-25T03:28:00Z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2052-9.1.0.5060</vt:lpwstr>
  </property>
</Properties>
</file>