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4"/>
          <w:pgSz w:w="11907" w:h="16839"/>
          <w:pgMar w:top="400" w:right="1" w:bottom="0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17" w:line="222" w:lineRule="auto"/>
        <w:ind w:left="688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FFFFFF"/>
          <w:spacing w:val="-1"/>
          <w:sz w:val="36"/>
          <w:szCs w:val="36"/>
        </w:rPr>
        <w:t>行业研究丨深度报告丨白酒与葡萄酒</w:t>
      </w:r>
    </w:p>
    <w:p>
      <w:pPr>
        <w:spacing w:before="305" w:line="249" w:lineRule="auto"/>
        <w:ind w:left="706" w:right="536" w:hanging="18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FFFFF"/>
          <w:spacing w:val="3"/>
          <w:sz w:val="52"/>
          <w:szCs w:val="52"/>
        </w:rPr>
        <w:t>饮酒思源系列（十六</w:t>
      </w:r>
      <w:r>
        <w:rPr>
          <w:rFonts w:ascii="SimHei" w:eastAsia="SimHei" w:hAnsi="SimHei" w:cs="SimHei"/>
          <w:color w:val="FFFFFF"/>
          <w:spacing w:val="-150"/>
          <w:sz w:val="52"/>
          <w:szCs w:val="52"/>
        </w:rPr>
        <w:t>）：</w:t>
      </w:r>
      <w:r>
        <w:rPr>
          <w:rFonts w:ascii="SimHei" w:eastAsia="SimHei" w:hAnsi="SimHei" w:cs="SimHei"/>
          <w:color w:val="FFFFFF"/>
          <w:spacing w:val="3"/>
          <w:sz w:val="52"/>
          <w:szCs w:val="52"/>
        </w:rPr>
        <w:t>次高端白酒——从普遍</w:t>
      </w:r>
      <w:r>
        <w:rPr>
          <w:rFonts w:ascii="SimHei" w:eastAsia="SimHei" w:hAnsi="SimHei" w:cs="SimHei"/>
          <w:color w:val="FFFFFF"/>
          <w:spacing w:val="1"/>
          <w:sz w:val="52"/>
          <w:szCs w:val="52"/>
        </w:rPr>
        <w:t xml:space="preserve"> </w:t>
      </w:r>
      <w:r>
        <w:rPr>
          <w:rFonts w:ascii="SimHei" w:eastAsia="SimHei" w:hAnsi="SimHei" w:cs="SimHei"/>
          <w:color w:val="FFFFFF"/>
          <w:spacing w:val="-4"/>
          <w:sz w:val="52"/>
          <w:szCs w:val="52"/>
        </w:rPr>
        <w:t>繁荣迈向有序竞争</w:t>
      </w:r>
    </w:p>
    <w:p>
      <w:pPr>
        <w:spacing w:line="249" w:lineRule="auto"/>
        <w:rPr>
          <w:rFonts w:ascii="SimHei" w:eastAsia="SimHei" w:hAnsi="SimHei" w:cs="SimHei"/>
          <w:sz w:val="52"/>
          <w:szCs w:val="52"/>
        </w:rPr>
        <w:sectPr>
          <w:headerReference w:type="default" r:id="rId5"/>
          <w:type w:val="nextPage"/>
          <w:pgSz w:w="11907" w:h="16839"/>
          <w:pgMar w:top="400" w:right="1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32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4390390</wp:posOffset>
            </wp:positionH>
            <wp:positionV relativeFrom="page">
              <wp:posOffset>3937634</wp:posOffset>
            </wp:positionV>
            <wp:extent cx="719454" cy="71945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9454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2885439</wp:posOffset>
            </wp:positionH>
            <wp:positionV relativeFrom="page">
              <wp:posOffset>3937634</wp:posOffset>
            </wp:positionV>
            <wp:extent cx="719455" cy="71945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5" style="width:509.9pt;height:0.5pt;margin-top:793.9pt;margin-left:42.48pt;mso-position-horizontal-relative:page;mso-position-vertical-relative:page;position:absolute;z-index:251661312" coordorigin="0,0" coordsize="10197,10" o:allowincell="f" path="m,9l5098,9l5098,l,l,9xem5098,9l5108,9l5108,l5098,l5098,9xem5108,9l10197,9l10197,l5108,l5108,9xe" filled="t" fillcolor="#e10000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5523229</wp:posOffset>
            </wp:positionH>
            <wp:positionV relativeFrom="page">
              <wp:posOffset>540384</wp:posOffset>
            </wp:positionV>
            <wp:extent cx="1466469" cy="3810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6646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33" w:lineRule="auto"/>
      </w:pPr>
    </w:p>
    <w:p>
      <w:pPr>
        <w:spacing w:before="62" w:line="231" w:lineRule="auto"/>
        <w:ind w:left="945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2"/>
          <w:sz w:val="19"/>
          <w:szCs w:val="19"/>
        </w:rPr>
        <w:t>丨证券研究报告丨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91" w:line="223" w:lineRule="auto"/>
        <w:ind w:left="96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FFFFFF"/>
          <w:spacing w:val="-2"/>
          <w:sz w:val="28"/>
          <w:szCs w:val="28"/>
        </w:rPr>
        <w:t>报告要点</w:t>
      </w:r>
    </w:p>
    <w:p>
      <w:pPr>
        <w:pStyle w:val="BodyText"/>
        <w:spacing w:before="192" w:line="312" w:lineRule="exact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5"/>
          <w:position w:val="10"/>
          <w:sz w:val="18"/>
          <w:szCs w:val="18"/>
        </w:rPr>
        <w:t>次高端价格带主要指</w:t>
      </w:r>
      <w:r>
        <w:rPr>
          <w:rFonts w:ascii="SimHei" w:eastAsia="SimHei" w:hAnsi="SimHei" w:cs="SimHei"/>
          <w:color w:val="FFFFFF"/>
          <w:spacing w:val="-36"/>
          <w:position w:val="10"/>
          <w:sz w:val="18"/>
          <w:szCs w:val="18"/>
        </w:rPr>
        <w:t xml:space="preserve"> </w:t>
      </w:r>
      <w:r>
        <w:rPr>
          <w:color w:val="FFFFFF"/>
          <w:spacing w:val="-5"/>
          <w:position w:val="10"/>
          <w:sz w:val="18"/>
          <w:szCs w:val="18"/>
        </w:rPr>
        <w:t xml:space="preserve">300-800 </w:t>
      </w:r>
      <w:r>
        <w:rPr>
          <w:rFonts w:ascii="SimHei" w:eastAsia="SimHei" w:hAnsi="SimHei" w:cs="SimHei"/>
          <w:color w:val="FFFFFF"/>
          <w:spacing w:val="-5"/>
          <w:position w:val="10"/>
          <w:sz w:val="18"/>
          <w:szCs w:val="18"/>
        </w:rPr>
        <w:t>元价格带，</w:t>
      </w:r>
      <w:r>
        <w:rPr>
          <w:rFonts w:ascii="SimHei" w:eastAsia="SimHei" w:hAnsi="SimHei" w:cs="SimHei"/>
          <w:color w:val="FFFFFF"/>
          <w:spacing w:val="-19"/>
          <w:position w:val="10"/>
          <w:sz w:val="18"/>
          <w:szCs w:val="18"/>
        </w:rPr>
        <w:t xml:space="preserve"> </w:t>
      </w:r>
      <w:r>
        <w:rPr>
          <w:color w:val="FFFFFF"/>
          <w:spacing w:val="-5"/>
          <w:position w:val="10"/>
          <w:sz w:val="18"/>
          <w:szCs w:val="18"/>
        </w:rPr>
        <w:t xml:space="preserve">2023 </w:t>
      </w:r>
      <w:r>
        <w:rPr>
          <w:rFonts w:ascii="SimHei" w:eastAsia="SimHei" w:hAnsi="SimHei" w:cs="SimHei"/>
          <w:color w:val="FFFFFF"/>
          <w:spacing w:val="-5"/>
          <w:position w:val="10"/>
          <w:sz w:val="18"/>
          <w:szCs w:val="18"/>
        </w:rPr>
        <w:t>年规模约</w:t>
      </w:r>
      <w:r>
        <w:rPr>
          <w:rFonts w:ascii="SimHei" w:eastAsia="SimHei" w:hAnsi="SimHei" w:cs="SimHei"/>
          <w:color w:val="FFFFFF"/>
          <w:spacing w:val="-25"/>
          <w:position w:val="10"/>
          <w:sz w:val="18"/>
          <w:szCs w:val="18"/>
        </w:rPr>
        <w:t xml:space="preserve"> </w:t>
      </w:r>
      <w:r>
        <w:rPr>
          <w:color w:val="FFFFFF"/>
          <w:spacing w:val="-5"/>
          <w:position w:val="10"/>
          <w:sz w:val="18"/>
          <w:szCs w:val="18"/>
        </w:rPr>
        <w:t xml:space="preserve">1475 </w:t>
      </w:r>
      <w:r>
        <w:rPr>
          <w:rFonts w:ascii="SimHei" w:eastAsia="SimHei" w:hAnsi="SimHei" w:cs="SimHei"/>
          <w:color w:val="FFFFFF"/>
          <w:spacing w:val="-5"/>
          <w:position w:val="10"/>
          <w:sz w:val="18"/>
          <w:szCs w:val="18"/>
        </w:rPr>
        <w:t>亿元，</w:t>
      </w:r>
      <w:r>
        <w:rPr>
          <w:rFonts w:ascii="SimHei" w:eastAsia="SimHei" w:hAnsi="SimHei" w:cs="SimHei"/>
          <w:color w:val="FFFFFF"/>
          <w:spacing w:val="-31"/>
          <w:position w:val="10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5"/>
          <w:position w:val="10"/>
          <w:sz w:val="18"/>
          <w:szCs w:val="18"/>
        </w:rPr>
        <w:t>是白酒行业中增长</w:t>
      </w:r>
      <w:r>
        <w:rPr>
          <w:rFonts w:ascii="SimHei" w:eastAsia="SimHei" w:hAnsi="SimHei" w:cs="SimHei"/>
          <w:color w:val="FFFFFF"/>
          <w:spacing w:val="-6"/>
          <w:position w:val="10"/>
          <w:sz w:val="18"/>
          <w:szCs w:val="18"/>
        </w:rPr>
        <w:t>潜力最</w:t>
      </w:r>
    </w:p>
    <w:p>
      <w:pPr>
        <w:pStyle w:val="BodyText"/>
        <w:spacing w:line="220" w:lineRule="auto"/>
        <w:ind w:left="96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大的价格带。次高端前三轮</w:t>
      </w:r>
      <w:r>
        <w:rPr>
          <w:rFonts w:ascii="SimHei" w:eastAsia="SimHei" w:hAnsi="SimHei" w:cs="SimHei"/>
          <w:color w:val="FFFFFF"/>
          <w:spacing w:val="-29"/>
          <w:sz w:val="18"/>
          <w:szCs w:val="18"/>
        </w:rPr>
        <w:t xml:space="preserve"> </w:t>
      </w:r>
      <w:r>
        <w:rPr>
          <w:color w:val="FFFFFF"/>
          <w:spacing w:val="-1"/>
          <w:sz w:val="18"/>
          <w:szCs w:val="18"/>
        </w:rPr>
        <w:t>2010-2012</w:t>
      </w:r>
      <w:r>
        <w:rPr>
          <w:color w:val="FFFFFF"/>
          <w:spacing w:val="-23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、</w:t>
      </w:r>
      <w:r>
        <w:rPr>
          <w:color w:val="FFFFFF"/>
          <w:spacing w:val="-1"/>
          <w:sz w:val="18"/>
          <w:szCs w:val="18"/>
        </w:rPr>
        <w:t>2016-2018</w:t>
      </w:r>
      <w:r>
        <w:rPr>
          <w:color w:val="FFFFFF"/>
          <w:spacing w:val="-23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、</w:t>
      </w:r>
      <w:r>
        <w:rPr>
          <w:color w:val="FFFFFF"/>
          <w:spacing w:val="-1"/>
          <w:sz w:val="18"/>
          <w:szCs w:val="18"/>
        </w:rPr>
        <w:t>202</w:t>
      </w:r>
      <w:r>
        <w:rPr>
          <w:color w:val="FFFFFF"/>
          <w:spacing w:val="-2"/>
          <w:sz w:val="18"/>
          <w:szCs w:val="18"/>
        </w:rPr>
        <w:t>0-2021</w:t>
      </w:r>
      <w:r>
        <w:rPr>
          <w:color w:val="FFFFFF"/>
          <w:spacing w:val="14"/>
          <w:w w:val="101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年景气期主要由高端白酒价</w:t>
      </w:r>
    </w:p>
    <w:p>
      <w:pPr>
        <w:spacing w:before="97" w:line="213" w:lineRule="auto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格提升、经济活力明显提升带来，</w:t>
      </w:r>
      <w:r>
        <w:rPr>
          <w:rFonts w:ascii="SimHei" w:eastAsia="SimHei" w:hAnsi="SimHei" w:cs="SimHei"/>
          <w:color w:val="FFFFFF"/>
          <w:spacing w:val="58"/>
          <w:w w:val="101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一般结束于宏观或行业压力事件。当前次高端酒企在经历上</w:t>
      </w:r>
    </w:p>
    <w:p>
      <w:pPr>
        <w:spacing w:before="104" w:line="213" w:lineRule="auto"/>
        <w:ind w:left="96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7"/>
          <w:sz w:val="18"/>
          <w:szCs w:val="18"/>
        </w:rPr>
        <w:t>一轮景气期后普遍面临批价承压、渠道库存较高等问题，</w:t>
      </w:r>
      <w:r>
        <w:rPr>
          <w:rFonts w:ascii="SimHei" w:eastAsia="SimHei" w:hAnsi="SimHei" w:cs="SimHei"/>
          <w:color w:val="FFFFFF"/>
          <w:spacing w:val="49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7"/>
          <w:sz w:val="18"/>
          <w:szCs w:val="18"/>
        </w:rPr>
        <w:t>叠加经济放缓，</w:t>
      </w:r>
      <w:r>
        <w:rPr>
          <w:rFonts w:ascii="SimHei" w:eastAsia="SimHei" w:hAnsi="SimHei" w:cs="SimHei"/>
          <w:color w:val="FFFFFF"/>
          <w:spacing w:val="44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7"/>
          <w:sz w:val="18"/>
          <w:szCs w:val="18"/>
        </w:rPr>
        <w:t>行业从过热</w:t>
      </w:r>
      <w:r>
        <w:rPr>
          <w:rFonts w:ascii="SimHei" w:eastAsia="SimHei" w:hAnsi="SimHei" w:cs="SimHei"/>
          <w:color w:val="FFFFFF"/>
          <w:spacing w:val="-8"/>
          <w:sz w:val="18"/>
          <w:szCs w:val="18"/>
        </w:rPr>
        <w:t>期进入冷</w:t>
      </w:r>
    </w:p>
    <w:p>
      <w:pPr>
        <w:spacing w:before="104" w:line="213" w:lineRule="auto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静期，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未来竞争更看酒企深度运营能力。当前我们推荐经营稳健业绩确定性较足的汾酒，</w:t>
      </w:r>
      <w:r>
        <w:rPr>
          <w:rFonts w:ascii="SimHei" w:eastAsia="SimHei" w:hAnsi="SimHei" w:cs="SimHei"/>
          <w:color w:val="FFFFFF"/>
          <w:spacing w:val="61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建议</w:t>
      </w:r>
    </w:p>
    <w:p>
      <w:pPr>
        <w:spacing w:before="104" w:line="222" w:lineRule="auto"/>
        <w:ind w:left="974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关注内外部改善下有望逐步修复的水井坊、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舍得酒业、酒鬼酒。</w:t>
      </w:r>
    </w:p>
    <w:p>
      <w:pPr>
        <w:spacing w:before="24"/>
      </w:pPr>
    </w:p>
    <w:p>
      <w:pPr>
        <w:spacing w:before="24"/>
      </w:pPr>
    </w:p>
    <w:p>
      <w:pPr>
        <w:spacing w:before="23"/>
      </w:pPr>
    </w:p>
    <w:p>
      <w:pPr>
        <w:spacing w:before="23"/>
      </w:pPr>
    </w:p>
    <w:p>
      <w:pPr>
        <w:sectPr>
          <w:headerReference w:type="default" r:id="rId9"/>
          <w:pgSz w:w="11907" w:h="16839"/>
          <w:pgMar w:top="400" w:right="1" w:bottom="0" w:left="0" w:header="0" w:footer="0" w:gutter="0"/>
          <w:pgNumType w:start="3"/>
          <w:cols w:num="1" w:space="708" w:equalWidth="0">
            <w:col w:w="11905" w:space="0"/>
          </w:cols>
        </w:sectPr>
      </w:pPr>
    </w:p>
    <w:p>
      <w:pPr>
        <w:spacing w:before="48" w:line="227" w:lineRule="auto"/>
        <w:ind w:left="127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6"/>
          <w:sz w:val="31"/>
          <w:szCs w:val="31"/>
        </w:rPr>
        <w:t>分析师及联系人</w:t>
      </w: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4" w:line="1133" w:lineRule="exact"/>
        <w:ind w:firstLine="5323"/>
      </w:pPr>
      <w:r>
        <w:rPr>
          <w:position w:val="-22"/>
        </w:rPr>
        <w:drawing>
          <wp:inline distT="0" distB="0" distL="0" distR="0">
            <wp:extent cx="719455" cy="7194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 w:line="223" w:lineRule="auto"/>
        <w:ind w:left="3324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89.25pt;height:28.45pt;margin-top:4.62pt;margin-left:17.4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504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董思远</w:t>
                  </w:r>
                </w:p>
                <w:p>
                  <w:pPr>
                    <w:pStyle w:val="BodyText"/>
                    <w:spacing w:before="95" w:line="190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SAC</w:t>
                  </w:r>
                  <w:r>
                    <w:rPr>
                      <w:rFonts w:ascii="STXihei" w:eastAsia="STXihei" w:hAnsi="STXihei" w:cs="STXihei"/>
                      <w:spacing w:val="-1"/>
                      <w:sz w:val="16"/>
                      <w:szCs w:val="16"/>
                    </w:rPr>
                    <w:t>：</w:t>
                  </w:r>
                  <w:r>
                    <w:rPr>
                      <w:spacing w:val="-1"/>
                      <w:sz w:val="16"/>
                      <w:szCs w:val="16"/>
                    </w:rPr>
                    <w:t>S0490517070016</w:t>
                  </w:r>
                </w:p>
              </w:txbxContent>
            </v:textbox>
          </v:shape>
        </w:pict>
      </w:r>
      <w:r>
        <w:pict>
          <v:shape id="_x0000_s1027" type="#_x0000_t202" style="width:89.25pt;height:28.45pt;margin-top:4.62pt;margin-left:254.45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50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朱梦兰</w:t>
                  </w:r>
                </w:p>
                <w:p>
                  <w:pPr>
                    <w:pStyle w:val="BodyText"/>
                    <w:spacing w:before="96" w:line="190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SAC</w:t>
                  </w:r>
                  <w:r>
                    <w:rPr>
                      <w:rFonts w:ascii="STXihei" w:eastAsia="STXihei" w:hAnsi="STXihei" w:cs="STXihei"/>
                      <w:spacing w:val="-1"/>
                      <w:sz w:val="16"/>
                      <w:szCs w:val="16"/>
                    </w:rPr>
                    <w:t>：</w:t>
                  </w:r>
                  <w:r>
                    <w:rPr>
                      <w:spacing w:val="-1"/>
                      <w:sz w:val="16"/>
                      <w:szCs w:val="16"/>
                    </w:rPr>
                    <w:t>S0490522050003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2"/>
          <w:sz w:val="21"/>
          <w:szCs w:val="21"/>
        </w:rPr>
        <w:t>徐爽</w:t>
      </w:r>
    </w:p>
    <w:p>
      <w:pPr>
        <w:pStyle w:val="BodyText"/>
        <w:spacing w:before="97" w:line="190" w:lineRule="auto"/>
        <w:ind w:left="2739"/>
        <w:rPr>
          <w:sz w:val="16"/>
          <w:szCs w:val="16"/>
        </w:rPr>
      </w:pPr>
      <w:r>
        <w:rPr>
          <w:spacing w:val="-1"/>
          <w:sz w:val="16"/>
          <w:szCs w:val="16"/>
        </w:rPr>
        <w:t>SAC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>S0490520030001</w:t>
      </w:r>
    </w:p>
    <w:p>
      <w:pPr>
        <w:pStyle w:val="BodyText"/>
        <w:spacing w:line="407" w:lineRule="auto"/>
      </w:pPr>
    </w:p>
    <w:p>
      <w:pPr>
        <w:spacing w:line="1133" w:lineRule="exact"/>
        <w:ind w:firstLine="583"/>
      </w:pPr>
      <w:r>
        <w:rPr>
          <w:position w:val="-22"/>
        </w:rPr>
        <w:drawing>
          <wp:inline distT="0" distB="0" distL="0" distR="0">
            <wp:extent cx="719455" cy="71945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 w:line="223" w:lineRule="auto"/>
        <w:ind w:left="84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石智坤</w:t>
      </w:r>
    </w:p>
    <w:p>
      <w:pPr>
        <w:pStyle w:val="BodyText"/>
        <w:spacing w:before="97" w:line="190" w:lineRule="auto"/>
        <w:ind w:left="367"/>
        <w:rPr>
          <w:sz w:val="16"/>
          <w:szCs w:val="16"/>
        </w:rPr>
      </w:pPr>
      <w:r>
        <w:rPr>
          <w:spacing w:val="-1"/>
          <w:sz w:val="16"/>
          <w:szCs w:val="16"/>
        </w:rPr>
        <w:t>SAC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>S0490522090002</w:t>
      </w:r>
    </w:p>
    <w:p>
      <w:pPr>
        <w:spacing w:line="190" w:lineRule="auto"/>
        <w:rPr>
          <w:sz w:val="16"/>
          <w:szCs w:val="16"/>
        </w:rPr>
        <w:sectPr>
          <w:headerReference w:type="default" r:id="rId12"/>
          <w:type w:val="continuous"/>
          <w:pgSz w:w="11907" w:h="16839"/>
          <w:pgMar w:top="400" w:right="1" w:bottom="0" w:left="0" w:header="0" w:footer="0" w:gutter="0"/>
          <w:pgNumType w:start="4"/>
          <w:cols w:num="2" w:sep="1" w:space="708" w:equalWidth="0">
            <w:col w:w="3861" w:space="100"/>
            <w:col w:w="7945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3"/>
          <w:type w:val="continuous"/>
          <w:pgSz w:w="11907" w:h="16839"/>
          <w:pgMar w:top="400" w:right="1" w:bottom="0" w:left="0" w:header="0" w:footer="0" w:gutter="0"/>
          <w:pgNumType w:start="5"/>
          <w:cols w:num="1" w:space="708" w:equalWidth="0">
            <w:col w:w="11905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52" w:line="188" w:lineRule="auto"/>
        <w:ind w:left="856"/>
        <w:rPr>
          <w:rFonts w:ascii="SimHei" w:eastAsia="SimHei" w:hAnsi="SimHei" w:cs="SimHei"/>
          <w:sz w:val="16"/>
          <w:szCs w:val="16"/>
        </w:rPr>
      </w:pPr>
      <w:r>
        <w:pict>
          <v:shape id="_x0000_s1028" type="#_x0000_t202" style="width:25.6pt;height:9.65pt;margin-top:2.59pt;margin-left:527.78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9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pacing w:val="-2"/>
                      <w:sz w:val="16"/>
                      <w:szCs w:val="16"/>
                    </w:rPr>
                    <w:t>2</w:t>
                  </w:r>
                  <w:r>
                    <w:rPr>
                      <w:b/>
                      <w:bCs/>
                      <w:spacing w:val="40"/>
                      <w:w w:val="102"/>
                      <w:sz w:val="16"/>
                      <w:szCs w:val="16"/>
                    </w:rPr>
                    <w:t xml:space="preserve"> </w:t>
                  </w:r>
                  <w:r>
                    <w:rPr>
                      <w:b/>
                      <w:bCs/>
                      <w:spacing w:val="-2"/>
                      <w:sz w:val="16"/>
                      <w:szCs w:val="16"/>
                    </w:rPr>
                    <w:t>/  39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spacing w:line="188" w:lineRule="auto"/>
        <w:rPr>
          <w:rFonts w:ascii="SimHei" w:eastAsia="SimHei" w:hAnsi="SimHei" w:cs="SimHei"/>
          <w:sz w:val="16"/>
          <w:szCs w:val="16"/>
        </w:rPr>
        <w:sectPr>
          <w:headerReference w:type="default" r:id="rId14"/>
          <w:type w:val="nextPage"/>
          <w:pgSz w:w="11907" w:h="16839"/>
          <w:pgMar w:top="400" w:right="1" w:bottom="0" w:left="0" w:header="0" w:footer="0" w:gutter="0"/>
          <w:pgNumType w:start="6"/>
          <w:cols w:num="1" w:space="708" w:equalWidth="0">
            <w:col w:w="11905" w:space="0"/>
          </w:cols>
          <w:titlePg w:val="0"/>
        </w:sectPr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8" cy="25526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7938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</w:pPr>
    </w:p>
    <w:tbl>
      <w:tblPr>
        <w:tblStyle w:val="TableNormal0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6"/>
        </w:trPr>
        <w:tc>
          <w:tcPr>
            <w:tcW w:w="7357" w:type="dxa"/>
            <w:tcBorders>
              <w:top w:val="single" w:sz="10" w:space="0" w:color="E10000"/>
              <w:bottom w:val="single" w:sz="6" w:space="0" w:color="E10000"/>
            </w:tcBorders>
            <w:vAlign w:val="top"/>
          </w:tcPr>
          <w:p>
            <w:pPr>
              <w:spacing w:before="153" w:line="222" w:lineRule="auto"/>
              <w:ind w:left="3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白酒与葡萄酒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108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before="145" w:line="231" w:lineRule="auto"/>
              <w:ind w:left="21" w:right="9" w:hanging="12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11"/>
                <w:sz w:val="36"/>
                <w:szCs w:val="36"/>
              </w:rPr>
              <w:t>饮酒思源系列（十六</w:t>
            </w:r>
            <w:r>
              <w:rPr>
                <w:rFonts w:ascii="SimHei" w:eastAsia="SimHei" w:hAnsi="SimHei" w:cs="SimHei"/>
                <w:color w:val="E10000"/>
                <w:spacing w:val="-7"/>
                <w:sz w:val="36"/>
                <w:szCs w:val="36"/>
              </w:rPr>
              <w:t>）：</w:t>
            </w:r>
            <w:r>
              <w:rPr>
                <w:rFonts w:ascii="SimHei" w:eastAsia="SimHei" w:hAnsi="SimHei" w:cs="SimHei"/>
                <w:color w:val="E10000"/>
                <w:spacing w:val="-11"/>
                <w:sz w:val="36"/>
                <w:szCs w:val="36"/>
              </w:rPr>
              <w:t>次高端白酒——从普遍</w:t>
            </w:r>
            <w:r>
              <w:rPr>
                <w:rFonts w:ascii="SimHei" w:eastAsia="SimHei" w:hAnsi="SimHei" w:cs="SimHei"/>
                <w:color w:val="E10000"/>
                <w:sz w:val="36"/>
                <w:szCs w:val="36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3"/>
                <w:sz w:val="36"/>
                <w:szCs w:val="36"/>
              </w:rPr>
              <w:t>繁荣迈向有序竞争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7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214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7"/>
                <w:sz w:val="21"/>
                <w:szCs w:val="21"/>
              </w:rPr>
              <w:t>次高端：高潜成长，</w:t>
            </w:r>
            <w:r>
              <w:rPr>
                <w:rFonts w:ascii="SimHei" w:eastAsia="SimHei" w:hAnsi="SimHei" w:cs="SimHei"/>
                <w:color w:val="E10000"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7"/>
                <w:sz w:val="21"/>
                <w:szCs w:val="21"/>
              </w:rPr>
              <w:t>放大周期</w:t>
            </w:r>
          </w:p>
          <w:p>
            <w:pPr>
              <w:pStyle w:val="TableText"/>
              <w:spacing w:before="212" w:line="280" w:lineRule="auto"/>
              <w:ind w:left="5" w:right="9" w:firstLine="5"/>
            </w:pPr>
            <w:r>
              <w:rPr>
                <w:spacing w:val="-5"/>
              </w:rPr>
              <w:t>次高端价格带主要指</w:t>
            </w:r>
            <w:r>
              <w:rPr>
                <w:spacing w:val="4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300-800</w:t>
            </w:r>
            <w:r>
              <w:rPr>
                <w:rFonts w:ascii="Arial" w:eastAsia="Arial" w:hAnsi="Arial" w:cs="Arial"/>
                <w:spacing w:val="17"/>
                <w:w w:val="101"/>
              </w:rPr>
              <w:t xml:space="preserve"> </w:t>
            </w:r>
            <w:r>
              <w:rPr>
                <w:spacing w:val="-5"/>
              </w:rPr>
              <w:t xml:space="preserve">元价格带，   </w:t>
            </w:r>
            <w:r>
              <w:rPr>
                <w:rFonts w:ascii="Arial" w:eastAsia="Arial" w:hAnsi="Arial" w:cs="Arial"/>
                <w:spacing w:val="-5"/>
              </w:rPr>
              <w:t>2023</w:t>
            </w:r>
            <w:r>
              <w:rPr>
                <w:rFonts w:ascii="Arial" w:eastAsia="Arial" w:hAnsi="Arial" w:cs="Arial"/>
                <w:spacing w:val="21"/>
              </w:rPr>
              <w:t xml:space="preserve"> </w:t>
            </w:r>
            <w:r>
              <w:rPr>
                <w:spacing w:val="-5"/>
              </w:rPr>
              <w:t>年规模约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1475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5"/>
              </w:rPr>
              <w:t>亿元，小于高端酒和大众酒，</w:t>
            </w:r>
            <w:r>
              <w:t xml:space="preserve">  </w:t>
            </w:r>
            <w:r>
              <w:rPr>
                <w:rFonts w:ascii="Arial" w:eastAsia="Arial" w:hAnsi="Arial" w:cs="Arial"/>
                <w:spacing w:val="-1"/>
              </w:rPr>
              <w:t xml:space="preserve">2016-2023 </w:t>
            </w:r>
            <w:r>
              <w:rPr>
                <w:spacing w:val="-1"/>
              </w:rPr>
              <w:t>年收入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CAGR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spacing w:val="-1"/>
              </w:rPr>
              <w:t>为约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30%</w:t>
            </w:r>
            <w:r>
              <w:rPr>
                <w:spacing w:val="-1"/>
              </w:rPr>
              <w:t>，各价格带中增速最快，</w:t>
            </w:r>
            <w:r>
              <w:rPr>
                <w:rFonts w:ascii="Arial" w:eastAsia="Arial" w:hAnsi="Arial" w:cs="Arial"/>
                <w:spacing w:val="-1"/>
              </w:rPr>
              <w:t xml:space="preserve">CR3 </w:t>
            </w:r>
            <w:r>
              <w:rPr>
                <w:spacing w:val="-1"/>
              </w:rPr>
              <w:t>约为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3%</w:t>
            </w:r>
            <w:r>
              <w:rPr>
                <w:spacing w:val="-1"/>
              </w:rPr>
              <w:t>，集中度相</w:t>
            </w:r>
            <w:r>
              <w:rPr>
                <w:spacing w:val="-2"/>
              </w:rPr>
              <w:t>较高端</w:t>
            </w:r>
            <w:r>
              <w:t xml:space="preserve"> </w:t>
            </w:r>
            <w:r>
              <w:t xml:space="preserve">酒有较大提升空间。此前次高端白酒经历了 </w:t>
            </w:r>
            <w:r>
              <w:rPr>
                <w:rFonts w:ascii="Arial" w:eastAsia="Arial" w:hAnsi="Arial" w:cs="Arial"/>
              </w:rPr>
              <w:t>2010-2012</w:t>
            </w:r>
            <w:r>
              <w:t>、</w:t>
            </w:r>
            <w:r>
              <w:rPr>
                <w:rFonts w:ascii="Arial" w:eastAsia="Arial" w:hAnsi="Arial" w:cs="Arial"/>
              </w:rPr>
              <w:t>2016-2018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2020-2021 </w:t>
            </w:r>
            <w:r>
              <w:rPr>
                <w:spacing w:val="-1"/>
              </w:rPr>
              <w:t>年几次景气</w:t>
            </w:r>
            <w:r>
              <w:t xml:space="preserve"> </w:t>
            </w:r>
            <w:r>
              <w:rPr>
                <w:spacing w:val="-7"/>
              </w:rPr>
              <w:t>周期。次高端酒向上受到高端酒价格带上移的引领，   向下受到大众酒升级的托举，   长期来看行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7"/>
              </w:rPr>
              <w:t>业成长空间仍然充足，</w:t>
            </w:r>
            <w:r>
              <w:rPr>
                <w:spacing w:val="22"/>
              </w:rPr>
              <w:t xml:space="preserve">  </w:t>
            </w:r>
            <w:r>
              <w:rPr>
                <w:spacing w:val="-7"/>
              </w:rPr>
              <w:t>短期来看在经济周期及价格竞争两重维度的影响下波动相对更大，</w:t>
            </w:r>
            <w:r>
              <w:rPr>
                <w:spacing w:val="11"/>
                <w:w w:val="101"/>
              </w:rPr>
              <w:t xml:space="preserve">  </w:t>
            </w:r>
            <w:r>
              <w:rPr>
                <w:spacing w:val="-7"/>
              </w:rPr>
              <w:t>但潜</w:t>
            </w:r>
            <w:r>
              <w:t xml:space="preserve"> </w:t>
            </w:r>
            <w:r>
              <w:rPr>
                <w:spacing w:val="-2"/>
              </w:rPr>
              <w:t>在成长性仍不容忽视，优质品牌仍将持续跑赢。</w:t>
            </w:r>
          </w:p>
          <w:p>
            <w:pPr>
              <w:spacing w:before="179" w:line="222" w:lineRule="auto"/>
              <w:ind w:left="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看历史：景气上行价格带扩充</w:t>
            </w:r>
            <w:r>
              <w:rPr>
                <w:rFonts w:ascii="Arial" w:eastAsia="Arial" w:hAnsi="Arial" w:cs="Arial"/>
                <w:color w:val="E10000"/>
                <w:sz w:val="21"/>
                <w:szCs w:val="21"/>
              </w:rPr>
              <w:t>+</w:t>
            </w: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渠道扩张带来快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速成长</w:t>
            </w:r>
          </w:p>
          <w:p>
            <w:pPr>
              <w:pStyle w:val="TableText"/>
              <w:spacing w:before="186" w:line="282" w:lineRule="auto"/>
              <w:ind w:left="6" w:right="7" w:firstLine="1"/>
              <w:jc w:val="both"/>
            </w:pPr>
            <w:r>
              <w:rPr>
                <w:spacing w:val="-2"/>
              </w:rPr>
              <w:t xml:space="preserve">复盘过去的次高端景气期，  </w:t>
            </w:r>
            <w:r>
              <w:rPr>
                <w:rFonts w:ascii="Arial" w:eastAsia="Arial" w:hAnsi="Arial" w:cs="Arial"/>
                <w:spacing w:val="-2"/>
              </w:rPr>
              <w:t xml:space="preserve">2016  </w:t>
            </w:r>
            <w:r>
              <w:rPr>
                <w:spacing w:val="-2"/>
              </w:rPr>
              <w:t>年以来经济和居民收入增长推动消费升级，行业走出深</w:t>
            </w:r>
            <w:r>
              <w:rPr>
                <w:spacing w:val="-3"/>
              </w:rPr>
              <w:t>度调</w:t>
            </w:r>
            <w:r>
              <w:t xml:space="preserve"> </w:t>
            </w:r>
            <w:r>
              <w:rPr>
                <w:spacing w:val="-1"/>
              </w:rPr>
              <w:t>整期，高端和次高端也收获结构性机会，高端酒量价齐升率先引领了行业增长，其后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2017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t xml:space="preserve"> </w:t>
            </w:r>
            <w:r>
              <w:rPr>
                <w:spacing w:val="-5"/>
              </w:rPr>
              <w:t xml:space="preserve">次高端开始萌芽，   </w:t>
            </w:r>
            <w:r>
              <w:rPr>
                <w:rFonts w:ascii="Arial" w:eastAsia="Arial" w:hAnsi="Arial" w:cs="Arial"/>
                <w:spacing w:val="-5"/>
              </w:rPr>
              <w:t xml:space="preserve">2018  </w:t>
            </w:r>
            <w:r>
              <w:rPr>
                <w:spacing w:val="-5"/>
              </w:rPr>
              <w:t>年整体进入快速增</w:t>
            </w:r>
            <w:r>
              <w:rPr>
                <w:spacing w:val="-6"/>
              </w:rPr>
              <w:t>长，   本轮景气期次高端行业逐渐出现挤压式增长态</w:t>
            </w:r>
            <w:r>
              <w:t xml:space="preserve"> </w:t>
            </w:r>
            <w:r>
              <w:rPr>
                <w:spacing w:val="-4"/>
              </w:rPr>
              <w:t>势， 有品牌力、通过自身变革实现渠道模式升级的水井、汾酒等酒企收获快速增长。</w:t>
            </w:r>
            <w:r>
              <w:rPr>
                <w:rFonts w:ascii="Arial" w:eastAsia="Arial" w:hAnsi="Arial" w:cs="Arial"/>
                <w:spacing w:val="-4"/>
              </w:rPr>
              <w:t xml:space="preserve">2019 </w:t>
            </w:r>
            <w:r>
              <w:rPr>
                <w:spacing w:val="-4"/>
              </w:rPr>
              <w:t>年行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业短暂承压后，</w:t>
            </w:r>
            <w:r>
              <w:rPr>
                <w:spacing w:val="27"/>
              </w:rPr>
              <w:t xml:space="preserve">  </w:t>
            </w:r>
            <w:r>
              <w:rPr>
                <w:rFonts w:ascii="Arial" w:eastAsia="Arial" w:hAnsi="Arial" w:cs="Arial"/>
                <w:spacing w:val="-4"/>
              </w:rPr>
              <w:t>2020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4"/>
              </w:rPr>
              <w:t>年开始高端酒价格抬升，次高端孕育出新的</w:t>
            </w:r>
            <w:r>
              <w:rPr>
                <w:spacing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500-800</w:t>
            </w:r>
            <w:r>
              <w:rPr>
                <w:rFonts w:ascii="Arial" w:eastAsia="Arial" w:hAnsi="Arial" w:cs="Arial"/>
                <w:spacing w:val="15"/>
                <w:w w:val="101"/>
              </w:rPr>
              <w:t xml:space="preserve"> </w:t>
            </w:r>
            <w:r>
              <w:rPr>
                <w:spacing w:val="-4"/>
              </w:rPr>
              <w:t>元价格带，酒企进</w:t>
            </w:r>
            <w:r>
              <w:t xml:space="preserve"> </w:t>
            </w:r>
            <w:r>
              <w:rPr>
                <w:spacing w:val="-6"/>
              </w:rPr>
              <w:t>行战略布局产品结构提升，</w:t>
            </w:r>
            <w:r>
              <w:rPr>
                <w:spacing w:val="14"/>
                <w:w w:val="101"/>
              </w:rPr>
              <w:t xml:space="preserve">  </w:t>
            </w:r>
            <w:r>
              <w:rPr>
                <w:spacing w:val="-6"/>
              </w:rPr>
              <w:t>此外收获价格红利，</w:t>
            </w:r>
            <w:r>
              <w:rPr>
                <w:spacing w:val="11"/>
                <w:w w:val="101"/>
              </w:rPr>
              <w:t xml:space="preserve">  </w:t>
            </w:r>
            <w:r>
              <w:rPr>
                <w:spacing w:val="-6"/>
              </w:rPr>
              <w:t xml:space="preserve">价格逻辑下酱香型白酒的火热成为 </w:t>
            </w:r>
            <w:r>
              <w:rPr>
                <w:rFonts w:ascii="Arial" w:eastAsia="Arial" w:hAnsi="Arial" w:cs="Arial"/>
                <w:spacing w:val="-6"/>
              </w:rPr>
              <w:t>2020-2021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1"/>
              </w:rPr>
              <w:t>景气期的新亮点，本轮景气期产品周期向上且招商迅速的酒鬼酒、舍得酒业成长最快。</w:t>
            </w:r>
          </w:p>
          <w:p>
            <w:pPr>
              <w:spacing w:before="179" w:line="223" w:lineRule="auto"/>
              <w:ind w:left="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析当下：回归有序增长后行业竞争看酒企深度运营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能力</w:t>
            </w:r>
          </w:p>
          <w:p>
            <w:pPr>
              <w:pStyle w:val="TableText"/>
              <w:spacing w:before="186" w:line="280" w:lineRule="auto"/>
              <w:ind w:left="2" w:firstLine="19"/>
            </w:pPr>
            <w:r>
              <w:rPr>
                <w:spacing w:val="-3"/>
              </w:rPr>
              <w:t xml:space="preserve">内部看，当前次高端酒企普遍面临上一轮景气期扩张后的阶段性批价、库存等压力；外部看，  </w:t>
            </w:r>
            <w:r>
              <w:rPr>
                <w:spacing w:val="-8"/>
              </w:rPr>
              <w:t>相比前两轮次高端景气期，   当前经济指标和高端酒批价等先行指标一定程度承压，</w:t>
            </w:r>
            <w:r>
              <w:rPr>
                <w:spacing w:val="23"/>
              </w:rPr>
              <w:t xml:space="preserve">  </w:t>
            </w:r>
            <w:r>
              <w:rPr>
                <w:spacing w:val="-8"/>
              </w:rPr>
              <w:t xml:space="preserve">次高端白酒  </w:t>
            </w:r>
            <w:r>
              <w:rPr>
                <w:spacing w:val="-5"/>
              </w:rPr>
              <w:t>发展面临从过热向冷却的缓冲阶段。未来去看，</w:t>
            </w:r>
            <w:r>
              <w:rPr>
                <w:spacing w:val="14"/>
              </w:rPr>
              <w:t xml:space="preserve">  </w:t>
            </w:r>
            <w:r>
              <w:rPr>
                <w:spacing w:val="-5"/>
              </w:rPr>
              <w:t xml:space="preserve">政策刺激下经济有望出现拐点、价格升级的长  </w:t>
            </w:r>
            <w:r>
              <w:rPr>
                <w:spacing w:val="-8"/>
              </w:rPr>
              <w:t>期趋势不改，   内外部问题已有逐步消化的趋势，</w:t>
            </w:r>
            <w:r>
              <w:rPr>
                <w:spacing w:val="23"/>
              </w:rPr>
              <w:t xml:space="preserve">  </w:t>
            </w:r>
            <w:r>
              <w:rPr>
                <w:spacing w:val="-8"/>
              </w:rPr>
              <w:t xml:space="preserve">行业有望逐步回归良性成长态势。过热期后行  </w:t>
            </w:r>
            <w:r>
              <w:rPr>
                <w:spacing w:val="-5"/>
              </w:rPr>
              <w:t>业逐渐回归有序增长，进入深度竞争期，酒企</w:t>
            </w:r>
            <w:r>
              <w:rPr>
                <w:spacing w:val="-6"/>
              </w:rPr>
              <w:t>的核心竞争能力逐渐从品牌</w:t>
            </w:r>
            <w:r>
              <w:rPr>
                <w:rFonts w:ascii="Arial" w:eastAsia="Arial" w:hAnsi="Arial" w:cs="Arial"/>
                <w:spacing w:val="-6"/>
              </w:rPr>
              <w:t>+</w:t>
            </w:r>
            <w:r>
              <w:rPr>
                <w:spacing w:val="-6"/>
              </w:rPr>
              <w:t>渠道变为品牌</w:t>
            </w:r>
            <w:r>
              <w:rPr>
                <w:rFonts w:ascii="Arial" w:eastAsia="Arial" w:hAnsi="Arial" w:cs="Arial"/>
                <w:spacing w:val="-6"/>
              </w:rPr>
              <w:t>+</w:t>
            </w:r>
            <w:r>
              <w:rPr>
                <w:spacing w:val="-6"/>
              </w:rPr>
              <w:t>运营，</w:t>
            </w:r>
            <w:r>
              <w:t xml:space="preserve"> </w:t>
            </w:r>
            <w:r>
              <w:rPr>
                <w:spacing w:val="-2"/>
              </w:rPr>
              <w:t>能够稳定管理渠道和与消费者深度连接的酒企有望获得竞争优势。</w:t>
            </w:r>
          </w:p>
          <w:p>
            <w:pPr>
              <w:spacing w:before="179" w:line="222" w:lineRule="auto"/>
              <w:ind w:left="1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寻公司：重点推荐具备全国化能力与品牌张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力的次高端酒企</w:t>
            </w:r>
          </w:p>
          <w:p>
            <w:pPr>
              <w:pStyle w:val="TableText"/>
              <w:spacing w:before="185" w:line="280" w:lineRule="auto"/>
              <w:ind w:left="4" w:right="9" w:firstLine="5"/>
              <w:jc w:val="both"/>
            </w:pPr>
            <w:r>
              <w:rPr>
                <w:spacing w:val="-4"/>
              </w:rPr>
              <w:t>前期特殊事件影响消费场景、消费能力致使次高端酒企普遍经营承压，</w:t>
            </w:r>
            <w:r>
              <w:rPr>
                <w:spacing w:val="14"/>
                <w:w w:val="102"/>
              </w:rPr>
              <w:t xml:space="preserve">  </w:t>
            </w:r>
            <w:r>
              <w:rPr>
                <w:spacing w:val="-4"/>
              </w:rPr>
              <w:t>其股价前期也出现较大</w:t>
            </w:r>
            <w:r>
              <w:t xml:space="preserve"> </w:t>
            </w:r>
            <w:r>
              <w:rPr>
                <w:spacing w:val="-6"/>
              </w:rPr>
              <w:t xml:space="preserve">回撤，  </w:t>
            </w:r>
            <w:r>
              <w:rPr>
                <w:rFonts w:ascii="Arial" w:eastAsia="Arial" w:hAnsi="Arial" w:cs="Arial"/>
                <w:spacing w:val="-6"/>
              </w:rPr>
              <w:t>2024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20</w:t>
            </w:r>
            <w:r>
              <w:rPr>
                <w:rFonts w:ascii="Arial" w:eastAsia="Arial" w:hAnsi="Arial" w:cs="Arial"/>
                <w:spacing w:val="36"/>
                <w:w w:val="101"/>
              </w:rPr>
              <w:t xml:space="preserve"> </w:t>
            </w:r>
            <w:r>
              <w:rPr>
                <w:spacing w:val="-6"/>
              </w:rPr>
              <w:t>日收盘价看，  次高端酒企估值整体处</w:t>
            </w:r>
            <w:r>
              <w:rPr>
                <w:spacing w:val="-7"/>
              </w:rPr>
              <w:t>于近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5</w:t>
            </w:r>
            <w:r>
              <w:rPr>
                <w:rFonts w:ascii="Arial" w:eastAsia="Arial" w:hAnsi="Arial" w:cs="Arial"/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年的</w:t>
            </w:r>
            <w:r>
              <w:rPr>
                <w:spacing w:val="28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10%</w:t>
            </w:r>
            <w:r>
              <w:rPr>
                <w:spacing w:val="-7"/>
              </w:rPr>
              <w:t>分位数以下，估</w:t>
            </w:r>
            <w:r>
              <w:t xml:space="preserve"> </w:t>
            </w:r>
            <w:r>
              <w:rPr>
                <w:spacing w:val="-7"/>
              </w:rPr>
              <w:t>值性价比较高。随着需求不断复苏，</w:t>
            </w:r>
            <w:r>
              <w:rPr>
                <w:spacing w:val="16"/>
              </w:rPr>
              <w:t xml:space="preserve">  </w:t>
            </w:r>
            <w:r>
              <w:rPr>
                <w:spacing w:val="-7"/>
              </w:rPr>
              <w:t>酒企渠道库存呈现逐步回落态势，</w:t>
            </w:r>
            <w:r>
              <w:rPr>
                <w:spacing w:val="17"/>
              </w:rPr>
              <w:t xml:space="preserve">  </w:t>
            </w:r>
            <w:r>
              <w:rPr>
                <w:spacing w:val="-7"/>
              </w:rPr>
              <w:t>次高端主要大单品批价</w:t>
            </w:r>
            <w:r>
              <w:t xml:space="preserve"> </w:t>
            </w:r>
            <w:r>
              <w:rPr>
                <w:spacing w:val="-6"/>
              </w:rPr>
              <w:t>也有企稳回升的态势；</w:t>
            </w:r>
            <w:r>
              <w:rPr>
                <w:spacing w:val="18"/>
              </w:rPr>
              <w:t xml:space="preserve">  </w:t>
            </w:r>
            <w:r>
              <w:rPr>
                <w:spacing w:val="-6"/>
              </w:rPr>
              <w:t>长期看，  次高端白酒仍然受益于经济活力的提升、居民收入增长和中产</w:t>
            </w:r>
            <w:r>
              <w:t xml:space="preserve"> </w:t>
            </w:r>
            <w:r>
              <w:rPr>
                <w:spacing w:val="-4"/>
              </w:rPr>
              <w:t>群体扩大带来的消费升级，</w:t>
            </w:r>
            <w:r>
              <w:rPr>
                <w:spacing w:val="18"/>
              </w:rPr>
              <w:t xml:space="preserve">  </w:t>
            </w:r>
            <w:r>
              <w:rPr>
                <w:spacing w:val="-4"/>
              </w:rPr>
              <w:t>仍然是充满增长活力的价格带。当前我们推荐经营稳健业绩确定性</w:t>
            </w:r>
            <w:r>
              <w:t xml:space="preserve"> </w:t>
            </w:r>
            <w:r>
              <w:rPr>
                <w:spacing w:val="-1"/>
              </w:rPr>
              <w:t>较足的汾酒，建议关注内外部改善下有望逐步修复的水井坊、舍得酒业、酒鬼酒。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9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5" w:line="195" w:lineRule="auto"/>
              <w:ind w:left="19"/>
            </w:pP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spacing w:val="-2"/>
              </w:rPr>
              <w:t>、宏观经济波动导致需求修复不及预期；</w:t>
            </w:r>
          </w:p>
          <w:p>
            <w:pPr>
              <w:pStyle w:val="TableText"/>
              <w:spacing w:before="227" w:line="429" w:lineRule="exact"/>
              <w:ind w:left="5"/>
            </w:pPr>
            <w:r>
              <w:rPr>
                <w:rFonts w:ascii="Arial" w:eastAsia="Arial" w:hAnsi="Arial" w:cs="Arial"/>
                <w:spacing w:val="-1"/>
                <w:position w:val="21"/>
              </w:rPr>
              <w:t>2</w:t>
            </w:r>
            <w:r>
              <w:rPr>
                <w:spacing w:val="-1"/>
                <w:position w:val="21"/>
              </w:rPr>
              <w:t>、市场价格大幅波动导致渠道积极性受损风险；</w:t>
            </w:r>
          </w:p>
          <w:p>
            <w:pPr>
              <w:pStyle w:val="TableText"/>
              <w:spacing w:line="198" w:lineRule="auto"/>
              <w:ind w:left="7"/>
            </w:pPr>
            <w:r>
              <w:rPr>
                <w:rFonts w:ascii="Arial" w:eastAsia="Arial" w:hAnsi="Arial" w:cs="Arial"/>
                <w:spacing w:val="-2"/>
              </w:rPr>
              <w:t>3</w:t>
            </w:r>
            <w:r>
              <w:rPr>
                <w:spacing w:val="-2"/>
              </w:rPr>
              <w:t>、行业竞争加剧导致公司盈利能力受损风险；</w:t>
            </w:r>
          </w:p>
          <w:p>
            <w:pPr>
              <w:pStyle w:val="TableText"/>
              <w:spacing w:before="226" w:line="196" w:lineRule="auto"/>
              <w:ind w:left="2"/>
            </w:pPr>
            <w:r>
              <w:rPr>
                <w:rFonts w:ascii="Arial" w:eastAsia="Arial" w:hAnsi="Arial" w:cs="Arial"/>
                <w:spacing w:val="-2"/>
              </w:rPr>
              <w:t>4</w:t>
            </w:r>
            <w:r>
              <w:rPr>
                <w:spacing w:val="-2"/>
              </w:rPr>
              <w:t>、各省消费升级进程不及预期风险。</w:t>
            </w:r>
          </w:p>
        </w:tc>
      </w:tr>
    </w:tbl>
    <w:p>
      <w:pPr>
        <w:spacing w:before="54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6"/>
          <w:footerReference w:type="default" r:id="rId17"/>
          <w:pgSz w:w="11907" w:h="16839"/>
          <w:pgMar w:top="1" w:right="0" w:bottom="1" w:left="850" w:header="0" w:footer="0" w:gutter="0"/>
          <w:pgNumType w:start="7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8" cy="255269"/>
            <wp:effectExtent l="0" t="0" r="0" b="0"/>
            <wp:docPr id="1461922688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922688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7938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</w:pPr>
    </w:p>
    <w:tbl>
      <w:tblPr>
        <w:tblStyle w:val="TableNormal1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6"/>
        </w:trPr>
        <w:tc>
          <w:tcPr>
            <w:tcW w:w="7357" w:type="dxa"/>
            <w:tcBorders>
              <w:top w:val="single" w:sz="10" w:space="0" w:color="E10000"/>
              <w:bottom w:val="single" w:sz="6" w:space="0" w:color="E10000"/>
            </w:tcBorders>
            <w:vAlign w:val="top"/>
          </w:tcPr>
          <w:p>
            <w:pPr>
              <w:spacing w:before="153" w:line="222" w:lineRule="auto"/>
              <w:ind w:left="3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白酒与葡萄酒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108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before="145" w:line="231" w:lineRule="auto"/>
              <w:ind w:left="21" w:right="9" w:hanging="12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11"/>
                <w:sz w:val="36"/>
                <w:szCs w:val="36"/>
              </w:rPr>
              <w:t>饮酒思源系列（十六</w:t>
            </w:r>
            <w:r>
              <w:rPr>
                <w:rFonts w:ascii="SimHei" w:eastAsia="SimHei" w:hAnsi="SimHei" w:cs="SimHei"/>
                <w:color w:val="E10000"/>
                <w:spacing w:val="-7"/>
                <w:sz w:val="36"/>
                <w:szCs w:val="36"/>
              </w:rPr>
              <w:t>）：</w:t>
            </w:r>
            <w:r>
              <w:rPr>
                <w:rFonts w:ascii="SimHei" w:eastAsia="SimHei" w:hAnsi="SimHei" w:cs="SimHei"/>
                <w:color w:val="E10000"/>
                <w:spacing w:val="-11"/>
                <w:sz w:val="36"/>
                <w:szCs w:val="36"/>
              </w:rPr>
              <w:t>次高端白酒——从普遍</w:t>
            </w:r>
            <w:r>
              <w:rPr>
                <w:rFonts w:ascii="SimHei" w:eastAsia="SimHei" w:hAnsi="SimHei" w:cs="SimHei"/>
                <w:color w:val="E10000"/>
                <w:sz w:val="36"/>
                <w:szCs w:val="36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3"/>
                <w:sz w:val="36"/>
                <w:szCs w:val="36"/>
              </w:rPr>
              <w:t>繁荣迈向有序竞争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7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214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7"/>
                <w:sz w:val="21"/>
                <w:szCs w:val="21"/>
              </w:rPr>
              <w:t>次高端：高潜成长，</w:t>
            </w:r>
            <w:r>
              <w:rPr>
                <w:rFonts w:ascii="SimHei" w:eastAsia="SimHei" w:hAnsi="SimHei" w:cs="SimHei"/>
                <w:color w:val="E10000"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7"/>
                <w:sz w:val="21"/>
                <w:szCs w:val="21"/>
              </w:rPr>
              <w:t>放大周期</w:t>
            </w:r>
          </w:p>
          <w:p>
            <w:pPr>
              <w:pStyle w:val="TableText"/>
              <w:spacing w:before="212" w:line="280" w:lineRule="auto"/>
              <w:ind w:left="5" w:right="9" w:firstLine="5"/>
            </w:pPr>
            <w:r>
              <w:rPr>
                <w:spacing w:val="-5"/>
              </w:rPr>
              <w:t>次高端价格带主要指</w:t>
            </w:r>
            <w:r>
              <w:rPr>
                <w:spacing w:val="4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300-800</w:t>
            </w:r>
            <w:r>
              <w:rPr>
                <w:rFonts w:ascii="Arial" w:eastAsia="Arial" w:hAnsi="Arial" w:cs="Arial"/>
                <w:spacing w:val="17"/>
                <w:w w:val="101"/>
              </w:rPr>
              <w:t xml:space="preserve"> </w:t>
            </w:r>
            <w:r>
              <w:rPr>
                <w:spacing w:val="-5"/>
              </w:rPr>
              <w:t xml:space="preserve">元价格带，   </w:t>
            </w:r>
            <w:r>
              <w:rPr>
                <w:rFonts w:ascii="Arial" w:eastAsia="Arial" w:hAnsi="Arial" w:cs="Arial"/>
                <w:spacing w:val="-5"/>
              </w:rPr>
              <w:t>2023</w:t>
            </w:r>
            <w:r>
              <w:rPr>
                <w:rFonts w:ascii="Arial" w:eastAsia="Arial" w:hAnsi="Arial" w:cs="Arial"/>
                <w:spacing w:val="21"/>
              </w:rPr>
              <w:t xml:space="preserve"> </w:t>
            </w:r>
            <w:r>
              <w:rPr>
                <w:spacing w:val="-5"/>
              </w:rPr>
              <w:t>年规模约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1475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5"/>
              </w:rPr>
              <w:t>亿元，小于高端酒和大众酒，</w:t>
            </w:r>
            <w:r>
              <w:t xml:space="preserve">  </w:t>
            </w:r>
            <w:r>
              <w:rPr>
                <w:rFonts w:ascii="Arial" w:eastAsia="Arial" w:hAnsi="Arial" w:cs="Arial"/>
                <w:spacing w:val="-1"/>
              </w:rPr>
              <w:t xml:space="preserve">2016-2023 </w:t>
            </w:r>
            <w:r>
              <w:rPr>
                <w:spacing w:val="-1"/>
              </w:rPr>
              <w:t>年收入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CAGR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spacing w:val="-1"/>
              </w:rPr>
              <w:t>为约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30%</w:t>
            </w:r>
            <w:r>
              <w:rPr>
                <w:spacing w:val="-1"/>
              </w:rPr>
              <w:t>，各价格带中增速最快，</w:t>
            </w:r>
            <w:r>
              <w:rPr>
                <w:rFonts w:ascii="Arial" w:eastAsia="Arial" w:hAnsi="Arial" w:cs="Arial"/>
                <w:spacing w:val="-1"/>
              </w:rPr>
              <w:t xml:space="preserve">CR3 </w:t>
            </w:r>
            <w:r>
              <w:rPr>
                <w:spacing w:val="-1"/>
              </w:rPr>
              <w:t>约为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3%</w:t>
            </w:r>
            <w:r>
              <w:rPr>
                <w:spacing w:val="-1"/>
              </w:rPr>
              <w:t>，集中度相</w:t>
            </w:r>
            <w:r>
              <w:rPr>
                <w:spacing w:val="-2"/>
              </w:rPr>
              <w:t>较高端</w:t>
            </w:r>
            <w:r>
              <w:t xml:space="preserve"> </w:t>
            </w:r>
            <w:r>
              <w:t xml:space="preserve">酒有较大提升空间。此前次高端白酒经历了 </w:t>
            </w:r>
            <w:r>
              <w:rPr>
                <w:rFonts w:ascii="Arial" w:eastAsia="Arial" w:hAnsi="Arial" w:cs="Arial"/>
              </w:rPr>
              <w:t>2010-2012</w:t>
            </w:r>
            <w:r>
              <w:t>、</w:t>
            </w:r>
            <w:r>
              <w:rPr>
                <w:rFonts w:ascii="Arial" w:eastAsia="Arial" w:hAnsi="Arial" w:cs="Arial"/>
              </w:rPr>
              <w:t>2016-2018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2020-2021 </w:t>
            </w:r>
            <w:r>
              <w:rPr>
                <w:spacing w:val="-1"/>
              </w:rPr>
              <w:t>年几次景气</w:t>
            </w:r>
            <w:r>
              <w:t xml:space="preserve"> </w:t>
            </w:r>
            <w:r>
              <w:rPr>
                <w:spacing w:val="-7"/>
              </w:rPr>
              <w:t>周期。次高端酒向上受到高端酒价格带上移的引领，   向下受到大众酒升级的托举，   长期来看行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7"/>
              </w:rPr>
              <w:t>业成长空间仍然充足，</w:t>
            </w:r>
            <w:r>
              <w:rPr>
                <w:spacing w:val="22"/>
              </w:rPr>
              <w:t xml:space="preserve">  </w:t>
            </w:r>
            <w:r>
              <w:rPr>
                <w:spacing w:val="-7"/>
              </w:rPr>
              <w:t>短期来看在经济周期及价格竞争两重维度的影响下波动相对更大，</w:t>
            </w:r>
            <w:r>
              <w:rPr>
                <w:spacing w:val="11"/>
                <w:w w:val="101"/>
              </w:rPr>
              <w:t xml:space="preserve">  </w:t>
            </w:r>
            <w:r>
              <w:rPr>
                <w:spacing w:val="-7"/>
              </w:rPr>
              <w:t>但潜</w:t>
            </w:r>
            <w:r>
              <w:t xml:space="preserve"> </w:t>
            </w:r>
            <w:r>
              <w:rPr>
                <w:spacing w:val="-2"/>
              </w:rPr>
              <w:t>在成长性仍不容忽视，优质品牌仍将持续跑赢。</w:t>
            </w:r>
          </w:p>
          <w:p>
            <w:pPr>
              <w:spacing w:before="179" w:line="222" w:lineRule="auto"/>
              <w:ind w:left="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看历史：景气上行价格带扩充</w:t>
            </w:r>
            <w:r>
              <w:rPr>
                <w:rFonts w:ascii="Arial" w:eastAsia="Arial" w:hAnsi="Arial" w:cs="Arial"/>
                <w:color w:val="E10000"/>
                <w:sz w:val="21"/>
                <w:szCs w:val="21"/>
              </w:rPr>
              <w:t>+</w:t>
            </w: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渠道扩张带来快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速成长</w:t>
            </w:r>
          </w:p>
          <w:p>
            <w:pPr>
              <w:pStyle w:val="TableText"/>
              <w:spacing w:before="186" w:line="282" w:lineRule="auto"/>
              <w:ind w:left="6" w:right="7" w:firstLine="1"/>
              <w:jc w:val="both"/>
            </w:pPr>
            <w:r>
              <w:rPr>
                <w:spacing w:val="-2"/>
              </w:rPr>
              <w:t xml:space="preserve">复盘过去的次高端景气期，  </w:t>
            </w:r>
            <w:r>
              <w:rPr>
                <w:rFonts w:ascii="Arial" w:eastAsia="Arial" w:hAnsi="Arial" w:cs="Arial"/>
                <w:spacing w:val="-2"/>
              </w:rPr>
              <w:t xml:space="preserve">2016  </w:t>
            </w:r>
            <w:r>
              <w:rPr>
                <w:spacing w:val="-2"/>
              </w:rPr>
              <w:t>年以来经济和居民收入增长推动消费升级，行业走出深</w:t>
            </w:r>
            <w:r>
              <w:rPr>
                <w:spacing w:val="-3"/>
              </w:rPr>
              <w:t>度调</w:t>
            </w:r>
            <w:r>
              <w:t xml:space="preserve"> </w:t>
            </w:r>
            <w:r>
              <w:rPr>
                <w:spacing w:val="-1"/>
              </w:rPr>
              <w:t>整期，高端和次高端也收获结构性机会，高端酒量价齐升率先引领了行业增长，其后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2017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t xml:space="preserve"> </w:t>
            </w:r>
            <w:r>
              <w:rPr>
                <w:spacing w:val="-5"/>
              </w:rPr>
              <w:t xml:space="preserve">次高端开始萌芽，   </w:t>
            </w:r>
            <w:r>
              <w:rPr>
                <w:rFonts w:ascii="Arial" w:eastAsia="Arial" w:hAnsi="Arial" w:cs="Arial"/>
                <w:spacing w:val="-5"/>
              </w:rPr>
              <w:t xml:space="preserve">2018  </w:t>
            </w:r>
            <w:r>
              <w:rPr>
                <w:spacing w:val="-5"/>
              </w:rPr>
              <w:t>年整体进入快速增</w:t>
            </w:r>
            <w:r>
              <w:rPr>
                <w:spacing w:val="-6"/>
              </w:rPr>
              <w:t>长，   本轮景气期次高端行业逐渐出现挤压式增长态</w:t>
            </w:r>
            <w:r>
              <w:t xml:space="preserve"> </w:t>
            </w:r>
            <w:r>
              <w:rPr>
                <w:spacing w:val="-4"/>
              </w:rPr>
              <w:t>势， 有品牌力、通过自身变革实现渠道模式升级的水井、汾酒等酒企收获快速增长。</w:t>
            </w:r>
            <w:r>
              <w:rPr>
                <w:rFonts w:ascii="Arial" w:eastAsia="Arial" w:hAnsi="Arial" w:cs="Arial"/>
                <w:spacing w:val="-4"/>
              </w:rPr>
              <w:t xml:space="preserve">2019 </w:t>
            </w:r>
            <w:r>
              <w:rPr>
                <w:spacing w:val="-4"/>
              </w:rPr>
              <w:t>年行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业短暂承压后，</w:t>
            </w:r>
            <w:r>
              <w:rPr>
                <w:spacing w:val="27"/>
              </w:rPr>
              <w:t xml:space="preserve">  </w:t>
            </w:r>
            <w:r>
              <w:rPr>
                <w:rFonts w:ascii="Arial" w:eastAsia="Arial" w:hAnsi="Arial" w:cs="Arial"/>
                <w:spacing w:val="-4"/>
              </w:rPr>
              <w:t>2020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4"/>
              </w:rPr>
              <w:t>年开始高端酒价格抬升，次高端孕育出新的</w:t>
            </w:r>
            <w:r>
              <w:rPr>
                <w:spacing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500-800</w:t>
            </w:r>
            <w:r>
              <w:rPr>
                <w:rFonts w:ascii="Arial" w:eastAsia="Arial" w:hAnsi="Arial" w:cs="Arial"/>
                <w:spacing w:val="15"/>
                <w:w w:val="101"/>
              </w:rPr>
              <w:t xml:space="preserve"> </w:t>
            </w:r>
            <w:r>
              <w:rPr>
                <w:spacing w:val="-4"/>
              </w:rPr>
              <w:t>元价格带，酒企进</w:t>
            </w:r>
            <w:r>
              <w:t xml:space="preserve"> </w:t>
            </w:r>
            <w:r>
              <w:rPr>
                <w:spacing w:val="-6"/>
              </w:rPr>
              <w:t>行战略布局产品结构提升，</w:t>
            </w:r>
            <w:r>
              <w:rPr>
                <w:spacing w:val="14"/>
                <w:w w:val="101"/>
              </w:rPr>
              <w:t xml:space="preserve">  </w:t>
            </w:r>
            <w:r>
              <w:rPr>
                <w:spacing w:val="-6"/>
              </w:rPr>
              <w:t>此外收获价格红利，</w:t>
            </w:r>
            <w:r>
              <w:rPr>
                <w:spacing w:val="11"/>
                <w:w w:val="101"/>
              </w:rPr>
              <w:t xml:space="preserve">  </w:t>
            </w:r>
            <w:r>
              <w:rPr>
                <w:spacing w:val="-6"/>
              </w:rPr>
              <w:t xml:space="preserve">价格逻辑下酱香型白酒的火热成为 </w:t>
            </w:r>
            <w:r>
              <w:rPr>
                <w:rFonts w:ascii="Arial" w:eastAsia="Arial" w:hAnsi="Arial" w:cs="Arial"/>
                <w:spacing w:val="-6"/>
              </w:rPr>
              <w:t>2020-2021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1"/>
              </w:rPr>
              <w:t>景气期的新亮点，本轮景气期产品周期向上且招商迅速的酒鬼酒、舍得酒业成长最快。</w:t>
            </w:r>
          </w:p>
          <w:p>
            <w:pPr>
              <w:spacing w:before="179" w:line="223" w:lineRule="auto"/>
              <w:ind w:left="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析当下：回归有序增长后行业竞争看酒企深度运营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能力</w:t>
            </w:r>
          </w:p>
          <w:p>
            <w:pPr>
              <w:pStyle w:val="TableText"/>
              <w:spacing w:before="186" w:line="280" w:lineRule="auto"/>
              <w:ind w:left="2" w:firstLine="19"/>
            </w:pPr>
            <w:r>
              <w:rPr>
                <w:spacing w:val="-3"/>
              </w:rPr>
              <w:t xml:space="preserve">内部看，当前次高端酒企普遍面临上一轮景气期扩张后的阶段性批价、库存等压力；外部看，  </w:t>
            </w:r>
            <w:r>
              <w:rPr>
                <w:spacing w:val="-8"/>
              </w:rPr>
              <w:t>相比前两轮次高端景气期，   当前经济指标和高端酒批价等先行指标一定程度承压，</w:t>
            </w:r>
            <w:r>
              <w:rPr>
                <w:spacing w:val="23"/>
              </w:rPr>
              <w:t xml:space="preserve">  </w:t>
            </w:r>
            <w:r>
              <w:rPr>
                <w:spacing w:val="-8"/>
              </w:rPr>
              <w:t xml:space="preserve">次高端白酒  </w:t>
            </w:r>
            <w:r>
              <w:rPr>
                <w:spacing w:val="-5"/>
              </w:rPr>
              <w:t>发展面临从过热向冷却的缓冲阶段。未来去看，</w:t>
            </w:r>
            <w:r>
              <w:rPr>
                <w:spacing w:val="14"/>
              </w:rPr>
              <w:t xml:space="preserve">  </w:t>
            </w:r>
            <w:r>
              <w:rPr>
                <w:spacing w:val="-5"/>
              </w:rPr>
              <w:t xml:space="preserve">政策刺激下经济有望出现拐点、价格升级的长  </w:t>
            </w:r>
            <w:r>
              <w:rPr>
                <w:spacing w:val="-8"/>
              </w:rPr>
              <w:t>期趋势不改，   内外部问题已有逐步消化的趋势，</w:t>
            </w:r>
            <w:r>
              <w:rPr>
                <w:spacing w:val="23"/>
              </w:rPr>
              <w:t xml:space="preserve">  </w:t>
            </w:r>
            <w:r>
              <w:rPr>
                <w:spacing w:val="-8"/>
              </w:rPr>
              <w:t xml:space="preserve">行业有望逐步回归良性成长态势。过热期后行  </w:t>
            </w:r>
            <w:r>
              <w:rPr>
                <w:spacing w:val="-5"/>
              </w:rPr>
              <w:t>业逐渐回归有序增长，进入深度竞争期，酒企</w:t>
            </w:r>
            <w:r>
              <w:rPr>
                <w:spacing w:val="-6"/>
              </w:rPr>
              <w:t>的核心竞争能力逐渐从品牌</w:t>
            </w:r>
            <w:r>
              <w:rPr>
                <w:rFonts w:ascii="Arial" w:eastAsia="Arial" w:hAnsi="Arial" w:cs="Arial"/>
                <w:spacing w:val="-6"/>
              </w:rPr>
              <w:t>+</w:t>
            </w:r>
            <w:r>
              <w:rPr>
                <w:spacing w:val="-6"/>
              </w:rPr>
              <w:t>渠道变为品牌</w:t>
            </w:r>
            <w:r>
              <w:rPr>
                <w:rFonts w:ascii="Arial" w:eastAsia="Arial" w:hAnsi="Arial" w:cs="Arial"/>
                <w:spacing w:val="-6"/>
              </w:rPr>
              <w:t>+</w:t>
            </w:r>
            <w:r>
              <w:rPr>
                <w:spacing w:val="-6"/>
              </w:rPr>
              <w:t>运营，</w:t>
            </w:r>
            <w:r>
              <w:t xml:space="preserve"> </w:t>
            </w:r>
            <w:r>
              <w:rPr>
                <w:spacing w:val="-2"/>
              </w:rPr>
              <w:t>能够稳定管理渠道和与消费者深度连接的酒企有望获得竞争优势。</w:t>
            </w:r>
          </w:p>
          <w:p>
            <w:pPr>
              <w:spacing w:before="179" w:line="222" w:lineRule="auto"/>
              <w:ind w:left="1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寻公司：重点推荐具备全国化能力与品牌张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力的次高端酒企</w:t>
            </w:r>
          </w:p>
          <w:p>
            <w:pPr>
              <w:pStyle w:val="TableText"/>
              <w:spacing w:before="185" w:line="280" w:lineRule="auto"/>
              <w:ind w:left="4" w:right="9" w:firstLine="5"/>
              <w:jc w:val="both"/>
            </w:pPr>
            <w:r>
              <w:rPr>
                <w:spacing w:val="-4"/>
              </w:rPr>
              <w:t>前期特殊事件影响消费场景、消费能力致使次高端酒企普遍经营承压，</w:t>
            </w:r>
            <w:r>
              <w:rPr>
                <w:spacing w:val="14"/>
                <w:w w:val="102"/>
              </w:rPr>
              <w:t xml:space="preserve">  </w:t>
            </w:r>
            <w:r>
              <w:rPr>
                <w:spacing w:val="-4"/>
              </w:rPr>
              <w:t>其股价前期也出现较大</w:t>
            </w:r>
            <w:r>
              <w:t xml:space="preserve"> </w:t>
            </w:r>
            <w:r>
              <w:rPr>
                <w:spacing w:val="-6"/>
              </w:rPr>
              <w:t xml:space="preserve">回撤，  </w:t>
            </w:r>
            <w:r>
              <w:rPr>
                <w:rFonts w:ascii="Arial" w:eastAsia="Arial" w:hAnsi="Arial" w:cs="Arial"/>
                <w:spacing w:val="-6"/>
              </w:rPr>
              <w:t>2024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</w:t>
            </w:r>
            <w:r>
              <w:rPr>
                <w:rFonts w:ascii="Arial" w:eastAsia="Arial" w:hAnsi="Arial" w:cs="Arial"/>
                <w:spacing w:val="14"/>
                <w:w w:val="10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20</w:t>
            </w:r>
            <w:r>
              <w:rPr>
                <w:rFonts w:ascii="Arial" w:eastAsia="Arial" w:hAnsi="Arial" w:cs="Arial"/>
                <w:spacing w:val="36"/>
                <w:w w:val="101"/>
              </w:rPr>
              <w:t xml:space="preserve"> </w:t>
            </w:r>
            <w:r>
              <w:rPr>
                <w:spacing w:val="-6"/>
              </w:rPr>
              <w:t>日收盘价看，  次高端酒企估值整体处</w:t>
            </w:r>
            <w:r>
              <w:rPr>
                <w:spacing w:val="-7"/>
              </w:rPr>
              <w:t>于近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5</w:t>
            </w:r>
            <w:r>
              <w:rPr>
                <w:rFonts w:ascii="Arial" w:eastAsia="Arial" w:hAnsi="Arial" w:cs="Arial"/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年的</w:t>
            </w:r>
            <w:r>
              <w:rPr>
                <w:spacing w:val="28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10%</w:t>
            </w:r>
            <w:r>
              <w:rPr>
                <w:spacing w:val="-7"/>
              </w:rPr>
              <w:t>分位数以下，估</w:t>
            </w:r>
            <w:r>
              <w:t xml:space="preserve"> </w:t>
            </w:r>
            <w:r>
              <w:rPr>
                <w:spacing w:val="-7"/>
              </w:rPr>
              <w:t>值性价比较高。随着需求不断复苏，</w:t>
            </w:r>
            <w:r>
              <w:rPr>
                <w:spacing w:val="16"/>
              </w:rPr>
              <w:t xml:space="preserve">  </w:t>
            </w:r>
            <w:r>
              <w:rPr>
                <w:spacing w:val="-7"/>
              </w:rPr>
              <w:t>酒企渠道库存呈现逐步回落态势，</w:t>
            </w:r>
            <w:r>
              <w:rPr>
                <w:spacing w:val="17"/>
              </w:rPr>
              <w:t xml:space="preserve">  </w:t>
            </w:r>
            <w:r>
              <w:rPr>
                <w:spacing w:val="-7"/>
              </w:rPr>
              <w:t>次高端主要大单品批价</w:t>
            </w:r>
            <w:r>
              <w:t xml:space="preserve"> </w:t>
            </w:r>
            <w:r>
              <w:rPr>
                <w:spacing w:val="-6"/>
              </w:rPr>
              <w:t>也有企稳回升的态势；</w:t>
            </w:r>
            <w:r>
              <w:rPr>
                <w:spacing w:val="18"/>
              </w:rPr>
              <w:t xml:space="preserve">  </w:t>
            </w:r>
            <w:r>
              <w:rPr>
                <w:spacing w:val="-6"/>
              </w:rPr>
              <w:t>长期看，  次高端白酒仍然受益于经济活力的提升、居民收入增长和中产</w:t>
            </w:r>
            <w:r>
              <w:t xml:space="preserve"> </w:t>
            </w:r>
            <w:r>
              <w:rPr>
                <w:spacing w:val="-4"/>
              </w:rPr>
              <w:t>群体扩大带来的消费升级，</w:t>
            </w:r>
            <w:r>
              <w:rPr>
                <w:spacing w:val="18"/>
              </w:rPr>
              <w:t xml:space="preserve">  </w:t>
            </w:r>
            <w:r>
              <w:rPr>
                <w:spacing w:val="-4"/>
              </w:rPr>
              <w:t>仍然是充满增长活力的价格带。当前我们推荐经营稳健业绩确定性</w:t>
            </w:r>
            <w:r>
              <w:t xml:space="preserve"> </w:t>
            </w:r>
            <w:r>
              <w:rPr>
                <w:spacing w:val="-1"/>
              </w:rPr>
              <w:t>较足的汾酒，建议关注内外部改善下有望逐步修复的水井坊、舍得酒业、酒鬼酒。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9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5" w:line="195" w:lineRule="auto"/>
              <w:ind w:left="19"/>
            </w:pP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spacing w:val="-2"/>
              </w:rPr>
              <w:t>、宏观经济波动导致需求修复不及预期；</w:t>
            </w:r>
          </w:p>
          <w:p>
            <w:pPr>
              <w:pStyle w:val="TableText"/>
              <w:spacing w:before="227" w:line="429" w:lineRule="exact"/>
              <w:ind w:left="5"/>
            </w:pPr>
            <w:r>
              <w:rPr>
                <w:rFonts w:ascii="Arial" w:eastAsia="Arial" w:hAnsi="Arial" w:cs="Arial"/>
                <w:spacing w:val="-1"/>
                <w:position w:val="21"/>
              </w:rPr>
              <w:t>2</w:t>
            </w:r>
            <w:r>
              <w:rPr>
                <w:spacing w:val="-1"/>
                <w:position w:val="21"/>
              </w:rPr>
              <w:t>、市场价格大幅波动导致渠道积极性受损风险；</w:t>
            </w:r>
          </w:p>
          <w:p>
            <w:pPr>
              <w:pStyle w:val="TableText"/>
              <w:spacing w:line="198" w:lineRule="auto"/>
              <w:ind w:left="7"/>
            </w:pPr>
            <w:r>
              <w:rPr>
                <w:rFonts w:ascii="Arial" w:eastAsia="Arial" w:hAnsi="Arial" w:cs="Arial"/>
                <w:spacing w:val="-2"/>
              </w:rPr>
              <w:t>3</w:t>
            </w:r>
            <w:r>
              <w:rPr>
                <w:spacing w:val="-2"/>
              </w:rPr>
              <w:t>、行业竞争加剧导致公司盈利能力受损风险；</w:t>
            </w:r>
          </w:p>
          <w:p>
            <w:pPr>
              <w:pStyle w:val="TableText"/>
              <w:spacing w:before="226" w:line="196" w:lineRule="auto"/>
              <w:ind w:left="2"/>
            </w:pPr>
            <w:r>
              <w:rPr>
                <w:rFonts w:ascii="Arial" w:eastAsia="Arial" w:hAnsi="Arial" w:cs="Arial"/>
                <w:spacing w:val="-2"/>
              </w:rPr>
              <w:t>4</w:t>
            </w:r>
            <w:r>
              <w:rPr>
                <w:spacing w:val="-2"/>
              </w:rPr>
              <w:t>、各省消费升级进程不及预期风险。</w:t>
            </w:r>
          </w:p>
        </w:tc>
      </w:tr>
    </w:tbl>
    <w:p>
      <w:pPr>
        <w:spacing w:before="54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8"/>
          <w:footerReference w:type="default" r:id="rId19"/>
          <w:pgSz w:w="11907" w:h="16839"/>
          <w:pgMar w:top="1" w:right="0" w:bottom="1" w:left="850" w:header="0" w:footer="0" w:gutter="0"/>
          <w:pgNumType w:start="7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16824" w:lineRule="exact"/>
      </w:pPr>
      <w:r>
        <w:rPr>
          <w:position w:val="-337"/>
        </w:rPr>
        <w:pict>
          <v:group id="_x0000_i1029" style="width:171.2pt;height:841.9pt;mso-position-horizontal-relative:char;mso-position-vertical-relative:line" coordorigin="0,0" coordsize="3423,16838" filled="f" stroked="f">
            <v:rect id="_x0000_s1030" style="width:3423;height:16836;position:absolute" filled="t" fillcolor="#f2f2f2" stroked="f"/>
            <v:shape id="_x0000_s1031" type="#_x0000_t202" style="width:2815;height:12394;left:274;position:absolute;top:3340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5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color w:val="0D0D0D"/>
                        <w:sz w:val="15"/>
                        <w:szCs w:val="15"/>
                        <w14:textOutline w14:w="2743">
                          <w14:solidFill>
                            <w14:srgbClr w14:val="0D0D0D"/>
                          </w14:solidFill>
                          <w14:prstDash w14:val="solid"/>
                          <w14:miter w14:lim="10"/>
                        </w14:textOutline>
                      </w:rPr>
                      <w:t>行业内重点公司推荐</w:t>
                    </w:r>
                  </w:p>
                  <w:p>
                    <w:pPr>
                      <w:spacing w:line="92" w:lineRule="exact"/>
                    </w:pPr>
                  </w:p>
                  <w:tbl>
                    <w:tblPr>
                      <w:tblStyle w:val="TableNormal2"/>
                      <w:tblW w:w="2774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759"/>
                      <w:gridCol w:w="924"/>
                      <w:gridCol w:w="1091"/>
                    </w:tblGrid>
                    <w:tr>
                      <w:tblPrEx>
                        <w:tblW w:w="2774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433"/>
                      </w:trPr>
                      <w:tc>
                        <w:tcPr>
                          <w:tcW w:w="759" w:type="dxa"/>
                          <w:tcBorders>
                            <w:top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54" w:line="194" w:lineRule="auto"/>
                            <w:ind w:left="11"/>
                            <w:rPr>
                              <w:rFonts w:ascii="STXihei" w:eastAsia="STXihei" w:hAnsi="STXihei" w:cs="STXi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TXihei" w:eastAsia="STXihei" w:hAnsi="STXihei" w:cs="STXihei"/>
                              <w:spacing w:val="-2"/>
                              <w:sz w:val="15"/>
                              <w:szCs w:val="15"/>
                            </w:rPr>
                            <w:t>公司代码</w:t>
                          </w:r>
                        </w:p>
                      </w:tc>
                      <w:tc>
                        <w:tcPr>
                          <w:tcW w:w="924" w:type="dxa"/>
                          <w:tcBorders>
                            <w:top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49" w:line="199" w:lineRule="auto"/>
                            <w:ind w:left="173"/>
                            <w:rPr>
                              <w:rFonts w:ascii="STXihei" w:eastAsia="STXihei" w:hAnsi="STXihei" w:cs="STXi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TXihei" w:eastAsia="STXihei" w:hAnsi="STXihei" w:cs="STXihei"/>
                              <w:spacing w:val="-2"/>
                              <w:sz w:val="15"/>
                              <w:szCs w:val="15"/>
                            </w:rPr>
                            <w:t>公司名称</w:t>
                          </w:r>
                        </w:p>
                      </w:tc>
                      <w:tc>
                        <w:tcPr>
                          <w:tcW w:w="1091" w:type="dxa"/>
                          <w:tcBorders>
                            <w:top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52" w:line="196" w:lineRule="auto"/>
                            <w:ind w:left="165"/>
                            <w:rPr>
                              <w:rFonts w:ascii="STXihei" w:eastAsia="STXihei" w:hAnsi="STXihei" w:cs="STXi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TXihei" w:eastAsia="STXihei" w:hAnsi="STXihei" w:cs="STXihei"/>
                              <w:spacing w:val="-1"/>
                              <w:sz w:val="15"/>
                              <w:szCs w:val="15"/>
                            </w:rPr>
                            <w:t>投资评级</w:t>
                          </w:r>
                        </w:p>
                      </w:tc>
                    </w:tr>
                    <w:tr>
                      <w:tblPrEx>
                        <w:tblW w:w="2774" w:type="dxa"/>
                        <w:tblInd w:w="20" w:type="dxa"/>
                        <w:tblLayout w:type="fixed"/>
                      </w:tblPrEx>
                      <w:trPr>
                        <w:trHeight w:val="423"/>
                      </w:trPr>
                      <w:tc>
                        <w:tcPr>
                          <w:tcW w:w="759" w:type="dxa"/>
                          <w:vAlign w:val="top"/>
                        </w:tcPr>
                        <w:p>
                          <w:pPr>
                            <w:spacing w:before="154" w:line="198" w:lineRule="auto"/>
                            <w:ind w:left="5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5"/>
                              <w:szCs w:val="15"/>
                            </w:rPr>
                            <w:t>600809</w:t>
                          </w:r>
                        </w:p>
                      </w:tc>
                      <w:tc>
                        <w:tcPr>
                          <w:tcW w:w="924" w:type="dxa"/>
                          <w:vAlign w:val="top"/>
                        </w:tcPr>
                        <w:p>
                          <w:pPr>
                            <w:spacing w:before="135" w:line="224" w:lineRule="auto"/>
                            <w:ind w:left="178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15"/>
                              <w:szCs w:val="15"/>
                            </w:rPr>
                            <w:t>山西汾酒</w:t>
                          </w:r>
                        </w:p>
                      </w:tc>
                      <w:tc>
                        <w:tcPr>
                          <w:tcW w:w="1091" w:type="dxa"/>
                          <w:vAlign w:val="top"/>
                        </w:tcPr>
                        <w:p>
                          <w:pPr>
                            <w:spacing w:before="135" w:line="224" w:lineRule="auto"/>
                            <w:ind w:left="171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15"/>
                              <w:szCs w:val="15"/>
                            </w:rPr>
                            <w:t>买入</w:t>
                          </w:r>
                        </w:p>
                      </w:tc>
                    </w:tr>
                    <w:tr>
                      <w:tblPrEx>
                        <w:tblW w:w="2774" w:type="dxa"/>
                        <w:tblInd w:w="20" w:type="dxa"/>
                        <w:tblLayout w:type="fixed"/>
                      </w:tblPrEx>
                      <w:trPr>
                        <w:trHeight w:val="424"/>
                      </w:trPr>
                      <w:tc>
                        <w:tcPr>
                          <w:tcW w:w="759" w:type="dxa"/>
                          <w:vAlign w:val="top"/>
                        </w:tcPr>
                        <w:p>
                          <w:pPr>
                            <w:spacing w:before="158" w:line="198" w:lineRule="auto"/>
                            <w:ind w:left="6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5"/>
                              <w:szCs w:val="15"/>
                            </w:rPr>
                            <w:t>000799</w:t>
                          </w:r>
                        </w:p>
                      </w:tc>
                      <w:tc>
                        <w:tcPr>
                          <w:tcW w:w="924" w:type="dxa"/>
                          <w:vAlign w:val="top"/>
                        </w:tcPr>
                        <w:p>
                          <w:pPr>
                            <w:spacing w:before="139" w:line="225" w:lineRule="auto"/>
                            <w:ind w:left="167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15"/>
                              <w:szCs w:val="15"/>
                            </w:rPr>
                            <w:t>酒鬼酒</w:t>
                          </w:r>
                        </w:p>
                      </w:tc>
                      <w:tc>
                        <w:tcPr>
                          <w:tcW w:w="1091" w:type="dxa"/>
                          <w:vAlign w:val="top"/>
                        </w:tcPr>
                        <w:p>
                          <w:pPr>
                            <w:spacing w:before="139" w:line="224" w:lineRule="auto"/>
                            <w:ind w:left="171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15"/>
                              <w:szCs w:val="15"/>
                            </w:rPr>
                            <w:t>买入</w:t>
                          </w:r>
                        </w:p>
                      </w:tc>
                    </w:tr>
                    <w:tr>
                      <w:tblPrEx>
                        <w:tblW w:w="2774" w:type="dxa"/>
                        <w:tblInd w:w="20" w:type="dxa"/>
                        <w:tblLayout w:type="fixed"/>
                      </w:tblPrEx>
                      <w:trPr>
                        <w:trHeight w:val="426"/>
                      </w:trPr>
                      <w:tc>
                        <w:tcPr>
                          <w:tcW w:w="759" w:type="dxa"/>
                          <w:vAlign w:val="top"/>
                        </w:tcPr>
                        <w:p>
                          <w:pPr>
                            <w:spacing w:before="159" w:line="198" w:lineRule="auto"/>
                            <w:ind w:left="5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5"/>
                              <w:szCs w:val="15"/>
                            </w:rPr>
                            <w:t>600702</w:t>
                          </w:r>
                        </w:p>
                      </w:tc>
                      <w:tc>
                        <w:tcPr>
                          <w:tcW w:w="924" w:type="dxa"/>
                          <w:vAlign w:val="top"/>
                        </w:tcPr>
                        <w:p>
                          <w:pPr>
                            <w:spacing w:before="140" w:line="225" w:lineRule="auto"/>
                            <w:ind w:left="172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15"/>
                              <w:szCs w:val="15"/>
                            </w:rPr>
                            <w:t>舍得酒业</w:t>
                          </w:r>
                        </w:p>
                      </w:tc>
                      <w:tc>
                        <w:tcPr>
                          <w:tcW w:w="1091" w:type="dxa"/>
                          <w:vAlign w:val="top"/>
                        </w:tcPr>
                        <w:p>
                          <w:pPr>
                            <w:spacing w:before="139" w:line="225" w:lineRule="auto"/>
                            <w:ind w:left="177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4"/>
                              <w:sz w:val="15"/>
                              <w:szCs w:val="15"/>
                            </w:rPr>
                            <w:t>中性</w:t>
                          </w:r>
                        </w:p>
                      </w:tc>
                    </w:tr>
                    <w:tr>
                      <w:tblPrEx>
                        <w:tblW w:w="2774" w:type="dxa"/>
                        <w:tblInd w:w="20" w:type="dxa"/>
                        <w:tblLayout w:type="fixed"/>
                      </w:tblPrEx>
                      <w:trPr>
                        <w:trHeight w:val="431"/>
                      </w:trPr>
                      <w:tc>
                        <w:tcPr>
                          <w:tcW w:w="759" w:type="dxa"/>
                          <w:tcBorders>
                            <w:bottom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61" w:line="198" w:lineRule="auto"/>
                            <w:ind w:left="5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5"/>
                              <w:szCs w:val="15"/>
                            </w:rPr>
                            <w:t>600779</w:t>
                          </w:r>
                        </w:p>
                      </w:tc>
                      <w:tc>
                        <w:tcPr>
                          <w:tcW w:w="924" w:type="dxa"/>
                          <w:tcBorders>
                            <w:bottom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42" w:line="223" w:lineRule="auto"/>
                            <w:ind w:left="167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15"/>
                              <w:szCs w:val="15"/>
                            </w:rPr>
                            <w:t>水井坊</w:t>
                          </w:r>
                        </w:p>
                      </w:tc>
                      <w:tc>
                        <w:tcPr>
                          <w:tcW w:w="1091" w:type="dxa"/>
                          <w:tcBorders>
                            <w:bottom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before="141" w:line="224" w:lineRule="auto"/>
                            <w:ind w:left="171"/>
                            <w:rPr>
                              <w:rFonts w:ascii="SimHei" w:eastAsia="SimHei" w:hAnsi="SimHei" w:cs="SimHei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15"/>
                              <w:szCs w:val="15"/>
                            </w:rPr>
                            <w:t>买入</w:t>
                          </w:r>
                        </w:p>
                      </w:tc>
                    </w:tr>
                    <w:tr>
                      <w:tblPrEx>
                        <w:tblW w:w="2774" w:type="dxa"/>
                        <w:tblInd w:w="20" w:type="dxa"/>
                        <w:tblLayout w:type="fixed"/>
                      </w:tblPrEx>
                      <w:trPr>
                        <w:trHeight w:val="735"/>
                      </w:trPr>
                      <w:tc>
                        <w:tcPr>
                          <w:tcW w:w="2774" w:type="dxa"/>
                          <w:gridSpan w:val="3"/>
                          <w:tcBorders>
                            <w:top w:val="single" w:sz="2" w:space="0" w:color="595959"/>
                            <w:bottom w:val="single" w:sz="2" w:space="0" w:color="595959"/>
                          </w:tcBorders>
                          <w:vAlign w:val="top"/>
                        </w:tcPr>
                        <w:p>
                          <w:pPr>
                            <w:spacing w:line="3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9" w:line="216" w:lineRule="exact"/>
                            <w:ind w:left="7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  <w14:textOutline w14:w="2743">
                                <w14:solidFill>
                                  <w14:srgbClr w14:val="0D0D0D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市场表现对比图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</w:rPr>
                            <w:t>(</w:t>
                          </w:r>
                          <w:r>
                            <w:rPr>
                              <w:rFonts w:ascii="SimHei" w:eastAsia="SimHei" w:hAnsi="SimHei" w:cs="SimHei"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  <w14:textOutline w14:w="2743">
                                <w14:solidFill>
                                  <w14:srgbClr w14:val="0D0D0D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近</w:t>
                          </w:r>
                          <w:r>
                            <w:rPr>
                              <w:rFonts w:ascii="SimHei" w:eastAsia="SimHei" w:hAnsi="SimHei" w:cs="SimHei"/>
                              <w:color w:val="0D0D0D"/>
                              <w:spacing w:val="-12"/>
                              <w:position w:val="2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</w:rPr>
                            <w:t xml:space="preserve">12 </w:t>
                          </w:r>
                          <w:r>
                            <w:rPr>
                              <w:rFonts w:ascii="SimHei" w:eastAsia="SimHei" w:hAnsi="SimHei" w:cs="SimHei"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  <w14:textOutline w14:w="2743">
                                <w14:solidFill>
                                  <w14:srgbClr w14:val="0D0D0D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个月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D0D0D"/>
                              <w:spacing w:val="-2"/>
                              <w:position w:val="2"/>
                              <w:sz w:val="15"/>
                              <w:szCs w:val="15"/>
                            </w:rPr>
                            <w:t>)</w:t>
                          </w:r>
                        </w:p>
                      </w:tc>
                    </w:tr>
                  </w:tbl>
                  <w:p>
                    <w:pPr>
                      <w:tabs>
                        <w:tab w:val="left" w:pos="684"/>
                      </w:tabs>
                      <w:spacing w:before="215" w:line="199" w:lineRule="auto"/>
                      <w:ind w:left="290"/>
                      <w:rPr>
                        <w:rFonts w:ascii="STXihei" w:eastAsia="STXihei" w:hAnsi="STXihei" w:cs="STXihei"/>
                        <w:sz w:val="10"/>
                        <w:szCs w:val="10"/>
                      </w:rPr>
                    </w:pPr>
                    <w:r>
                      <w:rPr>
                        <w:rFonts w:ascii="STXihei" w:eastAsia="STXihei" w:hAnsi="STXihei" w:cs="STXihei"/>
                        <w:strike/>
                        <w:sz w:val="10"/>
                        <w:szCs w:val="10"/>
                      </w:rPr>
                      <w:tab/>
                    </w:r>
                    <w:r>
                      <w:rPr>
                        <w:rFonts w:ascii="STXihei" w:eastAsia="STXihei" w:hAnsi="STXihei" w:cs="STXihei"/>
                        <w:spacing w:val="5"/>
                        <w:sz w:val="10"/>
                        <w:szCs w:val="10"/>
                      </w:rPr>
                      <w:t xml:space="preserve">  </w:t>
                    </w:r>
                    <w:r>
                      <w:rPr>
                        <w:rFonts w:ascii="STXihei" w:eastAsia="STXihei" w:hAnsi="STXihei" w:cs="STXihei"/>
                        <w:spacing w:val="-2"/>
                        <w:sz w:val="10"/>
                        <w:szCs w:val="10"/>
                      </w:rPr>
                      <w:t>白酒与葡萄酒</w:t>
                    </w:r>
                    <w:r>
                      <w:rPr>
                        <w:rFonts w:ascii="STXihei" w:eastAsia="STXihei" w:hAnsi="STXihei" w:cs="STXihei"/>
                        <w:spacing w:val="2"/>
                        <w:sz w:val="10"/>
                        <w:szCs w:val="10"/>
                      </w:rPr>
                      <w:t xml:space="preserve">         </w:t>
                    </w:r>
                    <w:r>
                      <w:rPr>
                        <w:rFonts w:ascii="STXihei" w:eastAsia="STXihei" w:hAnsi="STXihei" w:cs="STXihei"/>
                        <w:strike/>
                        <w:spacing w:val="1"/>
                        <w:sz w:val="10"/>
                        <w:szCs w:val="10"/>
                      </w:rPr>
                      <w:t xml:space="preserve">               </w:t>
                    </w:r>
                    <w:r>
                      <w:rPr>
                        <w:rFonts w:ascii="STXihei" w:eastAsia="STXihei" w:hAnsi="STXihei" w:cs="STXihei"/>
                        <w:spacing w:val="26"/>
                        <w:w w:val="102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STXihei" w:eastAsia="STXihei" w:hAnsi="STXihei" w:cs="STXihei"/>
                        <w:spacing w:val="-2"/>
                        <w:sz w:val="10"/>
                        <w:szCs w:val="10"/>
                      </w:rPr>
                      <w:t>沪深</w:t>
                    </w:r>
                    <w:r>
                      <w:rPr>
                        <w:rFonts w:ascii="Arial" w:eastAsia="Arial" w:hAnsi="Arial" w:cs="Arial"/>
                        <w:spacing w:val="-2"/>
                        <w:sz w:val="10"/>
                        <w:szCs w:val="10"/>
                      </w:rPr>
                      <w:t>300</w:t>
                    </w:r>
                    <w:r>
                      <w:rPr>
                        <w:rFonts w:ascii="STXihei" w:eastAsia="STXihei" w:hAnsi="STXihei" w:cs="STXihei"/>
                        <w:spacing w:val="-2"/>
                        <w:sz w:val="10"/>
                        <w:szCs w:val="10"/>
                      </w:rPr>
                      <w:t>指数</w:t>
                    </w:r>
                  </w:p>
                  <w:p>
                    <w:pPr>
                      <w:spacing w:before="91" w:line="195" w:lineRule="auto"/>
                      <w:ind w:left="141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0"/>
                        <w:szCs w:val="10"/>
                      </w:rPr>
                      <w:t>3%</w:t>
                    </w:r>
                  </w:p>
                  <w:p>
                    <w:pPr>
                      <w:spacing w:before="166" w:line="195" w:lineRule="auto"/>
                      <w:ind w:left="109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0"/>
                        <w:szCs w:val="10"/>
                      </w:rPr>
                      <w:t>-6%</w:t>
                    </w:r>
                  </w:p>
                  <w:p>
                    <w:pPr>
                      <w:spacing w:before="167" w:line="195" w:lineRule="auto"/>
                      <w:ind w:left="53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0"/>
                        <w:szCs w:val="10"/>
                      </w:rPr>
                      <w:t>-16%</w:t>
                    </w:r>
                  </w:p>
                  <w:p>
                    <w:pPr>
                      <w:spacing w:before="167" w:line="195" w:lineRule="auto"/>
                      <w:ind w:left="53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0"/>
                        <w:szCs w:val="10"/>
                      </w:rPr>
                      <w:t>-25%</w:t>
                    </w:r>
                  </w:p>
                  <w:p>
                    <w:pPr>
                      <w:spacing w:before="16" w:line="200" w:lineRule="auto"/>
                      <w:ind w:left="237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 w:eastAsia="Arial" w:hAnsi="Arial" w:cs="Arial"/>
                        <w:sz w:val="9"/>
                        <w:szCs w:val="9"/>
                      </w:rPr>
                      <w:t>2023/2                  2023/6                 2023/10                 2024/2</w:t>
                    </w:r>
                  </w:p>
                  <w:p>
                    <w:pPr>
                      <w:spacing w:before="266" w:line="222" w:lineRule="auto"/>
                      <w:ind w:left="28"/>
                      <w:rPr>
                        <w:rFonts w:ascii="Arial" w:eastAsia="Arial" w:hAnsi="Arial" w:cs="Arial"/>
                        <w:sz w:val="11"/>
                        <w:szCs w:val="11"/>
                      </w:rPr>
                    </w:pPr>
                    <w:r>
                      <w:rPr>
                        <w:rFonts w:ascii="SimHei" w:eastAsia="SimHei" w:hAnsi="SimHei" w:cs="SimHei"/>
                        <w:color w:val="404040"/>
                        <w:spacing w:val="-10"/>
                        <w:sz w:val="11"/>
                        <w:szCs w:val="11"/>
                      </w:rPr>
                      <w:t>资料来源：</w:t>
                    </w:r>
                    <w:r>
                      <w:rPr>
                        <w:rFonts w:ascii="SimHei" w:eastAsia="SimHei" w:hAnsi="SimHei" w:cs="SimHei"/>
                        <w:color w:val="404040"/>
                        <w:spacing w:val="28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404040"/>
                        <w:spacing w:val="-10"/>
                        <w:sz w:val="11"/>
                        <w:szCs w:val="11"/>
                      </w:rPr>
                      <w:t>Wind</w:t>
                    </w: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0" w:line="223" w:lineRule="auto"/>
                      <w:ind w:left="27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color w:val="0D0D0D"/>
                        <w:spacing w:val="-1"/>
                        <w:sz w:val="15"/>
                        <w:szCs w:val="15"/>
                        <w14:textOutline w14:w="2743">
                          <w14:solidFill>
                            <w14:srgbClr w14:val="0D0D0D"/>
                          </w14:solidFill>
                          <w14:prstDash w14:val="solid"/>
                          <w14:miter w14:lim="10"/>
                        </w14:textOutline>
                      </w:rPr>
                      <w:t>相关研究</w:t>
                    </w:r>
                  </w:p>
                  <w:p>
                    <w:pPr>
                      <w:spacing w:before="218" w:line="493" w:lineRule="auto"/>
                      <w:ind w:left="24" w:right="29" w:firstLine="2"/>
                      <w:jc w:val="both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47"/>
                        <w:w w:val="101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>《食品饮料行业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2023</w:t>
                    </w:r>
                    <w:r>
                      <w:rPr>
                        <w:rFonts w:ascii="Arial" w:eastAsia="Arial" w:hAnsi="Arial" w:cs="Arial"/>
                        <w:spacing w:val="17"/>
                        <w:w w:val="102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>年三季报综述白酒篇：整</w:t>
                    </w:r>
                    <w:r>
                      <w:rPr>
                        <w:rFonts w:ascii="SimHei" w:eastAsia="SimHei" w:hAnsi="SimHei" w:cs="SimHei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>体保持稳健增长，部分价格带增速略降》</w:t>
                    </w: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2023-11-</w:t>
                    </w:r>
                  </w:p>
                  <w:p>
                    <w:pPr>
                      <w:spacing w:before="1" w:line="208" w:lineRule="auto"/>
                      <w:ind w:left="34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2"/>
                        <w:szCs w:val="12"/>
                      </w:rPr>
                      <w:t>16</w:t>
                    </w:r>
                  </w:p>
                  <w:p>
                    <w:pPr>
                      <w:spacing w:before="175" w:line="493" w:lineRule="auto"/>
                      <w:ind w:left="24" w:right="34" w:firstLine="2"/>
                      <w:rPr>
                        <w:rFonts w:ascii="SimHei" w:eastAsia="SimHei" w:hAnsi="SimHei" w:cs="SimHei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43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>《食品饮料行业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2023</w:t>
                    </w:r>
                    <w:r>
                      <w:rPr>
                        <w:rFonts w:ascii="Arial" w:eastAsia="Arial" w:hAnsi="Arial" w:cs="Arial"/>
                        <w:spacing w:val="18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"/>
                        <w:sz w:val="12"/>
                        <w:szCs w:val="12"/>
                      </w:rPr>
                      <w:t>年中报综述白酒篇：整体</w:t>
                    </w:r>
                    <w:r>
                      <w:rPr>
                        <w:rFonts w:ascii="SimHei" w:eastAsia="SimHei" w:hAnsi="SimHei" w:cs="SimHei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5"/>
                        <w:sz w:val="12"/>
                        <w:szCs w:val="12"/>
                      </w:rPr>
                      <w:t>保持稳健增长，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5"/>
                        <w:sz w:val="12"/>
                        <w:szCs w:val="12"/>
                      </w:rPr>
                      <w:t>多价格带呈现环比改善趋势》</w:t>
                    </w:r>
                  </w:p>
                  <w:p>
                    <w:pPr>
                      <w:spacing w:line="208" w:lineRule="auto"/>
                      <w:ind w:left="23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2023-09-03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499" w:lineRule="exact"/>
                      <w:ind w:firstLine="645"/>
                    </w:pPr>
                    <w:r>
                      <w:rPr>
                        <w:position w:val="-29"/>
                      </w:rPr>
                      <w:drawing>
                        <wp:inline distT="0" distB="0" distL="0" distR="0">
                          <wp:extent cx="952385" cy="951863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52385" cy="9518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67" w:line="241" w:lineRule="auto"/>
                      <w:ind w:left="776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更多研报请访问</w:t>
                    </w:r>
                  </w:p>
                  <w:p>
                    <w:pPr>
                      <w:spacing w:line="221" w:lineRule="auto"/>
                      <w:ind w:left="777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长江研究小程序</w:t>
                    </w:r>
                  </w:p>
                </w:txbxContent>
              </v:textbox>
            </v:shape>
            <v:rect id="_x0000_s1032" style="width:3417;height:2948;left:4;position:absolute" filled="t" fillcolor="#e10000" stroked="f"/>
            <v:shape id="_x0000_s1033" type="#_x0000_t202" style="width:1830;height:1326;left:1258;position:absolute;top:1468" filled="f" stroked="f">
              <o:lock v:ext="edit" aspectratio="f"/>
              <v:textbox inset="0,0,0,0">
                <w:txbxContent>
                  <w:p>
                    <w:pPr>
                      <w:spacing w:before="20" w:line="545" w:lineRule="auto"/>
                      <w:ind w:left="20" w:right="20" w:firstLine="768"/>
                      <w:jc w:val="both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sz w:val="20"/>
                        <w:szCs w:val="20"/>
                      </w:rPr>
                      <w:t>2024-02-26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8"/>
                        <w:sz w:val="19"/>
                        <w:szCs w:val="19"/>
                      </w:rPr>
                      <w:t>行业研究丨深度报告</w:t>
                    </w:r>
                  </w:p>
                  <w:p>
                    <w:pPr>
                      <w:spacing w:line="231" w:lineRule="auto"/>
                      <w:ind w:left="84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4"/>
                        <w:position w:val="1"/>
                        <w:sz w:val="15"/>
                        <w:szCs w:val="15"/>
                      </w:rPr>
                      <w:t>投资评级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63"/>
                        <w:position w:val="1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4"/>
                        <w:sz w:val="19"/>
                        <w:szCs w:val="19"/>
                      </w:rPr>
                      <w:t>看好丨维持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2206;height:790;left:636;position:absolute;top:6979" filled="f" stroked="f">
              <v:imagedata r:id="rId21" o:title=""/>
            </v:shape>
            <v:shape id="_x0000_s1035" type="#_x0000_t202" style="width:1400;height:222;left:1751;position:absolute;top:977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9"/>
                        <w:sz w:val="18"/>
                        <w:szCs w:val="18"/>
                      </w:rPr>
                      <w:t>丨证券研究报告丨</w:t>
                    </w:r>
                  </w:p>
                </w:txbxContent>
              </v:textbox>
            </v:shape>
            <v:rect id="_x0000_s1036" style="width:2777;height:20;left:294;position:absolute;top:1303" filled="t" fillcolor="white" stroked="f"/>
            <v:shape id="_x0000_s1037" style="width:2775;height:10;left:294;position:absolute;top:8105" coordorigin="0,0" coordsize="2775,10" path="m,9l2774,9l2774,l,l,9xe" filled="t" fillcolor="#595959" stroked="f"/>
            <v:shape id="_x0000_s1038" style="width:2775;height:10;left:294;position:absolute;top:9183" coordorigin="0,0" coordsize="2775,10" path="m,9l2774,9l2774,l,l,9xe" filled="t" fillcolor="#595959" stroked="f"/>
            <w10:wrap type="none"/>
          </v:group>
        </w:pict>
      </w:r>
    </w:p>
    <w:p>
      <w:pPr>
        <w:spacing w:line="16824" w:lineRule="exact"/>
        <w:sectPr>
          <w:headerReference w:type="default" r:id="rId22"/>
          <w:footerReference w:type="default" r:id="rId23"/>
          <w:type w:val="nextPage"/>
          <w:pgSz w:w="11907" w:h="16839"/>
          <w:pgMar w:top="1" w:right="0" w:bottom="1" w:left="850" w:header="0" w:footer="0" w:gutter="0"/>
          <w:pgNumType w:start="8"/>
          <w:cols w:num="2" w:space="708" w:equalWidth="0">
            <w:col w:w="7532" w:space="100"/>
            <w:col w:w="3424" w:space="0"/>
          </w:cols>
          <w:titlePg w:val="0"/>
        </w:sectPr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SimHei" w:eastAsia="SimHei" w:hAnsi="SimHei" w:cs="SimHei"/>
          <w:sz w:val="36"/>
          <w:szCs w:val="36"/>
        </w:rPr>
        <w:id w:val="213741422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4"/>
          <w:szCs w:val="24"/>
        </w:rPr>
      </w:sdtEndPr>
      <w:sdtContent>
        <w:p>
          <w:pPr>
            <w:spacing w:before="117" w:line="222" w:lineRule="auto"/>
            <w:ind w:left="68"/>
            <w:rPr>
              <w:rFonts w:ascii="SimHei" w:eastAsia="SimHei" w:hAnsi="SimHei" w:cs="SimHei"/>
              <w:sz w:val="36"/>
              <w:szCs w:val="36"/>
            </w:rPr>
          </w:pPr>
          <w:r>
            <w:rPr>
              <w:rFonts w:ascii="SimHei" w:eastAsia="SimHei" w:hAnsi="SimHei" w:cs="SimHei"/>
              <w:color w:val="E10000"/>
              <w:spacing w:val="-15"/>
              <w:sz w:val="36"/>
              <w:szCs w:val="36"/>
            </w:rPr>
            <w:t>目录</w:t>
          </w:r>
        </w:p>
        <w:p>
          <w:pPr>
            <w:pStyle w:val="BodyText"/>
            <w:tabs>
              <w:tab w:val="right" w:leader="dot" w:pos="10202"/>
            </w:tabs>
            <w:spacing w:before="76" w:line="213" w:lineRule="auto"/>
            <w:ind w:left="18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1"/>
              <w:sz w:val="24"/>
              <w:szCs w:val="24"/>
            </w:rPr>
            <w:t>次高端：高潜成长，放大周期</w:t>
          </w:r>
          <w:r>
            <w:rPr>
              <w:rFonts w:ascii="SimHei" w:eastAsia="SimHei" w:hAnsi="SimHei" w:cs="SimHei"/>
              <w:spacing w:val="-36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4"/>
              <w:sz w:val="24"/>
              <w:szCs w:val="24"/>
            </w:rPr>
            <w:t xml:space="preserve"> </w:t>
          </w:r>
          <w:hyperlink w:anchor="bookmark1" w:history="1">
            <w:r>
              <w:rPr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10" w:line="214" w:lineRule="auto"/>
            <w:ind w:left="378"/>
          </w:pPr>
          <w:r>
            <w:rPr>
              <w:rFonts w:ascii="SimHei" w:eastAsia="SimHei" w:hAnsi="SimHei" w:cs="SimHei"/>
              <w:spacing w:val="-4"/>
            </w:rPr>
            <w:t>行业概览：</w:t>
          </w:r>
          <w:r>
            <w:rPr>
              <w:rFonts w:ascii="SimHei" w:eastAsia="SimHei" w:hAnsi="SimHei" w:cs="SimHei"/>
              <w:spacing w:val="-26"/>
            </w:rPr>
            <w:t xml:space="preserve"> </w:t>
          </w:r>
          <w:r>
            <w:rPr>
              <w:rFonts w:ascii="SimHei" w:eastAsia="SimHei" w:hAnsi="SimHei" w:cs="SimHei"/>
              <w:spacing w:val="-4"/>
            </w:rPr>
            <w:t>成长潜力充足，集中度具备提升空间</w:t>
          </w:r>
          <w:r>
            <w:rPr>
              <w:rFonts w:ascii="SimHei" w:eastAsia="SimHei" w:hAnsi="SimHei" w:cs="SimHei"/>
              <w:spacing w:val="-6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6"/>
            </w:rPr>
            <w:t xml:space="preserve"> </w:t>
          </w:r>
          <w:hyperlink w:anchor="bookmark2" w:history="1">
            <w:r>
              <w:t>7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28" w:line="222" w:lineRule="auto"/>
            <w:ind w:left="376"/>
          </w:pPr>
          <w:r>
            <w:rPr>
              <w:rFonts w:ascii="SimHei" w:eastAsia="SimHei" w:hAnsi="SimHei" w:cs="SimHei"/>
              <w:spacing w:val="-7"/>
            </w:rPr>
            <w:t>成长节奏：</w:t>
          </w:r>
          <w:r>
            <w:rPr>
              <w:rFonts w:ascii="SimHei" w:eastAsia="SimHei" w:hAnsi="SimHei" w:cs="SimHei"/>
              <w:spacing w:val="-18"/>
            </w:rPr>
            <w:t xml:space="preserve"> </w:t>
          </w:r>
          <w:r>
            <w:rPr>
              <w:rFonts w:ascii="SimHei" w:eastAsia="SimHei" w:hAnsi="SimHei" w:cs="SimHei"/>
              <w:spacing w:val="-7"/>
            </w:rPr>
            <w:t>景气周期的放大器</w:t>
          </w:r>
          <w:r>
            <w:rPr>
              <w:rFonts w:ascii="SimHei" w:eastAsia="SimHei" w:hAnsi="SimHei" w:cs="SimHei"/>
              <w:spacing w:val="-5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7"/>
            </w:rPr>
            <w:t xml:space="preserve"> </w:t>
          </w:r>
          <w:hyperlink w:anchor="bookmark3" w:history="1">
            <w:r>
              <w:t>8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104" w:line="221" w:lineRule="auto"/>
            <w:ind w:left="18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1"/>
              <w:sz w:val="24"/>
              <w:szCs w:val="24"/>
            </w:rPr>
            <w:t>看历史：景气上行价格带扩充</w:t>
          </w:r>
          <w:r>
            <w:rPr>
              <w:spacing w:val="-1"/>
              <w:sz w:val="24"/>
              <w:szCs w:val="24"/>
            </w:rPr>
            <w:t>+</w:t>
          </w:r>
          <w:r>
            <w:rPr>
              <w:rFonts w:ascii="SimHei" w:eastAsia="SimHei" w:hAnsi="SimHei" w:cs="SimHei"/>
              <w:spacing w:val="-1"/>
              <w:sz w:val="24"/>
              <w:szCs w:val="24"/>
            </w:rPr>
            <w:t>渠道扩张带来快速成长</w:t>
          </w:r>
          <w:r>
            <w:rPr>
              <w:rFonts w:ascii="SimHei" w:eastAsia="SimHei" w:hAnsi="SimHei" w:cs="SimHei"/>
              <w:spacing w:val="-77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49"/>
              <w:sz w:val="24"/>
              <w:szCs w:val="24"/>
            </w:rPr>
            <w:t xml:space="preserve"> </w:t>
          </w:r>
          <w:hyperlink w:anchor="bookmark4" w:history="1">
            <w:r>
              <w:rPr>
                <w:spacing w:val="-12"/>
                <w:sz w:val="24"/>
                <w:szCs w:val="24"/>
              </w:rPr>
              <w:t>11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00" w:line="222" w:lineRule="auto"/>
            <w:ind w:left="376"/>
          </w:pPr>
          <w:r>
            <w:t xml:space="preserve">2015-2016 </w:t>
          </w:r>
          <w:r>
            <w:rPr>
              <w:rFonts w:ascii="SimHei" w:eastAsia="SimHei" w:hAnsi="SimHei" w:cs="SimHei"/>
            </w:rPr>
            <w:t>年：高端酒整体复苏和经济发展为次高</w:t>
          </w:r>
          <w:r>
            <w:rPr>
              <w:rFonts w:ascii="SimHei" w:eastAsia="SimHei" w:hAnsi="SimHei" w:cs="SimHei"/>
              <w:spacing w:val="-1"/>
            </w:rPr>
            <w:t>端提供了不同的土壤</w:t>
          </w:r>
          <w:r>
            <w:rPr>
              <w:rFonts w:ascii="SimHei" w:eastAsia="SimHei" w:hAnsi="SimHei" w:cs="SimHei"/>
              <w:spacing w:val="-43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27"/>
            </w:rPr>
            <w:t xml:space="preserve"> </w:t>
          </w:r>
          <w:hyperlink w:anchor="bookmark5" w:history="1">
            <w:r>
              <w:rPr>
                <w:spacing w:val="-10"/>
              </w:rPr>
              <w:t>11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19" w:line="214" w:lineRule="auto"/>
            <w:ind w:left="376"/>
          </w:pPr>
          <w:r>
            <w:rPr>
              <w:spacing w:val="-2"/>
            </w:rPr>
            <w:t xml:space="preserve">2017-2018 </w:t>
          </w:r>
          <w:r>
            <w:rPr>
              <w:rFonts w:ascii="SimHei" w:eastAsia="SimHei" w:hAnsi="SimHei" w:cs="SimHei"/>
              <w:spacing w:val="-2"/>
            </w:rPr>
            <w:t>年：经济回暖、高端酒价升吹响号</w:t>
          </w:r>
          <w:r>
            <w:rPr>
              <w:rFonts w:ascii="SimHei" w:eastAsia="SimHei" w:hAnsi="SimHei" w:cs="SimHei"/>
              <w:spacing w:val="-3"/>
            </w:rPr>
            <w:t>角，</w:t>
          </w:r>
          <w:r>
            <w:rPr>
              <w:rFonts w:ascii="SimHei" w:eastAsia="SimHei" w:hAnsi="SimHei" w:cs="SimHei"/>
              <w:spacing w:val="-25"/>
            </w:rPr>
            <w:t xml:space="preserve"> </w:t>
          </w:r>
          <w:r>
            <w:rPr>
              <w:rFonts w:ascii="SimHei" w:eastAsia="SimHei" w:hAnsi="SimHei" w:cs="SimHei"/>
              <w:spacing w:val="-3"/>
            </w:rPr>
            <w:t>企业禀赋差异下分化成长</w:t>
          </w:r>
          <w:r>
            <w:rPr>
              <w:rFonts w:ascii="SimHei" w:eastAsia="SimHei" w:hAnsi="SimHei" w:cs="SimHei"/>
              <w:spacing w:val="-60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42"/>
            </w:rPr>
            <w:t xml:space="preserve"> </w:t>
          </w:r>
          <w:hyperlink w:anchor="bookmark6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29" w:line="214" w:lineRule="auto"/>
            <w:ind w:left="376"/>
          </w:pPr>
          <w:r>
            <w:rPr>
              <w:spacing w:val="-1"/>
            </w:rPr>
            <w:t xml:space="preserve">2020-2021 </w:t>
          </w:r>
          <w:r>
            <w:rPr>
              <w:rFonts w:ascii="SimHei" w:eastAsia="SimHei" w:hAnsi="SimHei" w:cs="SimHei"/>
              <w:spacing w:val="-1"/>
            </w:rPr>
            <w:t>年：价格带升级裂变，酱酒成为新亮点</w:t>
          </w:r>
          <w:r>
            <w:rPr>
              <w:rFonts w:ascii="SimHei" w:eastAsia="SimHei" w:hAnsi="SimHei" w:cs="SimHei"/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42"/>
            </w:rPr>
            <w:t xml:space="preserve"> </w:t>
          </w:r>
          <w:hyperlink w:anchor="bookmark7" w:history="1">
            <w:r>
              <w:rPr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29" w:line="222" w:lineRule="auto"/>
            <w:ind w:left="378"/>
          </w:pPr>
          <w:r>
            <w:rPr>
              <w:rFonts w:ascii="SimHei" w:eastAsia="SimHei" w:hAnsi="SimHei" w:cs="SimHei"/>
              <w:spacing w:val="-1"/>
            </w:rPr>
            <w:t>行业品牌</w:t>
          </w:r>
          <w:r>
            <w:rPr>
              <w:spacing w:val="-1"/>
            </w:rPr>
            <w:t>+</w:t>
          </w:r>
          <w:r>
            <w:rPr>
              <w:rFonts w:ascii="SimHei" w:eastAsia="SimHei" w:hAnsi="SimHei" w:cs="SimHei"/>
              <w:spacing w:val="-1"/>
            </w:rPr>
            <w:t>渠道竞争焦点下</w:t>
          </w:r>
          <w:r>
            <w:rPr>
              <w:spacing w:val="-1"/>
            </w:rPr>
            <w:t>“</w:t>
          </w:r>
          <w:r>
            <w:rPr>
              <w:rFonts w:ascii="SimHei" w:eastAsia="SimHei" w:hAnsi="SimHei" w:cs="SimHei"/>
              <w:spacing w:val="-1"/>
            </w:rPr>
            <w:t>快者胜</w:t>
          </w:r>
          <w:r>
            <w:rPr>
              <w:spacing w:val="-1"/>
            </w:rPr>
            <w:t>”</w:t>
          </w:r>
          <w:r>
            <w:rPr>
              <w:spacing w:val="-11"/>
            </w:rPr>
            <w:t xml:space="preserve"> </w:t>
          </w:r>
          <w:r>
            <w:tab/>
          </w:r>
          <w:r>
            <w:rPr>
              <w:spacing w:val="-11"/>
            </w:rPr>
            <w:t xml:space="preserve"> </w:t>
          </w:r>
          <w:hyperlink w:anchor="bookmark8" w:history="1">
            <w:r>
              <w:rPr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04" w:line="222" w:lineRule="auto"/>
            <w:ind w:left="17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1"/>
              <w:sz w:val="24"/>
              <w:szCs w:val="24"/>
            </w:rPr>
            <w:t>析当下：回归有序增长后行业竞争看酒企深度运营能力</w:t>
          </w:r>
          <w:r>
            <w:rPr>
              <w:rFonts w:ascii="SimHei" w:eastAsia="SimHei" w:hAnsi="SimHei" w:cs="SimHei"/>
              <w:spacing w:val="-42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7"/>
              <w:sz w:val="24"/>
              <w:szCs w:val="24"/>
            </w:rPr>
            <w:t xml:space="preserve"> </w:t>
          </w:r>
          <w:hyperlink w:anchor="bookmark9" w:history="1">
            <w:r>
              <w:rPr>
                <w:spacing w:val="-2"/>
                <w:sz w:val="24"/>
                <w:szCs w:val="24"/>
              </w:rPr>
              <w:t>25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99" w:line="222" w:lineRule="auto"/>
            <w:ind w:left="381"/>
          </w:pPr>
          <w:r>
            <w:rPr>
              <w:rFonts w:ascii="SimHei" w:eastAsia="SimHei" w:hAnsi="SimHei" w:cs="SimHei"/>
              <w:spacing w:val="-1"/>
            </w:rPr>
            <w:t>上一轮景气期后次高端酒企普遍面临批价、库存压力</w:t>
          </w:r>
          <w:r>
            <w:rPr>
              <w:rFonts w:ascii="SimHei" w:eastAsia="SimHei" w:hAnsi="SimHei" w:cs="SimHei"/>
              <w:spacing w:val="-70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8"/>
            </w:rPr>
            <w:t xml:space="preserve"> </w:t>
          </w:r>
          <w:hyperlink w:anchor="bookmark10" w:history="1">
            <w:r>
              <w:rPr>
                <w:spacing w:val="-2"/>
              </w:rPr>
              <w:t>25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20" w:line="214" w:lineRule="auto"/>
            <w:ind w:left="380"/>
          </w:pPr>
          <w:r>
            <w:rPr>
              <w:rFonts w:ascii="SimHei" w:eastAsia="SimHei" w:hAnsi="SimHei" w:cs="SimHei"/>
              <w:spacing w:val="-1"/>
            </w:rPr>
            <w:t>经济和行业短暂承压，酒企竞争力决定格局</w:t>
          </w:r>
          <w:r>
            <w:rPr>
              <w:rFonts w:ascii="SimHei" w:eastAsia="SimHei" w:hAnsi="SimHei" w:cs="SimHei"/>
              <w:spacing w:val="-40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8"/>
            </w:rPr>
            <w:t xml:space="preserve"> </w:t>
          </w:r>
          <w:hyperlink w:anchor="bookmark11" w:history="1">
            <w:r>
              <w:rPr>
                <w:spacing w:val="-2"/>
              </w:rPr>
              <w:t>27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28" w:line="222" w:lineRule="auto"/>
            <w:ind w:left="378"/>
          </w:pPr>
          <w:r>
            <w:rPr>
              <w:rFonts w:ascii="SimHei" w:eastAsia="SimHei" w:hAnsi="SimHei" w:cs="SimHei"/>
            </w:rPr>
            <w:t>竞争焦点从</w:t>
          </w:r>
          <w:r>
            <w:t>“</w:t>
          </w:r>
          <w:r>
            <w:rPr>
              <w:rFonts w:ascii="SimHei" w:eastAsia="SimHei" w:hAnsi="SimHei" w:cs="SimHei"/>
            </w:rPr>
            <w:t>渠道</w:t>
          </w:r>
          <w:r>
            <w:t>+</w:t>
          </w:r>
          <w:r>
            <w:rPr>
              <w:rFonts w:ascii="SimHei" w:eastAsia="SimHei" w:hAnsi="SimHei" w:cs="SimHei"/>
            </w:rPr>
            <w:t>品牌</w:t>
          </w:r>
          <w:r>
            <w:t>”</w:t>
          </w:r>
          <w:r>
            <w:rPr>
              <w:rFonts w:ascii="SimHei" w:eastAsia="SimHei" w:hAnsi="SimHei" w:cs="SimHei"/>
            </w:rPr>
            <w:t>变为</w:t>
          </w:r>
          <w:r>
            <w:t>“</w:t>
          </w:r>
          <w:r>
            <w:rPr>
              <w:rFonts w:ascii="SimHei" w:eastAsia="SimHei" w:hAnsi="SimHei" w:cs="SimHei"/>
            </w:rPr>
            <w:t>运营培育</w:t>
          </w:r>
          <w:r>
            <w:t>+</w:t>
          </w:r>
          <w:r>
            <w:rPr>
              <w:rFonts w:ascii="SimHei" w:eastAsia="SimHei" w:hAnsi="SimHei" w:cs="SimHei"/>
            </w:rPr>
            <w:t>品牌</w:t>
          </w:r>
          <w:r>
            <w:t xml:space="preserve">” </w:t>
          </w:r>
          <w:r>
            <w:tab/>
          </w:r>
          <w:r>
            <w:rPr>
              <w:spacing w:val="-9"/>
            </w:rPr>
            <w:t xml:space="preserve"> </w:t>
          </w:r>
          <w:hyperlink w:anchor="bookmark12" w:history="1">
            <w:r>
              <w:rPr>
                <w:spacing w:val="-2"/>
              </w:rPr>
              <w:t>30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19" w:line="223" w:lineRule="auto"/>
            <w:ind w:left="380"/>
          </w:pPr>
          <w:r>
            <w:rPr>
              <w:rFonts w:ascii="SimHei" w:eastAsia="SimHei" w:hAnsi="SimHei" w:cs="SimHei"/>
              <w:spacing w:val="-1"/>
            </w:rPr>
            <w:t>公司内生动作驱动运营实际改善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6"/>
            </w:rPr>
            <w:t xml:space="preserve"> </w:t>
          </w:r>
          <w:hyperlink w:anchor="bookmark13" w:history="1">
            <w:r>
              <w:rPr>
                <w:spacing w:val="-2"/>
              </w:rPr>
              <w:t>33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04" w:line="221" w:lineRule="auto"/>
            <w:ind w:left="23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1"/>
              <w:sz w:val="24"/>
              <w:szCs w:val="24"/>
            </w:rPr>
            <w:t>寻公司：重点推荐具备全国化能力与品牌张力的次高端酒企</w:t>
          </w:r>
          <w:r>
            <w:rPr>
              <w:rFonts w:ascii="SimHei" w:eastAsia="SimHei" w:hAnsi="SimHei" w:cs="SimHei"/>
              <w:spacing w:val="-56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3"/>
              <w:sz w:val="24"/>
              <w:szCs w:val="24"/>
            </w:rPr>
            <w:t xml:space="preserve"> </w:t>
          </w:r>
          <w:hyperlink w:anchor="bookmark14" w:history="1">
            <w:r>
              <w:rPr>
                <w:spacing w:val="-3"/>
                <w:sz w:val="24"/>
                <w:szCs w:val="24"/>
              </w:rPr>
              <w:t>35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4" w:line="222" w:lineRule="auto"/>
            <w:ind w:left="19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3"/>
              <w:sz w:val="24"/>
              <w:szCs w:val="24"/>
            </w:rPr>
            <w:t>风险提示</w:t>
          </w:r>
          <w:r>
            <w:rPr>
              <w:rFonts w:ascii="SimHei" w:eastAsia="SimHei" w:hAnsi="SimHei" w:cs="SimHei"/>
              <w:spacing w:val="-96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3"/>
              <w:sz w:val="24"/>
              <w:szCs w:val="24"/>
            </w:rPr>
            <w:t xml:space="preserve"> </w:t>
          </w:r>
          <w:hyperlink w:anchor="bookmark15" w:history="1">
            <w:r>
              <w:rPr>
                <w:spacing w:val="-3"/>
                <w:sz w:val="24"/>
                <w:szCs w:val="24"/>
              </w:rPr>
              <w:t>38</w:t>
            </w:r>
          </w:hyperlink>
        </w:p>
      </w:sdtContent>
    </w:sdt>
    <w:p>
      <w:pPr>
        <w:pStyle w:val="BodyText"/>
        <w:spacing w:line="372" w:lineRule="auto"/>
      </w:pPr>
    </w:p>
    <w:p>
      <w:pPr>
        <w:spacing w:before="117" w:line="222" w:lineRule="auto"/>
        <w:ind w:left="4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E10000"/>
          <w:spacing w:val="-7"/>
          <w:sz w:val="36"/>
          <w:szCs w:val="36"/>
        </w:rPr>
        <w:t>图表目录</w:t>
      </w:r>
    </w:p>
    <w:sdt>
      <w:sdtPr>
        <w:rPr>
          <w:rFonts w:ascii="SimHei" w:eastAsia="SimHei" w:hAnsi="SimHei" w:cs="SimHei"/>
          <w:sz w:val="19"/>
          <w:szCs w:val="19"/>
        </w:rPr>
        <w:id w:val="89994356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4"/>
            </w:tabs>
            <w:spacing w:before="146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1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：次高端价格带成长性高而集中度较低</w:t>
          </w:r>
          <w:r>
            <w:rPr>
              <w:rFonts w:ascii="SimHei" w:eastAsia="SimHei" w:hAnsi="SimHei" w:cs="SimHei"/>
              <w:spacing w:val="-3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6" w:history="1">
            <w:r>
              <w:rPr>
                <w:spacing w:val="10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2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：次高端白酒</w:t>
          </w:r>
          <w:r>
            <w:rPr>
              <w:rFonts w:ascii="SimHei" w:eastAsia="SimHei" w:hAnsi="SimHei" w:cs="SimHei"/>
              <w:spacing w:val="-2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 xml:space="preserve">2023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年分产品市场格局</w:t>
          </w:r>
          <w:r>
            <w:rPr>
              <w:rFonts w:ascii="SimHei" w:eastAsia="SimHei" w:hAnsi="SimHei" w:cs="SimHei"/>
              <w:spacing w:val="-4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7" w:history="1">
            <w:r>
              <w:rPr>
                <w:spacing w:val="10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3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：次高端主要产品及其成长性</w:t>
          </w:r>
          <w:r>
            <w:rPr>
              <w:rFonts w:ascii="SimHei" w:eastAsia="SimHei" w:hAnsi="SimHei" w:cs="SimHei"/>
              <w:spacing w:val="-7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8" w:history="1">
            <w:r>
              <w:rPr>
                <w:spacing w:val="10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4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：次高端酒企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 xml:space="preserve">2010-2012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年收入同比增速快于行业整体</w:t>
          </w:r>
          <w:r>
            <w:rPr>
              <w:rFonts w:ascii="SimHei" w:eastAsia="SimHei" w:hAnsi="SimHei" w:cs="SimHei"/>
              <w:spacing w:val="-6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9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：次高端酒企</w:t>
          </w:r>
          <w:r>
            <w:rPr>
              <w:rFonts w:ascii="SimHei" w:eastAsia="SimHei" w:hAnsi="SimHei" w:cs="SimHei"/>
              <w:spacing w:val="-3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 xml:space="preserve">2013-2015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年收入同比增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速承压明显</w:t>
          </w:r>
          <w:r>
            <w:rPr>
              <w:rFonts w:ascii="SimHei" w:eastAsia="SimHei" w:hAnsi="SimHei" w:cs="SimHei"/>
              <w:spacing w:val="-5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0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：次高端价格带规模估算（亿元）</w:t>
          </w:r>
          <w:r>
            <w:rPr>
              <w:rFonts w:ascii="SimHei" w:eastAsia="SimHei" w:hAnsi="SimHei" w:cs="SimHei"/>
              <w:spacing w:val="-1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1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22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7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：次高端价格带在高端和大众之间，消费场景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以宴席为主</w:t>
          </w:r>
          <w:r>
            <w:rPr>
              <w:rFonts w:ascii="SimHei" w:eastAsia="SimHei" w:hAnsi="SimHei" w:cs="SimHei"/>
              <w:spacing w:val="-4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2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91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8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：高端酒的价格增长拉动次高端景气期（单位：元）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3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9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</w:t>
          </w:r>
          <w:r>
            <w:rPr>
              <w:sz w:val="19"/>
              <w:szCs w:val="19"/>
            </w:rPr>
            <w:t>PPI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和</w:t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PMI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等经济指标是次高端景气期的前置指标</w:t>
          </w:r>
          <w:r>
            <w:rPr>
              <w:rFonts w:ascii="SimHei" w:eastAsia="SimHei" w:hAnsi="SimHei" w:cs="SimHei"/>
              <w:spacing w:val="-5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4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10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2016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年以来各价格带白酒市值相对于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 xml:space="preserve">2016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年初的比例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57"/>
              <w:sz w:val="19"/>
              <w:szCs w:val="19"/>
            </w:rPr>
            <w:t xml:space="preserve"> </w:t>
          </w:r>
          <w:hyperlink w:anchor="bookmark25" w:history="1">
            <w:r>
              <w:rPr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8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 xml:space="preserve"> </w:t>
          </w:r>
          <w:r>
            <w:rPr>
              <w:spacing w:val="6"/>
              <w:position w:val="1"/>
              <w:sz w:val="19"/>
              <w:szCs w:val="19"/>
            </w:rPr>
            <w:t>11</w:t>
          </w: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>：</w:t>
          </w:r>
          <w:r>
            <w:rPr>
              <w:spacing w:val="6"/>
              <w:position w:val="1"/>
              <w:sz w:val="19"/>
              <w:szCs w:val="19"/>
            </w:rPr>
            <w:t xml:space="preserve">2015-2016 </w:t>
          </w: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2"/>
              <w:position w:val="1"/>
              <w:sz w:val="19"/>
              <w:szCs w:val="19"/>
            </w:rPr>
            <w:t xml:space="preserve"> </w:t>
          </w:r>
          <w:r>
            <w:rPr>
              <w:position w:val="1"/>
              <w:sz w:val="19"/>
              <w:szCs w:val="19"/>
            </w:rPr>
            <w:t>CPI</w:t>
          </w:r>
          <w:r>
            <w:rPr>
              <w:spacing w:val="-22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>、</w:t>
          </w:r>
          <w:r>
            <w:rPr>
              <w:position w:val="1"/>
              <w:sz w:val="19"/>
              <w:szCs w:val="19"/>
            </w:rPr>
            <w:t>PPI</w:t>
          </w:r>
          <w:r>
            <w:rPr>
              <w:rFonts w:ascii="SimHei" w:eastAsia="SimHei" w:hAnsi="SimHei" w:cs="SimHei"/>
              <w:spacing w:val="6"/>
              <w:position w:val="1"/>
              <w:sz w:val="19"/>
              <w:szCs w:val="19"/>
            </w:rPr>
            <w:t>、房价等指</w:t>
          </w:r>
          <w:r>
            <w:rPr>
              <w:rFonts w:ascii="SimHei" w:eastAsia="SimHei" w:hAnsi="SimHei" w:cs="SimHei"/>
              <w:spacing w:val="5"/>
              <w:position w:val="1"/>
              <w:sz w:val="19"/>
              <w:szCs w:val="19"/>
            </w:rPr>
            <w:t>标率先高升（</w:t>
          </w:r>
          <w:r>
            <w:rPr>
              <w:spacing w:val="5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5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22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26" w:history="1">
            <w:r>
              <w:rPr>
                <w:spacing w:val="6"/>
                <w:position w:val="1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12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>：居民消费支出多年稳健增长（元）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7" w:history="1">
            <w:r>
              <w:rPr>
                <w:spacing w:val="6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  <w:sectPr>
              <w:headerReference w:type="default" r:id="rId24"/>
              <w:footerReference w:type="default" r:id="rId25"/>
              <w:pgSz w:w="11907" w:h="16839"/>
              <w:pgMar w:top="1350" w:right="749" w:bottom="970" w:left="842" w:header="851" w:footer="713" w:gutter="0"/>
              <w:pgNumType w:start="9"/>
              <w:cols w:space="708"/>
            </w:sectPr>
          </w:pPr>
          <w:r>
            <w:rPr>
              <w:rFonts w:ascii="SimHei" w:eastAsia="SimHei" w:hAnsi="SimHei" w:cs="SimHei"/>
              <w:spacing w:val="3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13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>：茅台、五粮液销量增加明显（万千升）</w:t>
          </w:r>
          <w:r>
            <w:rPr>
              <w:rFonts w:ascii="SimHei" w:eastAsia="SimHei" w:hAnsi="SimHei" w:cs="SimHei"/>
              <w:spacing w:val="5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8" w:history="1">
            <w:r>
              <w:rPr>
                <w:spacing w:val="6"/>
                <w:sz w:val="19"/>
                <w:szCs w:val="19"/>
              </w:rPr>
              <w:t>12</w:t>
            </w:r>
          </w:hyperlink>
        </w:p>
      </w:sdtContent>
    </w:sdt>
    <w:sdt>
      <w:sdtPr>
        <w:rPr>
          <w:rFonts w:ascii="SimHei" w:eastAsia="SimHei" w:hAnsi="SimHei" w:cs="SimHei"/>
          <w:sz w:val="19"/>
          <w:szCs w:val="19"/>
        </w:rPr>
        <w:id w:val="155743785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14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：高端白酒预收账款明显增加（亿元）</w:t>
          </w:r>
          <w:r>
            <w:rPr>
              <w:rFonts w:ascii="SimHei" w:eastAsia="SimHei" w:hAnsi="SimHei" w:cs="SimHei"/>
              <w:spacing w:val="-2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9" w:history="1">
            <w:r>
              <w:rPr>
                <w:spacing w:val="6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15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：高端酒的价格增长复盘（单位：元）</w:t>
          </w:r>
          <w:r>
            <w:rPr>
              <w:rFonts w:ascii="SimHei" w:eastAsia="SimHei" w:hAnsi="SimHei" w:cs="SimHei"/>
              <w:spacing w:val="-2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0" w:history="1">
            <w:r>
              <w:rPr>
                <w:spacing w:val="6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16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：大众消费相比政商务消费波动更小、对价格更敏感</w:t>
          </w:r>
          <w:r>
            <w:rPr>
              <w:rFonts w:ascii="SimHei" w:eastAsia="SimHei" w:hAnsi="SimHei" w:cs="SimHei"/>
              <w:spacing w:val="-1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1" w:history="1">
            <w:r>
              <w:rPr>
                <w:spacing w:val="6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17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：规模以上白酒企业数量及增速</w:t>
          </w:r>
          <w:r>
            <w:rPr>
              <w:rFonts w:ascii="SimHei" w:eastAsia="SimHei" w:hAnsi="SimHei" w:cs="SimHei"/>
              <w:spacing w:val="-5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2" w:history="1">
            <w:r>
              <w:rPr>
                <w:spacing w:val="6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18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：白酒行业产量进入减少区间</w:t>
          </w:r>
          <w:r>
            <w:rPr>
              <w:rFonts w:ascii="SimHei" w:eastAsia="SimHei" w:hAnsi="SimHei" w:cs="SimHei"/>
              <w:spacing w:val="-6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3" w:history="1">
            <w:r>
              <w:rPr>
                <w:spacing w:val="6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19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：白酒上市公司营收集中度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4" w:history="1">
            <w:r>
              <w:rPr>
                <w:spacing w:val="6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20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：白酒上市公司利润集中度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5" w:history="1">
            <w:r>
              <w:rPr>
                <w:spacing w:val="6"/>
                <w:sz w:val="19"/>
                <w:szCs w:val="19"/>
              </w:rPr>
              <w:t>15</w:t>
            </w:r>
          </w:hyperlink>
        </w:p>
      </w:sdtContent>
    </w:sdt>
    <w:p>
      <w:pPr>
        <w:spacing w:line="230" w:lineRule="auto"/>
        <w:rPr>
          <w:sz w:val="19"/>
          <w:szCs w:val="19"/>
        </w:rPr>
        <w:sectPr>
          <w:headerReference w:type="default" r:id="rId26"/>
          <w:footerReference w:type="default" r:id="rId27"/>
          <w:type w:val="nextPage"/>
          <w:pgSz w:w="11907" w:h="16839"/>
          <w:pgMar w:top="1350" w:right="749" w:bottom="970" w:left="842" w:header="851" w:footer="713" w:gutter="0"/>
          <w:pgNumType w:start="10"/>
          <w:cols w:space="708"/>
          <w:titlePg w:val="0"/>
        </w:sectPr>
      </w:pPr>
    </w:p>
    <w:p>
      <w:pPr>
        <w:pStyle w:val="BodyText"/>
        <w:spacing w:line="327" w:lineRule="auto"/>
      </w:pPr>
    </w:p>
    <w:p>
      <w:pPr>
        <w:pStyle w:val="BodyText"/>
        <w:spacing w:line="327" w:lineRule="auto"/>
      </w:pPr>
    </w:p>
    <w:sdt>
      <w:sdtPr>
        <w:rPr>
          <w:rFonts w:ascii="SimHei" w:eastAsia="SimHei" w:hAnsi="SimHei" w:cs="SimHei"/>
          <w:sz w:val="19"/>
          <w:szCs w:val="19"/>
        </w:rPr>
        <w:id w:val="188584327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2"/>
            </w:tabs>
            <w:spacing w:before="6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21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2017-2019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年次高端酒企收入增速分化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6" w:history="1">
            <w:r>
              <w:rPr>
                <w:spacing w:val="6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22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2017-2019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年次高端酒企股价变动分化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7" w:history="1">
            <w:r>
              <w:rPr>
                <w:spacing w:val="6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23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：汾酒省外经销收入不断增长</w:t>
          </w:r>
          <w:r>
            <w:rPr>
              <w:rFonts w:ascii="SimHei" w:eastAsia="SimHei" w:hAnsi="SimHei" w:cs="SimHei"/>
              <w:spacing w:val="-6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8" w:history="1">
            <w:r>
              <w:rPr>
                <w:spacing w:val="6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24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：水井坊中高端酒收入规模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9" w:history="1">
            <w:r>
              <w:rPr>
                <w:spacing w:val="6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25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：水井坊的销售模式变化</w:t>
          </w:r>
          <w:r>
            <w:rPr>
              <w:rFonts w:ascii="SimHei" w:eastAsia="SimHei" w:hAnsi="SimHei" w:cs="SimHei"/>
              <w:spacing w:val="-5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0" w:history="1">
            <w:r>
              <w:rPr>
                <w:spacing w:val="6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26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2017-2018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年次高端景气期的行业变化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1" w:history="1">
            <w:r>
              <w:rPr>
                <w:spacing w:val="6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27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：高端酒价格上升红利下次高端新价格带形成（单位：元）</w:t>
          </w:r>
          <w:r>
            <w:rPr>
              <w:rFonts w:ascii="SimHei" w:eastAsia="SimHei" w:hAnsi="SimHei" w:cs="SimHei"/>
              <w:spacing w:val="-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2" w:history="1">
            <w:r>
              <w:rPr>
                <w:spacing w:val="6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28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：酒企对</w:t>
          </w:r>
          <w:r>
            <w:rPr>
              <w:rFonts w:ascii="SimHei" w:eastAsia="SimHei" w:hAnsi="SimHei" w:cs="SimHei"/>
              <w:spacing w:val="-2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 xml:space="preserve">500-800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元价格带的新产品布局</w:t>
          </w:r>
          <w:r>
            <w:rPr>
              <w:rFonts w:ascii="SimHei" w:eastAsia="SimHei" w:hAnsi="SimHei" w:cs="SimHei"/>
              <w:spacing w:val="-6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" w:history="1">
            <w:r>
              <w:rPr>
                <w:spacing w:val="6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29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：古井贡酒战略重心上移</w:t>
          </w:r>
          <w:r>
            <w:rPr>
              <w:rFonts w:ascii="SimHei" w:eastAsia="SimHei" w:hAnsi="SimHei" w:cs="SimHei"/>
              <w:spacing w:val="-5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3" w:history="1">
            <w:r>
              <w:rPr>
                <w:spacing w:val="6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30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2019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年来部分次高端酒企产品价格提升</w:t>
          </w:r>
          <w:r>
            <w:rPr>
              <w:rFonts w:ascii="SimHei" w:eastAsia="SimHei" w:hAnsi="SimHei" w:cs="SimHei"/>
              <w:spacing w:val="-5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4" w:history="1">
            <w:r>
              <w:rPr>
                <w:spacing w:val="6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31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：酱酒收入快速增长</w:t>
          </w:r>
          <w:r>
            <w:rPr>
              <w:rFonts w:ascii="SimHei" w:eastAsia="SimHei" w:hAnsi="SimHei" w:cs="SimHei"/>
              <w:spacing w:val="-4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5" w:history="1">
            <w:r>
              <w:rPr>
                <w:spacing w:val="6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32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：酱酒收入增速明显快于其他香型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6" w:history="1">
            <w:r>
              <w:rPr>
                <w:spacing w:val="6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33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：酱酒占白酒的收入、利润比例明显超过产能</w:t>
          </w:r>
          <w:r>
            <w:rPr>
              <w:rFonts w:ascii="SimHei" w:eastAsia="SimHei" w:hAnsi="SimHei" w:cs="SimHei"/>
              <w:spacing w:val="-2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7" w:history="1">
            <w:r>
              <w:rPr>
                <w:spacing w:val="6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34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2022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年行业香型渠道利润对比</w:t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8" w:history="1">
            <w:r>
              <w:rPr>
                <w:spacing w:val="6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35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2019-2021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年次高端酒企收入增速分化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9" w:history="1">
            <w:r>
              <w:rPr>
                <w:spacing w:val="6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36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2019-2021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年次高端酒企股价变动分化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0" w:history="1">
            <w:r>
              <w:rPr>
                <w:spacing w:val="6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37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2019-2021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年次高端景气期的行业变化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1" w:history="1">
            <w:r>
              <w:rPr>
                <w:spacing w:val="6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9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"/>
              <w:position w:val="1"/>
              <w:sz w:val="19"/>
              <w:szCs w:val="19"/>
            </w:rPr>
            <w:t xml:space="preserve"> </w:t>
          </w:r>
          <w:r>
            <w:rPr>
              <w:spacing w:val="3"/>
              <w:position w:val="1"/>
              <w:sz w:val="19"/>
              <w:szCs w:val="19"/>
            </w:rPr>
            <w:t>38</w:t>
          </w:r>
          <w:r>
            <w:rPr>
              <w:rFonts w:ascii="SimHei" w:eastAsia="SimHei" w:hAnsi="SimHei" w:cs="SimHei"/>
              <w:spacing w:val="3"/>
              <w:position w:val="1"/>
              <w:sz w:val="19"/>
              <w:szCs w:val="19"/>
            </w:rPr>
            <w:t>：舍得新增</w:t>
          </w:r>
          <w:r>
            <w:rPr>
              <w:spacing w:val="3"/>
              <w:position w:val="1"/>
              <w:sz w:val="19"/>
              <w:szCs w:val="19"/>
            </w:rPr>
            <w:t>/</w:t>
          </w:r>
          <w:r>
            <w:rPr>
              <w:rFonts w:ascii="SimHei" w:eastAsia="SimHei" w:hAnsi="SimHei" w:cs="SimHei"/>
              <w:spacing w:val="3"/>
              <w:position w:val="1"/>
              <w:sz w:val="19"/>
              <w:szCs w:val="19"/>
            </w:rPr>
            <w:t>减少经销商（单位：个）</w:t>
          </w:r>
          <w:r>
            <w:rPr>
              <w:rFonts w:ascii="SimHei" w:eastAsia="SimHei" w:hAnsi="SimHei" w:cs="SimHei"/>
              <w:spacing w:val="35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52" w:history="1">
            <w:r>
              <w:rPr>
                <w:spacing w:val="6"/>
                <w:position w:val="1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39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：舍得经销商数量和单个经销商平均营收（单位：个）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3" w:history="1">
            <w:r>
              <w:rPr>
                <w:spacing w:val="6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40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2019-2021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年次高端景气期的行业变化</w:t>
          </w:r>
          <w:r>
            <w:rPr>
              <w:rFonts w:ascii="SimHei" w:eastAsia="SimHei" w:hAnsi="SimHei" w:cs="SimHei"/>
              <w:spacing w:val="-1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4" w:history="1">
            <w:r>
              <w:rPr>
                <w:spacing w:val="6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9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>41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：部分</w:t>
          </w:r>
          <w:r>
            <w:rPr>
              <w:rFonts w:ascii="SimHei" w:eastAsia="SimHei" w:hAnsi="SimHei" w:cs="SimHei"/>
              <w:spacing w:val="-35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 xml:space="preserve">200-400 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元次高端白酒批价（元</w:t>
          </w:r>
          <w:r>
            <w:rPr>
              <w:spacing w:val="4"/>
              <w:position w:val="1"/>
              <w:sz w:val="19"/>
              <w:szCs w:val="19"/>
            </w:rPr>
            <w:t>/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瓶）</w:t>
          </w:r>
          <w:r>
            <w:rPr>
              <w:rFonts w:ascii="SimHei" w:eastAsia="SimHei" w:hAnsi="SimHei" w:cs="SimHei"/>
              <w:spacing w:val="28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55" w:history="1">
            <w:r>
              <w:rPr>
                <w:spacing w:val="6"/>
                <w:position w:val="1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8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>42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：部分</w:t>
          </w:r>
          <w:r>
            <w:rPr>
              <w:rFonts w:ascii="SimHei" w:eastAsia="SimHei" w:hAnsi="SimHei" w:cs="SimHei"/>
              <w:spacing w:val="-27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 xml:space="preserve">400 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元以上次高端白酒批价（元</w:t>
          </w:r>
          <w:r>
            <w:rPr>
              <w:spacing w:val="4"/>
              <w:position w:val="1"/>
              <w:sz w:val="19"/>
              <w:szCs w:val="19"/>
            </w:rPr>
            <w:t>/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瓶）</w:t>
          </w:r>
          <w:r>
            <w:rPr>
              <w:rFonts w:ascii="SimHei" w:eastAsia="SimHei" w:hAnsi="SimHei" w:cs="SimHei"/>
              <w:spacing w:val="29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56" w:history="1">
            <w:r>
              <w:rPr>
                <w:spacing w:val="6"/>
                <w:position w:val="1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43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：部分次高端酒企经销商数量</w:t>
          </w:r>
          <w:r>
            <w:rPr>
              <w:rFonts w:ascii="SimHei" w:eastAsia="SimHei" w:hAnsi="SimHei" w:cs="SimHei"/>
              <w:spacing w:val="-6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7" w:history="1">
            <w:r>
              <w:rPr>
                <w:spacing w:val="6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44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：次高端酒企近期吨价升级受阻</w:t>
          </w:r>
          <w:r>
            <w:rPr>
              <w:rFonts w:ascii="SimHei" w:eastAsia="SimHei" w:hAnsi="SimHei" w:cs="SimHei"/>
              <w:spacing w:val="-5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8" w:history="1">
            <w:r>
              <w:rPr>
                <w:spacing w:val="6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45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>：次高端酒企产能布局情况（吨）</w:t>
          </w:r>
          <w:r>
            <w:rPr>
              <w:rFonts w:ascii="SimHei" w:eastAsia="SimHei" w:hAnsi="SimHei" w:cs="SimHei"/>
              <w:spacing w:val="63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59" w:history="1">
            <w:r>
              <w:rPr>
                <w:spacing w:val="6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6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 xml:space="preserve"> </w:t>
          </w:r>
          <w:r>
            <w:rPr>
              <w:spacing w:val="-1"/>
              <w:position w:val="1"/>
              <w:sz w:val="19"/>
              <w:szCs w:val="19"/>
            </w:rPr>
            <w:t>46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>：</w:t>
          </w:r>
          <w:r>
            <w:rPr>
              <w:spacing w:val="-1"/>
              <w:position w:val="1"/>
              <w:sz w:val="19"/>
              <w:szCs w:val="19"/>
            </w:rPr>
            <w:t>PPI</w:t>
          </w:r>
          <w:r>
            <w:rPr>
              <w:spacing w:val="-13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>、</w:t>
          </w:r>
          <w:r>
            <w:rPr>
              <w:spacing w:val="-1"/>
              <w:position w:val="1"/>
              <w:sz w:val="19"/>
              <w:szCs w:val="19"/>
            </w:rPr>
            <w:t xml:space="preserve">PMI 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>数据未明显向上（单位：</w:t>
          </w:r>
          <w:r>
            <w:rPr>
              <w:rFonts w:ascii="SimHei" w:eastAsia="SimHei" w:hAnsi="SimHei" w:cs="SimHei"/>
              <w:spacing w:val="54"/>
              <w:position w:val="1"/>
              <w:sz w:val="19"/>
              <w:szCs w:val="19"/>
            </w:rPr>
            <w:t xml:space="preserve"> </w:t>
          </w:r>
          <w:r>
            <w:rPr>
              <w:spacing w:val="-1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1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60" w:history="1">
            <w:r>
              <w:rPr>
                <w:spacing w:val="6"/>
                <w:position w:val="1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50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1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1"/>
              <w:position w:val="1"/>
              <w:sz w:val="19"/>
              <w:szCs w:val="19"/>
            </w:rPr>
            <w:t xml:space="preserve"> </w:t>
          </w:r>
          <w:r>
            <w:rPr>
              <w:spacing w:val="1"/>
              <w:position w:val="1"/>
              <w:sz w:val="19"/>
              <w:szCs w:val="19"/>
            </w:rPr>
            <w:t>47</w:t>
          </w:r>
          <w:r>
            <w:rPr>
              <w:rFonts w:ascii="SimHei" w:eastAsia="SimHei" w:hAnsi="SimHei" w:cs="SimHei"/>
              <w:spacing w:val="1"/>
              <w:position w:val="1"/>
              <w:sz w:val="19"/>
              <w:szCs w:val="19"/>
            </w:rPr>
            <w:t>：居民可支配收入长期增长（单位：</w:t>
          </w:r>
          <w:r>
            <w:rPr>
              <w:rFonts w:ascii="SimHei" w:eastAsia="SimHei" w:hAnsi="SimHei" w:cs="SimHei"/>
              <w:spacing w:val="55"/>
              <w:position w:val="1"/>
              <w:sz w:val="19"/>
              <w:szCs w:val="19"/>
            </w:rPr>
            <w:t xml:space="preserve"> </w:t>
          </w:r>
          <w:r>
            <w:rPr>
              <w:spacing w:val="1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1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49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61" w:history="1">
            <w:r>
              <w:rPr>
                <w:spacing w:val="6"/>
                <w:position w:val="1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7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position w:val="2"/>
              <w:sz w:val="19"/>
              <w:szCs w:val="19"/>
            </w:rPr>
            <w:t xml:space="preserve"> </w:t>
          </w:r>
          <w:r>
            <w:rPr>
              <w:spacing w:val="7"/>
              <w:position w:val="2"/>
              <w:sz w:val="19"/>
              <w:szCs w:val="19"/>
            </w:rPr>
            <w:t>48</w:t>
          </w:r>
          <w:r>
            <w:rPr>
              <w:rFonts w:ascii="SimHei" w:eastAsia="SimHei" w:hAnsi="SimHei" w:cs="SimHei"/>
              <w:spacing w:val="7"/>
              <w:position w:val="2"/>
              <w:sz w:val="19"/>
              <w:szCs w:val="19"/>
            </w:rPr>
            <w:t>：贷款市场报价利率</w:t>
          </w:r>
          <w:r>
            <w:rPr>
              <w:spacing w:val="7"/>
              <w:position w:val="2"/>
              <w:sz w:val="19"/>
              <w:szCs w:val="19"/>
            </w:rPr>
            <w:t>(</w:t>
          </w:r>
          <w:r>
            <w:rPr>
              <w:position w:val="2"/>
              <w:sz w:val="19"/>
              <w:szCs w:val="19"/>
            </w:rPr>
            <w:t>LPR</w:t>
          </w:r>
          <w:r>
            <w:rPr>
              <w:spacing w:val="7"/>
              <w:position w:val="2"/>
              <w:sz w:val="19"/>
              <w:szCs w:val="19"/>
            </w:rPr>
            <w:t xml:space="preserve">):1 </w:t>
          </w:r>
          <w:r>
            <w:rPr>
              <w:rFonts w:ascii="SimHei" w:eastAsia="SimHei" w:hAnsi="SimHei" w:cs="SimHei"/>
              <w:spacing w:val="7"/>
              <w:position w:val="2"/>
              <w:sz w:val="19"/>
              <w:szCs w:val="19"/>
            </w:rPr>
            <w:t>年（</w:t>
          </w:r>
          <w:r>
            <w:rPr>
              <w:spacing w:val="7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7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64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62" w:history="1">
            <w:r>
              <w:rPr>
                <w:spacing w:val="6"/>
                <w:position w:val="2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7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 xml:space="preserve"> </w:t>
          </w:r>
          <w:r>
            <w:rPr>
              <w:spacing w:val="8"/>
              <w:position w:val="1"/>
              <w:sz w:val="19"/>
              <w:szCs w:val="19"/>
            </w:rPr>
            <w:t>49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：中国</w:t>
          </w:r>
          <w:r>
            <w:rPr>
              <w:spacing w:val="8"/>
              <w:position w:val="1"/>
              <w:sz w:val="19"/>
              <w:szCs w:val="19"/>
            </w:rPr>
            <w:t>: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人民币存款准备金率</w:t>
          </w:r>
          <w:r>
            <w:rPr>
              <w:spacing w:val="8"/>
              <w:position w:val="1"/>
              <w:sz w:val="19"/>
              <w:szCs w:val="19"/>
            </w:rPr>
            <w:t>: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大型存款类金融机构（</w:t>
          </w:r>
          <w:r>
            <w:rPr>
              <w:spacing w:val="8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7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63" w:history="1">
            <w:r>
              <w:rPr>
                <w:spacing w:val="6"/>
                <w:position w:val="1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6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：国家出台恢复和扩大消费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 xml:space="preserve">20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条措施</w:t>
          </w:r>
          <w:r>
            <w:rPr>
              <w:rFonts w:ascii="SimHei" w:eastAsia="SimHei" w:hAnsi="SimHei" w:cs="SimHei"/>
              <w:spacing w:val="-2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4" w:history="1">
            <w:r>
              <w:rPr>
                <w:spacing w:val="6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51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>：飞天茅台近期批价（元）</w:t>
          </w:r>
          <w:r>
            <w:rPr>
              <w:rFonts w:ascii="SimHei" w:eastAsia="SimHei" w:hAnsi="SimHei" w:cs="SimHei"/>
              <w:spacing w:val="5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5" w:history="1">
            <w:r>
              <w:rPr>
                <w:spacing w:val="6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  <w:sectPr>
              <w:headerReference w:type="default" r:id="rId28"/>
              <w:footerReference w:type="default" r:id="rId29"/>
              <w:pgSz w:w="11907" w:h="16839"/>
              <w:pgMar w:top="1350" w:right="749" w:bottom="970" w:left="842" w:header="851" w:footer="713" w:gutter="0"/>
              <w:pgNumType w:start="11"/>
              <w:cols w:space="708"/>
            </w:sect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52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：五粮液和老窖近期批价（元）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6" w:history="1">
            <w:r>
              <w:rPr>
                <w:spacing w:val="6"/>
                <w:sz w:val="19"/>
                <w:szCs w:val="19"/>
              </w:rPr>
              <w:t>29</w:t>
            </w:r>
          </w:hyperlink>
        </w:p>
      </w:sdtContent>
    </w:sdt>
    <w:sdt>
      <w:sdtPr>
        <w:rPr>
          <w:rFonts w:ascii="SimHei" w:eastAsia="SimHei" w:hAnsi="SimHei" w:cs="SimHei"/>
          <w:sz w:val="19"/>
          <w:szCs w:val="19"/>
        </w:rPr>
        <w:id w:val="107744674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2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53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：不同级别居民可支配收入增速</w:t>
          </w:r>
          <w:r>
            <w:rPr>
              <w:rFonts w:ascii="SimHei" w:eastAsia="SimHei" w:hAnsi="SimHei" w:cs="SimHei"/>
              <w:spacing w:val="-5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7" w:history="1">
            <w:r>
              <w:rPr>
                <w:spacing w:val="6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54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2022-2023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年各地宴席消费主流价格带（单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位：元）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8" w:history="1">
            <w:r>
              <w:rPr>
                <w:spacing w:val="6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：消费各板块营业总收入增速</w:t>
          </w:r>
          <w:r>
            <w:rPr>
              <w:rFonts w:ascii="SimHei" w:eastAsia="SimHei" w:hAnsi="SimHei" w:cs="SimHei"/>
              <w:spacing w:val="-6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9" w:history="1">
            <w:r>
              <w:rPr>
                <w:spacing w:val="6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56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：消费各板块归母净利润增速</w:t>
          </w:r>
          <w:r>
            <w:rPr>
              <w:rFonts w:ascii="SimHei" w:eastAsia="SimHei" w:hAnsi="SimHei" w:cs="SimHei"/>
              <w:spacing w:val="-6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0" w:history="1">
            <w:r>
              <w:rPr>
                <w:spacing w:val="6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57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：白酒各板块营业总收入同比增速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1" w:history="1">
            <w:r>
              <w:rPr>
                <w:spacing w:val="6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58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：白酒各板块归母净利润同比增速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2" w:history="1">
            <w:r>
              <w:rPr>
                <w:spacing w:val="6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59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：深度竞争期酒企竞争核心从品牌</w:t>
          </w:r>
          <w:r>
            <w:rPr>
              <w:spacing w:val="8"/>
              <w:sz w:val="19"/>
              <w:szCs w:val="19"/>
            </w:rPr>
            <w:t>+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渠道变为品牌</w:t>
          </w:r>
          <w:r>
            <w:rPr>
              <w:spacing w:val="8"/>
              <w:sz w:val="19"/>
              <w:szCs w:val="19"/>
            </w:rPr>
            <w:t>+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运营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3" w:history="1">
            <w:r>
              <w:rPr>
                <w:spacing w:val="6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：核心终端深入运营措施</w:t>
          </w:r>
          <w:r>
            <w:rPr>
              <w:rFonts w:ascii="SimHei" w:eastAsia="SimHei" w:hAnsi="SimHei" w:cs="SimHei"/>
              <w:spacing w:val="-5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4" w:history="1">
            <w:r>
              <w:rPr>
                <w:spacing w:val="6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61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：国窖多层次品鉴会</w:t>
          </w:r>
          <w:r>
            <w:rPr>
              <w:rFonts w:ascii="SimHei" w:eastAsia="SimHei" w:hAnsi="SimHei" w:cs="SimHei"/>
              <w:spacing w:val="-4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5" w:history="1">
            <w:r>
              <w:rPr>
                <w:spacing w:val="6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62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：李渡酒、国窖、郎酒会员小程序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6" w:history="1">
            <w:r>
              <w:rPr>
                <w:spacing w:val="6"/>
                <w:sz w:val="19"/>
                <w:szCs w:val="19"/>
              </w:rPr>
              <w:t>32</w:t>
            </w:r>
          </w:hyperlink>
        </w:p>
      </w:sdtContent>
    </w:sdt>
    <w:p>
      <w:pPr>
        <w:spacing w:line="230" w:lineRule="auto"/>
        <w:rPr>
          <w:sz w:val="19"/>
          <w:szCs w:val="19"/>
        </w:rPr>
        <w:sectPr>
          <w:headerReference w:type="default" r:id="rId30"/>
          <w:footerReference w:type="default" r:id="rId31"/>
          <w:type w:val="nextPage"/>
          <w:pgSz w:w="11907" w:h="16839"/>
          <w:pgMar w:top="1350" w:right="749" w:bottom="970" w:left="842" w:header="851" w:footer="713" w:gutter="0"/>
          <w:pgNumType w:start="12"/>
          <w:cols w:space="708"/>
          <w:titlePg w:val="0"/>
        </w:sectPr>
      </w:pPr>
    </w:p>
    <w:p>
      <w:pPr>
        <w:pStyle w:val="BodyText"/>
        <w:spacing w:line="327" w:lineRule="auto"/>
      </w:pPr>
    </w:p>
    <w:p>
      <w:pPr>
        <w:pStyle w:val="BodyText"/>
        <w:spacing w:line="327" w:lineRule="auto"/>
      </w:pPr>
    </w:p>
    <w:sdt>
      <w:sdtPr>
        <w:rPr>
          <w:rFonts w:ascii="SimHei" w:eastAsia="SimHei" w:hAnsi="SimHei" w:cs="SimHei"/>
          <w:sz w:val="19"/>
          <w:szCs w:val="19"/>
        </w:rPr>
        <w:id w:val="126451420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2"/>
            </w:tabs>
            <w:spacing w:before="6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63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>：次高端酒企的估值水平（五年分位数</w:t>
          </w:r>
          <w:r>
            <w:rPr>
              <w:rFonts w:ascii="SimHei" w:eastAsia="SimHei" w:hAnsi="SimHei" w:cs="SimHei"/>
              <w:spacing w:val="-31"/>
              <w:sz w:val="19"/>
              <w:szCs w:val="19"/>
            </w:rPr>
            <w:t>）（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>倍）</w:t>
          </w:r>
          <w:r>
            <w:rPr>
              <w:rFonts w:ascii="SimHei" w:eastAsia="SimHei" w:hAnsi="SimHei" w:cs="SimHei"/>
              <w:spacing w:val="2"/>
              <w:sz w:val="19"/>
              <w:szCs w:val="19"/>
            </w:rPr>
            <w:t xml:space="preserve"> 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7" w:history="1">
            <w:r>
              <w:rPr>
                <w:spacing w:val="6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64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：汾酒近期部分营销活动</w:t>
          </w:r>
          <w:r>
            <w:rPr>
              <w:rFonts w:ascii="SimHei" w:eastAsia="SimHei" w:hAnsi="SimHei" w:cs="SimHei"/>
              <w:spacing w:val="-5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8" w:history="1">
            <w:r>
              <w:rPr>
                <w:spacing w:val="6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：汾酒分地区收入情况</w:t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9" w:history="1">
            <w:r>
              <w:rPr>
                <w:spacing w:val="6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0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66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：舍得近期部分营销活动</w:t>
          </w:r>
          <w:r>
            <w:rPr>
              <w:rFonts w:ascii="SimHei" w:eastAsia="SimHei" w:hAnsi="SimHei" w:cs="SimHei"/>
              <w:spacing w:val="-5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0" w:history="1">
            <w:r>
              <w:rPr>
                <w:spacing w:val="6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67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：舍得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 xml:space="preserve">2022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分地区收入结构</w:t>
          </w:r>
          <w:r>
            <w:rPr>
              <w:rFonts w:ascii="SimHei" w:eastAsia="SimHei" w:hAnsi="SimHei" w:cs="SimHei"/>
              <w:spacing w:val="-7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1" w:history="1">
            <w:r>
              <w:rPr>
                <w:spacing w:val="6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68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：酒鬼酒近期部分营销活动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2" w:history="1">
            <w:r>
              <w:rPr>
                <w:spacing w:val="6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69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：酒鬼酒主要产品收入情况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3" w:history="1">
            <w:r>
              <w:rPr>
                <w:spacing w:val="6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70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：水井坊近期部分营销活动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4" w:history="1">
            <w:r>
              <w:rPr>
                <w:spacing w:val="6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71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：水井坊收入利润情况</w:t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5" w:history="1">
            <w:r>
              <w:rPr>
                <w:spacing w:val="6"/>
                <w:sz w:val="19"/>
                <w:szCs w:val="19"/>
              </w:rPr>
              <w:t>37</w:t>
            </w:r>
          </w:hyperlink>
        </w:p>
        <w:p>
          <w:pPr>
            <w:pStyle w:val="BodyText"/>
            <w:spacing w:line="331" w:lineRule="auto"/>
          </w:pPr>
        </w:p>
        <w:p>
          <w:pPr>
            <w:pStyle w:val="BodyText"/>
            <w:tabs>
              <w:tab w:val="right" w:leader="dot" w:pos="10202"/>
            </w:tabs>
            <w:spacing w:before="61" w:line="231" w:lineRule="auto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29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1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：资本酱酒布局情况</w:t>
          </w:r>
          <w:r>
            <w:rPr>
              <w:rFonts w:ascii="SimHei" w:eastAsia="SimHei" w:hAnsi="SimHei" w:cs="SimHei"/>
              <w:spacing w:val="-4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6" w:history="1">
            <w:r>
              <w:rPr>
                <w:spacing w:val="6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2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：次高端酒企部分精细化运营动作</w:t>
          </w:r>
          <w:r>
            <w:rPr>
              <w:rFonts w:ascii="SimHei" w:eastAsia="SimHei" w:hAnsi="SimHei" w:cs="SimHei"/>
              <w:spacing w:val="-2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7" w:history="1">
            <w:r>
              <w:rPr>
                <w:spacing w:val="6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5" w:line="230" w:lineRule="auto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3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：次高端酒企消费者培育活动</w:t>
          </w:r>
          <w:r>
            <w:rPr>
              <w:rFonts w:ascii="SimHei" w:eastAsia="SimHei" w:hAnsi="SimHei" w:cs="SimHei"/>
              <w:spacing w:val="-6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8" w:history="1">
            <w:r>
              <w:rPr>
                <w:spacing w:val="6"/>
                <w:sz w:val="19"/>
                <w:szCs w:val="19"/>
              </w:rPr>
              <w:t>33</w:t>
            </w:r>
          </w:hyperlink>
        </w:p>
      </w:sdtContent>
    </w:sdt>
    <w:p>
      <w:pPr>
        <w:spacing w:line="230" w:lineRule="auto"/>
        <w:rPr>
          <w:sz w:val="19"/>
          <w:szCs w:val="19"/>
        </w:rPr>
        <w:sectPr>
          <w:headerReference w:type="default" r:id="rId32"/>
          <w:footerReference w:type="default" r:id="rId33"/>
          <w:pgSz w:w="11907" w:h="16839"/>
          <w:pgMar w:top="1350" w:right="749" w:bottom="970" w:left="842" w:header="851" w:footer="713" w:gutter="0"/>
          <w:pgNumType w:start="13"/>
          <w:cols w:space="708"/>
        </w:sectPr>
      </w:pPr>
    </w:p>
    <w:p>
      <w:pPr>
        <w:pStyle w:val="BodyText"/>
        <w:spacing w:line="348" w:lineRule="auto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4467351</wp:posOffset>
            </wp:positionV>
            <wp:extent cx="4319904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6671309</wp:posOffset>
            </wp:positionV>
            <wp:extent cx="4319904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1990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style="width:22.25pt;height:22.9pt;margin-top:375.24pt;margin-left:149.2pt;mso-position-horizontal-relative:page;mso-position-vertical-relative:page;position:absolute;z-index:-251651072" coordorigin="0,0" coordsize="445,457" o:allowincell="f" path="m,228c,102,99,,222,c344,,444,102,444,228c444,355,344,457,222,457c99,457,,355,,228e" filled="t" fillcolor="#ed7d31" stroked="f">
            <v:fill opacity="49088f"/>
          </v:shape>
        </w:pict>
      </w:r>
      <w:r>
        <w:pict>
          <v:shape id="_x0000_s1040" style="width:28.15pt;height:28.1pt;margin-top:391.49pt;margin-left:327.68pt;mso-position-horizontal-relative:page;mso-position-vertical-relative:page;position:absolute;z-index:-251650048" coordorigin="0,0" coordsize="562,562" o:allowincell="f" path="m,280c,125,126,,281,c436,,562,125,562,280c562,435,436,561,281,561c126,561,,435,,280e" filled="t" fillcolor="#4472c4" stroked="f">
            <v:fill opacity="49088f"/>
          </v:shape>
        </w:pict>
      </w:r>
    </w:p>
    <w:p>
      <w:pPr>
        <w:pStyle w:val="BodyText"/>
        <w:spacing w:line="349" w:lineRule="auto"/>
      </w:pPr>
    </w:p>
    <w:p>
      <w:pPr>
        <w:spacing w:before="101" w:line="218" w:lineRule="auto"/>
        <w:ind w:left="22"/>
        <w:rPr>
          <w:rFonts w:ascii="SimHei" w:eastAsia="SimHei" w:hAnsi="SimHei" w:cs="SimHei"/>
          <w:sz w:val="31"/>
          <w:szCs w:val="31"/>
        </w:rPr>
      </w:pPr>
      <w:bookmarkStart w:id="0" w:name="bookmark16"/>
      <w:bookmarkEnd w:id="0"/>
      <w:bookmarkStart w:id="1" w:name="bookmark1"/>
      <w:bookmarkEnd w:id="1"/>
      <w:bookmarkStart w:id="2" w:name="bookmark2"/>
      <w:bookmarkEnd w:id="2"/>
      <w:r>
        <w:rPr>
          <w:rFonts w:ascii="SimHei" w:eastAsia="SimHei" w:hAnsi="SimHei" w:cs="SimHei"/>
          <w:color w:val="E10000"/>
          <w:spacing w:val="-7"/>
          <w:sz w:val="31"/>
          <w:szCs w:val="31"/>
        </w:rPr>
        <w:t>次高端：</w:t>
      </w:r>
      <w:r>
        <w:rPr>
          <w:rFonts w:ascii="SimHei" w:eastAsia="SimHei" w:hAnsi="SimHei" w:cs="SimHei"/>
          <w:color w:val="E10000"/>
          <w:spacing w:val="48"/>
          <w:sz w:val="31"/>
          <w:szCs w:val="31"/>
        </w:rPr>
        <w:t xml:space="preserve"> </w:t>
      </w:r>
      <w:r>
        <w:rPr>
          <w:rFonts w:ascii="SimHei" w:eastAsia="SimHei" w:hAnsi="SimHei" w:cs="SimHei"/>
          <w:color w:val="E10000"/>
          <w:spacing w:val="-7"/>
          <w:sz w:val="31"/>
          <w:szCs w:val="31"/>
        </w:rPr>
        <w:t>高潜成长，放大周期</w:t>
      </w:r>
    </w:p>
    <w:p>
      <w:pPr>
        <w:spacing w:before="181" w:line="313" w:lineRule="exact"/>
        <w:ind w:left="3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白酒行业的产品价格带较宽，</w:t>
      </w:r>
      <w:r>
        <w:rPr>
          <w:rFonts w:ascii="STXihei" w:eastAsia="STXihei" w:hAnsi="STXihei" w:cs="STXihei"/>
          <w:spacing w:val="41"/>
          <w:w w:val="101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不同价格带的产品对应不同需求和场景，</w:t>
      </w:r>
      <w:r>
        <w:rPr>
          <w:rFonts w:ascii="STXihei" w:eastAsia="STXihei" w:hAnsi="STXihei" w:cs="STXihei"/>
          <w:spacing w:val="11"/>
          <w:position w:val="1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从历史发展来看</w:t>
      </w:r>
    </w:p>
    <w:p>
      <w:pPr>
        <w:spacing w:line="195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表现出不同的特征。白酒的价格带大体可以划分为高端酒、次高端酒、大众酒三个层次，</w:t>
      </w:r>
    </w:p>
    <w:p>
      <w:pPr>
        <w:spacing w:before="104" w:line="198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其中次高端酒向上受到高端酒价格带上移的引领，</w:t>
      </w:r>
      <w:r>
        <w:rPr>
          <w:rFonts w:ascii="STXihei" w:eastAsia="STXihei" w:hAnsi="STXihei" w:cs="STXihei"/>
          <w:spacing w:val="26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向下受到大众酒升级的托举，</w:t>
      </w:r>
      <w:r>
        <w:rPr>
          <w:rFonts w:ascii="STXihei" w:eastAsia="STXihei" w:hAnsi="STXihei" w:cs="STXihei"/>
          <w:spacing w:val="14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长期来</w:t>
      </w:r>
    </w:p>
    <w:p>
      <w:pPr>
        <w:spacing w:before="103" w:line="198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看行业成长空间仍然充足，  短期来看在经济周期</w:t>
      </w:r>
      <w:r>
        <w:rPr>
          <w:rFonts w:ascii="STXihei" w:eastAsia="STXihei" w:hAnsi="STXihei" w:cs="STXihei"/>
          <w:spacing w:val="-4"/>
          <w:sz w:val="18"/>
          <w:szCs w:val="18"/>
        </w:rPr>
        <w:t>及价格竞争两重维度的影响下波动相对</w:t>
      </w:r>
    </w:p>
    <w:p>
      <w:pPr>
        <w:spacing w:before="105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更大，但潜在成长性仍不容忽视，优质品牌仍</w:t>
      </w:r>
      <w:r>
        <w:rPr>
          <w:rFonts w:ascii="STXihei" w:eastAsia="STXihei" w:hAnsi="STXihei" w:cs="STXihei"/>
          <w:spacing w:val="-2"/>
          <w:sz w:val="18"/>
          <w:szCs w:val="18"/>
        </w:rPr>
        <w:t>将持续跑赢。</w:t>
      </w:r>
    </w:p>
    <w:p>
      <w:pPr>
        <w:spacing w:before="197" w:line="213" w:lineRule="auto"/>
        <w:ind w:left="2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10000"/>
          <w:spacing w:val="-7"/>
          <w:sz w:val="28"/>
          <w:szCs w:val="28"/>
        </w:rPr>
        <w:t>行业概览：成长潜力充足，</w:t>
      </w:r>
      <w:r>
        <w:rPr>
          <w:rFonts w:ascii="SimHei" w:eastAsia="SimHei" w:hAnsi="SimHei" w:cs="SimHei"/>
          <w:color w:val="E10000"/>
          <w:spacing w:val="-7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E10000"/>
          <w:spacing w:val="-7"/>
          <w:sz w:val="28"/>
          <w:szCs w:val="28"/>
        </w:rPr>
        <w:t>集中度具备提升空间</w:t>
      </w:r>
    </w:p>
    <w:p>
      <w:pPr>
        <w:pStyle w:val="BodyText"/>
        <w:spacing w:before="186" w:line="312" w:lineRule="exact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position w:val="11"/>
          <w:sz w:val="18"/>
          <w:szCs w:val="18"/>
        </w:rPr>
        <w:t xml:space="preserve">市场通常界定次高端酒为价格在  </w:t>
      </w:r>
      <w:r>
        <w:rPr>
          <w:position w:val="11"/>
          <w:sz w:val="18"/>
          <w:szCs w:val="18"/>
        </w:rPr>
        <w:t xml:space="preserve">300-800  </w:t>
      </w:r>
      <w:r>
        <w:rPr>
          <w:rFonts w:ascii="STXihei" w:eastAsia="STXihei" w:hAnsi="STXihei" w:cs="STXihei"/>
          <w:position w:val="11"/>
          <w:sz w:val="18"/>
          <w:szCs w:val="18"/>
        </w:rPr>
        <w:t>元的产品，从收入规模上看，次高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端价格带</w:t>
      </w:r>
    </w:p>
    <w:p>
      <w:pPr>
        <w:pStyle w:val="BodyText"/>
        <w:spacing w:line="196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spacing w:val="-2"/>
          <w:sz w:val="18"/>
          <w:szCs w:val="18"/>
        </w:rPr>
        <w:t xml:space="preserve">2023 </w:t>
      </w:r>
      <w:r>
        <w:rPr>
          <w:rFonts w:ascii="STXihei" w:eastAsia="STXihei" w:hAnsi="STXihei" w:cs="STXihei"/>
          <w:spacing w:val="-2"/>
          <w:sz w:val="18"/>
          <w:szCs w:val="18"/>
        </w:rPr>
        <w:t>年的规模约为</w:t>
      </w:r>
      <w:r>
        <w:rPr>
          <w:rFonts w:ascii="STXihei" w:eastAsia="STXihei" w:hAnsi="STXihei" w:cs="STXihei"/>
          <w:spacing w:val="4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1475 </w:t>
      </w:r>
      <w:r>
        <w:rPr>
          <w:rFonts w:ascii="STXihei" w:eastAsia="STXihei" w:hAnsi="STXihei" w:cs="STXihei"/>
          <w:spacing w:val="-2"/>
          <w:sz w:val="18"/>
          <w:szCs w:val="18"/>
        </w:rPr>
        <w:t>亿元，低于高端酒的约</w:t>
      </w:r>
      <w:r>
        <w:rPr>
          <w:rFonts w:ascii="STXihei" w:eastAsia="STXihei" w:hAnsi="STXihei" w:cs="STXihei"/>
          <w:spacing w:val="2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2341 </w:t>
      </w:r>
      <w:r>
        <w:rPr>
          <w:rFonts w:ascii="STXihei" w:eastAsia="STXihei" w:hAnsi="STXihei" w:cs="STXihei"/>
          <w:spacing w:val="-2"/>
          <w:sz w:val="18"/>
          <w:szCs w:val="18"/>
        </w:rPr>
        <w:t>亿元和大众酒的约</w:t>
      </w:r>
      <w:r>
        <w:rPr>
          <w:rFonts w:ascii="STXihei" w:eastAsia="STXihei" w:hAnsi="STXihei" w:cs="STXihei"/>
          <w:spacing w:val="1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3142 </w:t>
      </w:r>
      <w:r>
        <w:rPr>
          <w:rFonts w:ascii="STXihei" w:eastAsia="STXihei" w:hAnsi="STXihei" w:cs="STXihei"/>
          <w:spacing w:val="-2"/>
          <w:sz w:val="18"/>
          <w:szCs w:val="18"/>
        </w:rPr>
        <w:t>亿元，</w:t>
      </w:r>
    </w:p>
    <w:p>
      <w:pPr>
        <w:pStyle w:val="BodyText"/>
        <w:spacing w:before="104" w:line="198" w:lineRule="auto"/>
        <w:ind w:left="1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相比而言次高端酒有更高的成长速度，</w:t>
      </w:r>
      <w:r>
        <w:rPr>
          <w:rFonts w:ascii="STXihei" w:eastAsia="STXihei" w:hAnsi="STXihei" w:cs="STXihei"/>
          <w:spacing w:val="24"/>
          <w:w w:val="101"/>
          <w:sz w:val="18"/>
          <w:szCs w:val="18"/>
        </w:rPr>
        <w:t xml:space="preserve">  </w:t>
      </w:r>
      <w:r>
        <w:rPr>
          <w:spacing w:val="-4"/>
          <w:sz w:val="18"/>
          <w:szCs w:val="18"/>
        </w:rPr>
        <w:t>2016-2023</w:t>
      </w:r>
      <w:r>
        <w:rPr>
          <w:spacing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年收入</w:t>
      </w:r>
      <w:r>
        <w:rPr>
          <w:rFonts w:ascii="STXihei" w:eastAsia="STXihei" w:hAnsi="STXihei" w:cs="STXihei"/>
          <w:spacing w:val="15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CAGR </w:t>
      </w:r>
      <w:r>
        <w:rPr>
          <w:rFonts w:ascii="STXihei" w:eastAsia="STXihei" w:hAnsi="STXihei" w:cs="STXihei"/>
          <w:spacing w:val="-4"/>
          <w:sz w:val="18"/>
          <w:szCs w:val="18"/>
        </w:rPr>
        <w:t>约为</w:t>
      </w:r>
      <w:r>
        <w:rPr>
          <w:rFonts w:ascii="STXihei" w:eastAsia="STXihei" w:hAnsi="STXihei" w:cs="STXihei"/>
          <w:spacing w:val="13"/>
          <w:w w:val="101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30%</w:t>
      </w:r>
      <w:r>
        <w:rPr>
          <w:rFonts w:ascii="STXihei" w:eastAsia="STXihei" w:hAnsi="STXihei" w:cs="STXihei"/>
          <w:spacing w:val="-4"/>
          <w:sz w:val="18"/>
          <w:szCs w:val="18"/>
        </w:rPr>
        <w:t>，快于高端</w:t>
      </w:r>
    </w:p>
    <w:p>
      <w:pPr>
        <w:spacing w:before="104" w:line="198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酒和大众酒。次高端酒价格带的主要参与者主要有茅</w:t>
      </w:r>
      <w:r>
        <w:rPr>
          <w:rFonts w:ascii="STXihei" w:eastAsia="STXihei" w:hAnsi="STXihei" w:cs="STXihei"/>
          <w:spacing w:val="-5"/>
          <w:sz w:val="18"/>
          <w:szCs w:val="18"/>
        </w:rPr>
        <w:t>台、五粮液等高端品牌的腰部产品，</w:t>
      </w:r>
    </w:p>
    <w:p>
      <w:pPr>
        <w:pStyle w:val="BodyText"/>
        <w:spacing w:before="105" w:line="197" w:lineRule="auto"/>
        <w:ind w:left="19"/>
        <w:rPr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汾酒、剑南春等全国化次高端品牌，和区域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强势品牌的中高端产品，经测算 </w:t>
      </w:r>
      <w:r>
        <w:rPr>
          <w:spacing w:val="-6"/>
          <w:sz w:val="18"/>
          <w:szCs w:val="18"/>
        </w:rPr>
        <w:t xml:space="preserve">2023 </w:t>
      </w:r>
      <w:r>
        <w:rPr>
          <w:rFonts w:ascii="STXihei" w:eastAsia="STXihei" w:hAnsi="STXihei" w:cs="STXihei"/>
          <w:spacing w:val="-6"/>
          <w:sz w:val="18"/>
          <w:szCs w:val="18"/>
        </w:rPr>
        <w:t>年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CR3</w:t>
      </w:r>
    </w:p>
    <w:p>
      <w:pPr>
        <w:pStyle w:val="BodyText"/>
        <w:spacing w:before="103" w:line="198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 xml:space="preserve">约为 </w:t>
      </w:r>
      <w:r>
        <w:rPr>
          <w:spacing w:val="-5"/>
          <w:sz w:val="18"/>
          <w:szCs w:val="18"/>
        </w:rPr>
        <w:t>30%</w:t>
      </w:r>
      <w:r>
        <w:rPr>
          <w:rFonts w:ascii="STXihei" w:eastAsia="STXihei" w:hAnsi="STXihei" w:cs="STXihei"/>
          <w:spacing w:val="-5"/>
          <w:sz w:val="18"/>
          <w:szCs w:val="18"/>
        </w:rPr>
        <w:t>，明显低于高端酒，   进一步向名优酒集中的空间仍较大。</w:t>
      </w:r>
    </w:p>
    <w:p>
      <w:pPr>
        <w:pStyle w:val="BodyText"/>
        <w:spacing w:before="217" w:line="197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1</w:t>
      </w:r>
      <w:r>
        <w:rPr>
          <w:rFonts w:ascii="STXihei" w:eastAsia="STXihei" w:hAnsi="STXihei" w:cs="STXihei"/>
          <w:spacing w:val="-1"/>
          <w:sz w:val="16"/>
          <w:szCs w:val="16"/>
        </w:rPr>
        <w:t>：次高端价格带成长性高而集中度较低</w:t>
      </w:r>
    </w:p>
    <w:p>
      <w:pPr>
        <w:pStyle w:val="BodyText"/>
        <w:spacing w:before="172" w:line="237" w:lineRule="exact"/>
        <w:ind w:left="194"/>
        <w:rPr>
          <w:sz w:val="16"/>
          <w:szCs w:val="16"/>
        </w:rPr>
      </w:pPr>
      <w:r>
        <w:rPr>
          <w:spacing w:val="-1"/>
          <w:position w:val="7"/>
          <w:sz w:val="16"/>
          <w:szCs w:val="16"/>
        </w:rPr>
        <w:t>40%</w:t>
      </w:r>
    </w:p>
    <w:p>
      <w:pPr>
        <w:pStyle w:val="BodyText"/>
        <w:spacing w:line="197" w:lineRule="auto"/>
        <w:ind w:left="195"/>
        <w:rPr>
          <w:sz w:val="16"/>
          <w:szCs w:val="16"/>
        </w:rPr>
      </w:pPr>
      <w:r>
        <w:rPr>
          <w:spacing w:val="-1"/>
          <w:sz w:val="16"/>
          <w:szCs w:val="16"/>
        </w:rPr>
        <w:t>35%</w:t>
      </w:r>
    </w:p>
    <w:p>
      <w:pPr>
        <w:pStyle w:val="BodyText"/>
        <w:spacing w:before="84" w:line="198" w:lineRule="auto"/>
        <w:ind w:left="195"/>
        <w:rPr>
          <w:sz w:val="16"/>
          <w:szCs w:val="16"/>
        </w:rPr>
      </w:pPr>
      <w:r>
        <w:rPr>
          <w:spacing w:val="-1"/>
          <w:sz w:val="16"/>
          <w:szCs w:val="16"/>
        </w:rPr>
        <w:t>30%</w:t>
      </w:r>
    </w:p>
    <w:p>
      <w:pPr>
        <w:pStyle w:val="BodyText"/>
        <w:spacing w:before="86" w:line="197" w:lineRule="auto"/>
        <w:ind w:left="195"/>
        <w:rPr>
          <w:sz w:val="16"/>
          <w:szCs w:val="16"/>
        </w:rPr>
      </w:pPr>
      <w:r>
        <w:rPr>
          <w:spacing w:val="-1"/>
          <w:sz w:val="16"/>
          <w:szCs w:val="16"/>
        </w:rPr>
        <w:t>25%</w:t>
      </w:r>
    </w:p>
    <w:p>
      <w:pPr>
        <w:pStyle w:val="BodyText"/>
        <w:spacing w:before="86" w:line="197" w:lineRule="auto"/>
        <w:ind w:left="195"/>
        <w:rPr>
          <w:sz w:val="16"/>
          <w:szCs w:val="16"/>
        </w:rPr>
      </w:pPr>
      <w:r>
        <w:rPr>
          <w:spacing w:val="-1"/>
          <w:sz w:val="16"/>
          <w:szCs w:val="16"/>
        </w:rPr>
        <w:t>20%</w:t>
      </w:r>
    </w:p>
    <w:p>
      <w:pPr>
        <w:pStyle w:val="BodyText"/>
        <w:spacing w:before="84" w:line="198" w:lineRule="auto"/>
        <w:ind w:left="206"/>
        <w:rPr>
          <w:sz w:val="16"/>
          <w:szCs w:val="16"/>
        </w:rPr>
      </w:pPr>
      <w:r>
        <w:rPr>
          <w:spacing w:val="-3"/>
          <w:sz w:val="16"/>
          <w:szCs w:val="16"/>
        </w:rPr>
        <w:t>15%</w:t>
      </w:r>
    </w:p>
    <w:p>
      <w:pPr>
        <w:pStyle w:val="BodyText"/>
        <w:spacing w:before="86" w:line="197" w:lineRule="auto"/>
        <w:ind w:left="206"/>
        <w:rPr>
          <w:sz w:val="16"/>
          <w:szCs w:val="16"/>
        </w:rPr>
      </w:pPr>
      <w:r>
        <w:rPr>
          <w:spacing w:val="-3"/>
          <w:sz w:val="16"/>
          <w:szCs w:val="16"/>
        </w:rPr>
        <w:t>10%</w:t>
      </w:r>
    </w:p>
    <w:p>
      <w:pPr>
        <w:pStyle w:val="BodyText"/>
        <w:spacing w:before="87" w:line="195" w:lineRule="auto"/>
        <w:ind w:left="283"/>
        <w:rPr>
          <w:sz w:val="16"/>
          <w:szCs w:val="16"/>
        </w:rPr>
      </w:pPr>
      <w:r>
        <w:rPr>
          <w:spacing w:val="-1"/>
          <w:sz w:val="16"/>
          <w:szCs w:val="16"/>
        </w:rPr>
        <w:t>5%</w:t>
      </w:r>
    </w:p>
    <w:p>
      <w:pPr>
        <w:pStyle w:val="BodyText"/>
        <w:spacing w:before="86" w:line="158" w:lineRule="auto"/>
        <w:ind w:left="285"/>
        <w:rPr>
          <w:sz w:val="16"/>
          <w:szCs w:val="16"/>
        </w:rPr>
      </w:pPr>
      <w:r>
        <w:pict>
          <v:shape id="_x0000_s1041" style="width:3pt;height:130.75pt;margin-top:-87.75pt;margin-left:31.53pt;position:absolute;z-index:-251649024" coordorigin="0,0" coordsize="60,2615" path="m7,2606l7,7m7,2606l51,2606m7,2370l51,2370m7,2134l51,2134m7,1897l51,1897m7,1661l51,1661m7,1425l51,1425m7,1188l51,1188m7,952l51,952m7,716l51,716m7,479l51,479m7,243l51,243m7,7l51,7e" filled="f" strokecolor="black" strokeweight="0.74pt"/>
        </w:pict>
      </w:r>
      <w:r>
        <w:rPr>
          <w:spacing w:val="-3"/>
          <w:sz w:val="16"/>
          <w:szCs w:val="16"/>
        </w:rPr>
        <w:t>0%</w:t>
      </w:r>
      <w:r>
        <w:rPr>
          <w:spacing w:val="15"/>
          <w:sz w:val="16"/>
          <w:szCs w:val="16"/>
        </w:rPr>
        <w:t xml:space="preserve">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1"/>
          <w:sz w:val="16"/>
          <w:szCs w:val="16"/>
        </w:rPr>
        <w:t xml:space="preserve">                       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1"/>
          <w:sz w:val="16"/>
          <w:szCs w:val="16"/>
        </w:rPr>
        <w:t xml:space="preserve">                       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1"/>
          <w:sz w:val="16"/>
          <w:szCs w:val="16"/>
        </w:rPr>
        <w:t xml:space="preserve">                      </w:t>
      </w:r>
      <w:r>
        <w:rPr>
          <w:strike/>
          <w:sz w:val="16"/>
          <w:szCs w:val="16"/>
        </w:rPr>
        <w:t xml:space="preserve"> 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1"/>
          <w:sz w:val="16"/>
          <w:szCs w:val="16"/>
        </w:rPr>
        <w:t xml:space="preserve">                       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z w:val="16"/>
          <w:szCs w:val="16"/>
        </w:rPr>
        <w:t xml:space="preserve">                         </w:t>
      </w:r>
      <w:r>
        <w:rPr>
          <w:position w:val="6"/>
          <w:sz w:val="16"/>
          <w:szCs w:val="16"/>
        </w:rPr>
        <w:drawing>
          <wp:inline distT="0" distB="0" distL="0" distR="0">
            <wp:extent cx="9414" cy="2813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414" cy="2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4" w:line="212" w:lineRule="auto"/>
        <w:ind w:left="232"/>
        <w:rPr>
          <w:sz w:val="16"/>
          <w:szCs w:val="16"/>
        </w:rPr>
      </w:pPr>
      <w:r>
        <w:rPr>
          <w:position w:val="-1"/>
          <w:sz w:val="16"/>
          <w:szCs w:val="16"/>
        </w:rPr>
        <w:t>-5%0%</w:t>
      </w:r>
      <w:r>
        <w:rPr>
          <w:spacing w:val="1"/>
          <w:position w:val="-1"/>
          <w:sz w:val="16"/>
          <w:szCs w:val="16"/>
        </w:rPr>
        <w:t xml:space="preserve">                   </w:t>
      </w:r>
      <w:r>
        <w:rPr>
          <w:sz w:val="16"/>
          <w:szCs w:val="16"/>
        </w:rPr>
        <w:t>20%</w:t>
      </w:r>
      <w:r>
        <w:rPr>
          <w:spacing w:val="2"/>
          <w:sz w:val="16"/>
          <w:szCs w:val="16"/>
        </w:rPr>
        <w:t xml:space="preserve">                  </w:t>
      </w:r>
      <w:r>
        <w:rPr>
          <w:sz w:val="16"/>
          <w:szCs w:val="16"/>
        </w:rPr>
        <w:t>40%</w:t>
      </w:r>
      <w:r>
        <w:rPr>
          <w:spacing w:val="2"/>
          <w:sz w:val="16"/>
          <w:szCs w:val="16"/>
        </w:rPr>
        <w:t xml:space="preserve">                  </w:t>
      </w:r>
      <w:r>
        <w:rPr>
          <w:sz w:val="16"/>
          <w:szCs w:val="16"/>
        </w:rPr>
        <w:t>60%</w:t>
      </w:r>
      <w:r>
        <w:rPr>
          <w:spacing w:val="2"/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80%                  </w:t>
      </w:r>
      <w:r>
        <w:rPr>
          <w:spacing w:val="-1"/>
          <w:sz w:val="16"/>
          <w:szCs w:val="16"/>
        </w:rPr>
        <w:t>100%</w:t>
      </w:r>
    </w:p>
    <w:p>
      <w:pPr>
        <w:pStyle w:val="BodyText"/>
        <w:spacing w:before="115" w:line="237" w:lineRule="exact"/>
        <w:ind w:left="145"/>
        <w:rPr>
          <w:sz w:val="16"/>
          <w:szCs w:val="16"/>
        </w:rPr>
      </w:pPr>
      <w:r>
        <w:rPr>
          <w:spacing w:val="-4"/>
          <w:position w:val="7"/>
          <w:sz w:val="16"/>
          <w:szCs w:val="16"/>
        </w:rPr>
        <w:t>-10%</w:t>
      </w:r>
    </w:p>
    <w:p>
      <w:pPr>
        <w:pStyle w:val="BodyText"/>
        <w:spacing w:line="197" w:lineRule="auto"/>
        <w:ind w:left="144"/>
        <w:rPr>
          <w:sz w:val="16"/>
          <w:szCs w:val="16"/>
        </w:rPr>
      </w:pPr>
      <w:r>
        <w:rPr>
          <w:spacing w:val="-4"/>
          <w:sz w:val="16"/>
          <w:szCs w:val="16"/>
        </w:rPr>
        <w:t>-15%</w:t>
      </w:r>
    </w:p>
    <w:p>
      <w:pPr>
        <w:spacing w:before="192" w:line="187" w:lineRule="auto"/>
        <w:ind w:left="231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position w:val="2"/>
          <w:sz w:val="16"/>
          <w:szCs w:val="16"/>
        </w:rPr>
        <w:drawing>
          <wp:inline distT="0" distB="0" distL="0" distR="0">
            <wp:extent cx="47028" cy="5627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7028" cy="5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6"/>
          <w:szCs w:val="16"/>
        </w:rPr>
        <w:t>高端酒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 xml:space="preserve">  </w:t>
      </w:r>
      <w:r>
        <w:rPr>
          <w:position w:val="2"/>
          <w:sz w:val="16"/>
          <w:szCs w:val="16"/>
        </w:rPr>
        <w:drawing>
          <wp:inline distT="0" distB="0" distL="0" distR="0">
            <wp:extent cx="56426" cy="5627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426" cy="5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6"/>
          <w:szCs w:val="16"/>
        </w:rPr>
        <w:t>次高端酒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 xml:space="preserve">  </w:t>
      </w:r>
      <w:r>
        <w:rPr>
          <w:position w:val="2"/>
          <w:sz w:val="16"/>
          <w:szCs w:val="16"/>
        </w:rPr>
        <w:drawing>
          <wp:inline distT="0" distB="0" distL="0" distR="0">
            <wp:extent cx="56426" cy="5627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426" cy="5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6"/>
          <w:szCs w:val="16"/>
        </w:rPr>
        <w:t>大众酒</w:t>
      </w:r>
    </w:p>
    <w:p>
      <w:pPr>
        <w:pStyle w:val="BodyText"/>
        <w:spacing w:line="256" w:lineRule="auto"/>
      </w:pPr>
    </w:p>
    <w:p>
      <w:pPr>
        <w:spacing w:before="46" w:line="301" w:lineRule="exact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4"/>
          <w:position w:val="13"/>
          <w:sz w:val="13"/>
          <w:szCs w:val="13"/>
        </w:rPr>
        <w:t>资料来源：</w:t>
      </w:r>
      <w:r>
        <w:rPr>
          <w:rFonts w:ascii="STXihei" w:eastAsia="STXihei" w:hAnsi="STXihei" w:cs="STXihei"/>
          <w:spacing w:val="-10"/>
          <w:position w:val="13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4"/>
          <w:position w:val="13"/>
          <w:sz w:val="13"/>
          <w:szCs w:val="13"/>
        </w:rPr>
        <w:t>公司公告，  酒业新闻网，   中国网，酒志网，  食品网，酒说，酒业家，云酒</w:t>
      </w:r>
      <w:r>
        <w:rPr>
          <w:rFonts w:ascii="STXihei" w:eastAsia="STXihei" w:hAnsi="STXihei" w:cs="STXihei"/>
          <w:spacing w:val="3"/>
          <w:position w:val="13"/>
          <w:sz w:val="13"/>
          <w:szCs w:val="13"/>
        </w:rPr>
        <w:t>头条，长江证券研究所</w:t>
      </w:r>
    </w:p>
    <w:p>
      <w:pPr>
        <w:pStyle w:val="BodyText"/>
        <w:spacing w:line="208" w:lineRule="auto"/>
        <w:ind w:left="37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 xml:space="preserve">（上图中横轴表示价格带 </w:t>
      </w:r>
      <w:r>
        <w:rPr>
          <w:spacing w:val="8"/>
          <w:sz w:val="13"/>
          <w:szCs w:val="13"/>
        </w:rPr>
        <w:t xml:space="preserve">2023 </w:t>
      </w:r>
      <w:r>
        <w:rPr>
          <w:rFonts w:ascii="STXihei" w:eastAsia="STXihei" w:hAnsi="STXihei" w:cs="STXihei"/>
          <w:spacing w:val="8"/>
          <w:sz w:val="13"/>
          <w:szCs w:val="13"/>
        </w:rPr>
        <w:t xml:space="preserve">年 </w:t>
      </w:r>
      <w:r>
        <w:rPr>
          <w:sz w:val="13"/>
          <w:szCs w:val="13"/>
        </w:rPr>
        <w:t>CR</w:t>
      </w:r>
      <w:r>
        <w:rPr>
          <w:spacing w:val="8"/>
          <w:sz w:val="13"/>
          <w:szCs w:val="13"/>
        </w:rPr>
        <w:t>3</w:t>
      </w:r>
      <w:r>
        <w:rPr>
          <w:rFonts w:ascii="STXihei" w:eastAsia="STXihei" w:hAnsi="STXihei" w:cs="STXihei"/>
          <w:spacing w:val="8"/>
          <w:sz w:val="13"/>
          <w:szCs w:val="13"/>
        </w:rPr>
        <w:t>，纵轴表示价格</w:t>
      </w:r>
      <w:r>
        <w:rPr>
          <w:rFonts w:ascii="STXihei" w:eastAsia="STXihei" w:hAnsi="STXihei" w:cs="STXihei"/>
          <w:spacing w:val="7"/>
          <w:sz w:val="13"/>
          <w:szCs w:val="13"/>
        </w:rPr>
        <w:t xml:space="preserve">带 </w:t>
      </w:r>
      <w:r>
        <w:rPr>
          <w:spacing w:val="7"/>
          <w:sz w:val="13"/>
          <w:szCs w:val="13"/>
        </w:rPr>
        <w:t xml:space="preserve">2016 </w:t>
      </w:r>
      <w:r>
        <w:rPr>
          <w:rFonts w:ascii="STXihei" w:eastAsia="STXihei" w:hAnsi="STXihei" w:cs="STXihei"/>
          <w:spacing w:val="7"/>
          <w:sz w:val="13"/>
          <w:szCs w:val="13"/>
        </w:rPr>
        <w:t>年至</w:t>
      </w:r>
      <w:r>
        <w:rPr>
          <w:rFonts w:ascii="STXihei" w:eastAsia="STXihei" w:hAnsi="STXihei" w:cs="STXihei"/>
          <w:spacing w:val="8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2023</w:t>
      </w:r>
      <w:r>
        <w:rPr>
          <w:spacing w:val="9"/>
          <w:w w:val="102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7"/>
          <w:sz w:val="13"/>
          <w:szCs w:val="13"/>
        </w:rPr>
        <w:t>年规模复合增速，气泡大小表示</w:t>
      </w:r>
    </w:p>
    <w:p>
      <w:pPr>
        <w:pStyle w:val="BodyText"/>
        <w:spacing w:before="102" w:line="191" w:lineRule="exact"/>
        <w:ind w:left="13"/>
        <w:rPr>
          <w:rFonts w:ascii="STXihei" w:eastAsia="STXihei" w:hAnsi="STXihei" w:cs="STXihei"/>
          <w:sz w:val="13"/>
          <w:szCs w:val="13"/>
        </w:rPr>
      </w:pPr>
      <w:r>
        <w:rPr>
          <w:spacing w:val="6"/>
          <w:position w:val="2"/>
          <w:sz w:val="13"/>
          <w:szCs w:val="13"/>
        </w:rPr>
        <w:t xml:space="preserve">2023 </w:t>
      </w:r>
      <w:r>
        <w:rPr>
          <w:rFonts w:ascii="STXihei" w:eastAsia="STXihei" w:hAnsi="STXihei" w:cs="STXihei"/>
          <w:spacing w:val="6"/>
          <w:position w:val="2"/>
          <w:sz w:val="13"/>
          <w:szCs w:val="13"/>
        </w:rPr>
        <w:t>年价格带规模大小）</w:t>
      </w: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64" w:line="313" w:lineRule="exact"/>
        <w:ind w:left="17"/>
        <w:rPr>
          <w:rFonts w:ascii="STXihei" w:eastAsia="STXihei" w:hAnsi="STXihei" w:cs="STXihei"/>
          <w:sz w:val="18"/>
          <w:szCs w:val="18"/>
        </w:rPr>
        <w:sectPr>
          <w:headerReference w:type="default" r:id="rId45"/>
          <w:footerReference w:type="default" r:id="rId46"/>
          <w:pgSz w:w="11907" w:h="16839"/>
          <w:pgMar w:top="1350" w:right="749" w:bottom="970" w:left="842" w:header="851" w:footer="713" w:gutter="0"/>
          <w:pgNumType w:start="14"/>
          <w:cols w:space="708"/>
        </w:sectPr>
      </w:pP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近几年次高端市场主要产品“百花齐放”，快速增长</w:t>
      </w:r>
      <w:r>
        <w:rPr>
          <w:rFonts w:ascii="STXihei" w:eastAsia="STXihei" w:hAnsi="STXihei" w:cs="STXihei"/>
          <w:spacing w:val="-16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次高端主要产品近几年收获高速</w:t>
      </w:r>
    </w:p>
    <w:p>
      <w:pPr>
        <w:pStyle w:val="BodyText"/>
        <w:spacing w:line="197" w:lineRule="auto"/>
        <w:ind w:left="18"/>
        <w:rPr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 xml:space="preserve">成长，茅台系列酒、汾酒、习酒、古井贡酒等传统名优酒 </w:t>
      </w:r>
      <w:r>
        <w:rPr>
          <w:spacing w:val="-7"/>
          <w:sz w:val="18"/>
          <w:szCs w:val="18"/>
        </w:rPr>
        <w:t xml:space="preserve">2016-2023 </w:t>
      </w:r>
      <w:r>
        <w:rPr>
          <w:rFonts w:ascii="STXihei" w:eastAsia="STXihei" w:hAnsi="STXihei" w:cs="STXihei"/>
          <w:spacing w:val="-7"/>
          <w:sz w:val="18"/>
          <w:szCs w:val="18"/>
        </w:rPr>
        <w:t>年次高端收入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CAGR</w:t>
      </w:r>
    </w:p>
    <w:p>
      <w:pPr>
        <w:pStyle w:val="BodyText"/>
        <w:spacing w:before="105" w:line="197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z w:val="18"/>
          <w:szCs w:val="18"/>
        </w:rPr>
        <w:t xml:space="preserve">达到约 </w:t>
      </w:r>
      <w:r>
        <w:rPr>
          <w:sz w:val="18"/>
          <w:szCs w:val="18"/>
        </w:rPr>
        <w:t>40%</w:t>
      </w:r>
      <w:r>
        <w:rPr>
          <w:rFonts w:ascii="STXihei" w:eastAsia="STXihei" w:hAnsi="STXihei" w:cs="STXihei"/>
          <w:sz w:val="18"/>
          <w:szCs w:val="18"/>
        </w:rPr>
        <w:t xml:space="preserve">，今世缘、口子窖等地产酒次高端收入 </w:t>
      </w:r>
      <w:r>
        <w:rPr>
          <w:sz w:val="18"/>
          <w:szCs w:val="18"/>
        </w:rPr>
        <w:t xml:space="preserve">2016-2023 </w:t>
      </w:r>
      <w:r>
        <w:rPr>
          <w:rFonts w:ascii="STXihei" w:eastAsia="STXihei" w:hAnsi="STXihei" w:cs="STXihei"/>
          <w:sz w:val="18"/>
          <w:szCs w:val="18"/>
        </w:rPr>
        <w:t>年</w:t>
      </w:r>
      <w:r>
        <w:rPr>
          <w:rFonts w:ascii="STXihei" w:eastAsia="STXihei" w:hAnsi="STXihei" w:cs="STXihei"/>
          <w:spacing w:val="1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CAGR </w:t>
      </w:r>
      <w:r>
        <w:rPr>
          <w:rFonts w:ascii="STXihei" w:eastAsia="STXihei" w:hAnsi="STXihei" w:cs="STXihei"/>
          <w:spacing w:val="-1"/>
          <w:sz w:val="18"/>
          <w:szCs w:val="18"/>
        </w:rPr>
        <w:t xml:space="preserve">均超过 </w:t>
      </w:r>
      <w:r>
        <w:rPr>
          <w:spacing w:val="-1"/>
          <w:sz w:val="18"/>
          <w:szCs w:val="18"/>
        </w:rPr>
        <w:t>30%</w:t>
      </w:r>
      <w:r>
        <w:rPr>
          <w:rFonts w:ascii="STXihei" w:eastAsia="STXihei" w:hAnsi="STXihei" w:cs="STXihei"/>
          <w:spacing w:val="-1"/>
          <w:sz w:val="18"/>
          <w:szCs w:val="18"/>
        </w:rPr>
        <w:t>，</w:t>
      </w:r>
    </w:p>
    <w:p>
      <w:pPr>
        <w:pStyle w:val="BodyText"/>
        <w:spacing w:before="105" w:line="197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剑南春、水井坊、舍得、酒鬼酒等全国次高端酒收入</w:t>
      </w:r>
      <w:r>
        <w:rPr>
          <w:rFonts w:ascii="STXihei" w:eastAsia="STXihei" w:hAnsi="STXihei" w:cs="STXihei"/>
          <w:spacing w:val="19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CAGR </w:t>
      </w:r>
      <w:r>
        <w:rPr>
          <w:rFonts w:ascii="STXihei" w:eastAsia="STXihei" w:hAnsi="STXihei" w:cs="STXihei"/>
          <w:spacing w:val="-1"/>
          <w:sz w:val="18"/>
          <w:szCs w:val="18"/>
        </w:rPr>
        <w:t>超过</w:t>
      </w:r>
      <w:r>
        <w:rPr>
          <w:rFonts w:ascii="STXihei" w:eastAsia="STXihei" w:hAnsi="STXihei" w:cs="STXihei"/>
          <w:spacing w:val="27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15%</w:t>
      </w:r>
      <w:r>
        <w:rPr>
          <w:rFonts w:ascii="STXihei" w:eastAsia="STXihei" w:hAnsi="STXihei" w:cs="STXihei"/>
          <w:spacing w:val="-1"/>
          <w:sz w:val="18"/>
          <w:szCs w:val="18"/>
        </w:rPr>
        <w:t>，郎酒等传统次</w:t>
      </w:r>
    </w:p>
    <w:p>
      <w:pPr>
        <w:spacing w:before="104" w:line="198" w:lineRule="auto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高端名酒近几年势能略有下降，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4"/>
          <w:sz w:val="18"/>
          <w:szCs w:val="18"/>
        </w:rPr>
        <w:t>增速相对较慢。近年来主</w:t>
      </w:r>
      <w:r>
        <w:rPr>
          <w:rFonts w:ascii="STXihei" w:eastAsia="STXihei" w:hAnsi="STXihei" w:cs="STXihei"/>
          <w:spacing w:val="-5"/>
          <w:sz w:val="18"/>
          <w:szCs w:val="18"/>
        </w:rPr>
        <w:t>要次高端产品外的其他产品也</w:t>
      </w:r>
    </w:p>
    <w:p>
      <w:pPr>
        <w:spacing w:before="103" w:line="198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有较高的增速，行业整体势能在行业景气阶段相</w:t>
      </w:r>
      <w:r>
        <w:rPr>
          <w:rFonts w:ascii="STXihei" w:eastAsia="STXihei" w:hAnsi="STXihei" w:cs="STXihei"/>
          <w:spacing w:val="-2"/>
          <w:sz w:val="18"/>
          <w:szCs w:val="18"/>
        </w:rPr>
        <w:t>对更强。</w:t>
      </w:r>
    </w:p>
    <w:p>
      <w:pPr>
        <w:spacing w:line="198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47"/>
          <w:footerReference w:type="default" r:id="rId48"/>
          <w:type w:val="nextPage"/>
          <w:pgSz w:w="11907" w:h="16839"/>
          <w:pgMar w:top="1350" w:right="749" w:bottom="970" w:left="842" w:header="851" w:footer="713" w:gutter="0"/>
          <w:pgNumType w:start="15"/>
          <w:cols w:space="708"/>
          <w:titlePg w:val="0"/>
        </w:sectPr>
      </w:pPr>
    </w:p>
    <w:p>
      <w:pPr>
        <w:spacing w:before="94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1425066</wp:posOffset>
            </wp:positionV>
            <wp:extent cx="3150742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3224910</wp:posOffset>
            </wp:positionV>
            <wp:extent cx="3150742" cy="63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1425066</wp:posOffset>
            </wp:positionV>
            <wp:extent cx="3150742" cy="635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3224910</wp:posOffset>
            </wp:positionV>
            <wp:extent cx="3150742" cy="635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3"/>
      </w:pPr>
    </w:p>
    <w:p>
      <w:pPr>
        <w:sectPr>
          <w:headerReference w:type="default" r:id="rId50"/>
          <w:footerReference w:type="default" r:id="rId51"/>
          <w:pgSz w:w="11907" w:h="16839"/>
          <w:pgMar w:top="1350" w:right="749" w:bottom="970" w:left="842" w:header="851" w:footer="713" w:gutter="0"/>
          <w:pgNumType w:start="16"/>
          <w:cols w:num="1" w:space="708" w:equalWidth="0">
            <w:col w:w="10315" w:space="0"/>
          </w:cols>
        </w:sectPr>
      </w:pPr>
    </w:p>
    <w:p>
      <w:pPr>
        <w:pStyle w:val="BodyText"/>
        <w:spacing w:before="30" w:line="198" w:lineRule="auto"/>
        <w:ind w:left="28"/>
        <w:rPr>
          <w:rFonts w:ascii="STXihei" w:eastAsia="STXihei" w:hAnsi="STXihei" w:cs="STXihei"/>
          <w:sz w:val="16"/>
          <w:szCs w:val="16"/>
        </w:rPr>
      </w:pPr>
      <w:bookmarkStart w:id="3" w:name="bookmark17"/>
      <w:bookmarkEnd w:id="3"/>
      <w:bookmarkStart w:id="4" w:name="bookmark18"/>
      <w:bookmarkEnd w:id="4"/>
      <w:bookmarkStart w:id="5" w:name="bookmark3"/>
      <w:bookmarkEnd w:id="5"/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2</w:t>
      </w:r>
      <w:r>
        <w:rPr>
          <w:rFonts w:ascii="STXihei" w:eastAsia="STXihei" w:hAnsi="STXihei" w:cs="STXihei"/>
          <w:spacing w:val="-1"/>
          <w:sz w:val="16"/>
          <w:szCs w:val="16"/>
        </w:rPr>
        <w:t xml:space="preserve">：次高端白酒 </w:t>
      </w:r>
      <w:r>
        <w:rPr>
          <w:spacing w:val="-1"/>
          <w:sz w:val="16"/>
          <w:szCs w:val="16"/>
        </w:rPr>
        <w:t xml:space="preserve">2023 </w:t>
      </w:r>
      <w:r>
        <w:rPr>
          <w:rFonts w:ascii="STXihei" w:eastAsia="STXihei" w:hAnsi="STXihei" w:cs="STXihei"/>
          <w:spacing w:val="-1"/>
          <w:sz w:val="16"/>
          <w:szCs w:val="16"/>
        </w:rPr>
        <w:t>年分产品市场格局</w:t>
      </w:r>
    </w:p>
    <w:p>
      <w:pPr>
        <w:spacing w:before="227" w:line="1467" w:lineRule="exact"/>
        <w:ind w:firstLine="1752"/>
      </w:pPr>
      <w:r>
        <w:rPr>
          <w:position w:val="-29"/>
        </w:rPr>
        <w:pict>
          <v:group id="_x0000_i1042" style="width:73.6pt;height:73.4pt;mso-position-horizontal-relative:char;mso-position-vertical-relative:line" coordorigin="0,0" coordsize="1471,1468" filled="f" stroked="f">
            <v:shape id="_x0000_s1043" style="width:499;height:726;left:735;position:absolute;top:7" coordorigin="0,0" coordsize="499,726" path="m,m,c185,,363,70,498,197l,726e" filled="t" fillcolor="#e10000" stroked="f"/>
            <v:shape id="_x0000_s1044" style="width:514;height:739;left:728;position:absolute" coordorigin="0,0" coordsize="514,739" path="m7,7c192,7,371,77,506,204l7,733l7,7xe" filled="f" strokecolor="white" strokeweight="0.72pt"/>
            <v:shape id="_x0000_s1045" style="width:715;height:530;left:735;position:absolute;top:204" coordorigin="0,0" coordsize="715,530" path="m498,c610,105,686,242,715,393l,529e" filled="t" fillcolor="#c8c8c8" stroked="f"/>
            <v:shape id="_x0000_s1046" style="width:730;height:544;left:728;position:absolute;top:197" coordorigin="0,0" coordsize="730,544" path="m506,7c618,112,693,249,722,400l7,536l506,7xe" filled="f" strokecolor="white" strokeweight="0.72pt"/>
            <v:shape id="_x0000_s1047" style="width:735;height:374;left:735;position:absolute;top:597" coordorigin="0,0" coordsize="735,374" path="m715,c739,124,730,253,688,373l,136e" filled="t" fillcolor="#fa6400" stroked="f"/>
            <v:shape id="_x0000_s1048" style="width:743;height:389;left:728;position:absolute;top:590" coordorigin="0,0" coordsize="743,389" path="m722,7c746,132,737,260,695,380l7,143l722,7xe" filled="f" strokecolor="white" strokeweight="0.72pt"/>
            <v:shape id="_x0000_s1049" style="width:689;height:495;left:735;position:absolute;top:733" coordorigin="0,0" coordsize="689,495" path="m688,237c655,333,602,420,533,494l,e" filled="t" fillcolor="#ffc000" stroked="f"/>
            <v:shape id="_x0000_s1050" style="width:703;height:510;left:728;position:absolute;top:726" coordorigin="0,0" coordsize="703,510" path="m695,244c662,340,609,427,540,501l7,7l695,244xe" filled="f" strokecolor="white" strokeweight="0.72pt"/>
            <v:shape id="_x0000_s1051" style="width:534;height:656;left:735;position:absolute;top:733" coordorigin="0,0" coordsize="534,656" path="m533,494m533,494c470,561,395,616,312,656l,e" filled="t" fillcolor="#dcb464" stroked="f"/>
            <v:shape id="_x0000_s1052" style="width:547;height:669;left:729;position:absolute;top:728" coordorigin="0,0" coordsize="547,669" path="m539,499c477,567,402,621,319,661l6,5l539,499xe" filled="f" strokecolor="white" strokeweight="0.72pt"/>
            <v:shape id="_x0000_s1053" style="width:312;height:718;left:735;position:absolute;top:733" coordorigin="0,0" coordsize="312,718" path="m312,656m312,656c250,685,183,706,114,717l,e" filled="t" fillcolor="#b40014" stroked="f"/>
            <v:shape id="_x0000_s1054" style="width:327;height:728;left:728;position:absolute;top:730" coordorigin="0,0" coordsize="327,728" path="m319,659c257,688,190,709,121,720l7,3l319,659xe" filled="f" strokecolor="white" strokeweight="0.72pt"/>
            <v:shape id="_x0000_s1055" style="width:141;height:728;left:708;position:absolute;top:733" coordorigin="0,0" coordsize="141,728" path="m141,717m141,717c94,724,47,727,,725l27,e" filled="t" fillcolor="#fabe78" stroked="f"/>
            <v:shape id="_x0000_s1056" style="width:156;height:735;left:701;position:absolute;top:732" coordorigin="0,0" coordsize="156,735" path="m148,718c102,725,54,728,7,727l34,1l148,718xe" filled="f" strokecolor="white" strokeweight="0.72pt"/>
            <v:shape id="_x0000_s1057" style="width:158;height:725;left:577;position:absolute;top:733" coordorigin="0,0" coordsize="158,725" path="m131,725m131,725c86,724,43,718,,709l158,e" filled="t" fillcolor="#d74114" stroked="f"/>
            <v:shape id="_x0000_s1058" style="width:172;height:735;left:570;position:absolute;top:732" coordorigin="0,0" coordsize="172,735" path="m138,727c94,725,50,720,7,710l165,1l138,727xe" filled="f" strokecolor="white" strokeweight="0.72pt"/>
            <v:shape id="_x0000_s1059" style="width:270;height:710;left:466;position:absolute;top:733" coordorigin="0,0" coordsize="270,710" path="m111,709m111,709c73,700,36,689,,675l269,e" filled="t" fillcolor="#dc8c00" stroked="f"/>
            <v:shape id="_x0000_s1060" style="width:283;height:720;left:459;position:absolute;top:730" coordorigin="0,0" coordsize="283,720" path="m118,711c80,703,43,692,7,677l276,2l118,711xe" filled="f" strokecolor="white" strokeweight="0.72pt"/>
            <v:shape id="_x0000_s1061" style="width:390;height:675;left:346;position:absolute;top:733" coordorigin="0,0" coordsize="390,675" path="m120,675m120,675c78,658,38,637,,613l389,e" filled="t" fillcolor="#785546" stroked="f"/>
            <v:shape id="_x0000_s1062" style="width:404;height:686;left:338;position:absolute;top:729" coordorigin="0,0" coordsize="404,686" path="m127,678c85,662,45,641,7,617l397,3l127,678xe" filled="f" strokecolor="white" strokeweight="0.72pt"/>
            <v:shape id="_x0000_s1063" style="width:450;height:614;left:284;position:absolute;top:733" coordorigin="0,0" coordsize="450,614" path="m61,613m61,613c40,600,19,586,,570l450,e" filled="t" fillcolor="#e10000" stroked="f"/>
            <v:shape id="_x0000_s1064" style="width:465;height:625;left:277;position:absolute;top:729" coordorigin="0,0" coordsize="465,625" path="m68,618c47,604,26,590,7,575l458,4l68,618xe" filled="f" strokecolor="white" strokeweight="0.72pt"/>
            <v:shape id="_x0000_s1065" style="width:485;height:570;left:249;position:absolute;top:733" coordorigin="0,0" coordsize="485,570" path="m34,570m34,570c23,561,11,551,,541l485,e" filled="t" fillcolor="#c8c8c8" stroked="f"/>
            <v:shape id="_x0000_s1066" style="width:499;height:582;left:242;position:absolute;top:728" coordorigin="0,0" coordsize="499,582" path="m42,575c30,566,18,556,7,546l493,4l42,575xe" filled="f" strokecolor="white" strokeweight="0.72pt"/>
            <v:shape id="_x0000_s1067" style="width:510;height:542;left:226;position:absolute;top:733" coordorigin="0,0" coordsize="510,542" path="m23,541m23,541c15,534,7,526,,519l509,e" filled="t" fillcolor="#fa6400" stroked="f"/>
            <v:shape id="_x0000_s1068" style="width:522;height:554;left:218;position:absolute;top:728" coordorigin="0,0" coordsize="522,554" path="m31,546c22,539,15,531,7,524l516,5l31,546xe" filled="f" strokecolor="white" strokeweight="0.72pt"/>
            <v:shape id="_x0000_s1069" style="width:735;height:1245;position:absolute;top:7" coordorigin="0,0" coordsize="735,1245" path="m226,1245c-61,964,-66,504,215,218c352,78,539,,735,l735,726e" filled="t" fillcolor="#ffc000" stroked="f"/>
            <v:shape id="_x0000_s1070" style="width:744;height:1260;position:absolute" coordorigin="0,0" coordsize="744,1260" path="m226,1252c-61,972,-66,512,215,225c352,85,539,7,735,7l735,733l226,1252xe" filled="f" strokecolor="white" strokeweight="0.72pt"/>
            <w10:wrap type="none"/>
          </v:group>
        </w:pict>
      </w:r>
    </w:p>
    <w:p>
      <w:pPr>
        <w:spacing w:before="52"/>
      </w:pPr>
    </w:p>
    <w:tbl>
      <w:tblPr>
        <w:tblStyle w:val="TableNormal3"/>
        <w:tblW w:w="3945" w:type="dxa"/>
        <w:tblInd w:w="4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64"/>
        <w:gridCol w:w="893"/>
        <w:gridCol w:w="820"/>
        <w:gridCol w:w="1568"/>
      </w:tblGrid>
      <w:tr>
        <w:tblPrEx>
          <w:tblW w:w="3945" w:type="dxa"/>
          <w:tblInd w:w="47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89"/>
        </w:trPr>
        <w:tc>
          <w:tcPr>
            <w:tcW w:w="664" w:type="dxa"/>
            <w:vAlign w:val="top"/>
          </w:tcPr>
          <w:p>
            <w:pPr>
              <w:spacing w:line="277" w:lineRule="exact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2"/>
                <w:sz w:val="13"/>
                <w:szCs w:val="13"/>
              </w:rPr>
              <w:drawing>
                <wp:inline distT="0" distB="0" distL="0" distR="0">
                  <wp:extent cx="55253" cy="54297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3" cy="54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8"/>
                <w:position w:val="11"/>
                <w:sz w:val="13"/>
                <w:szCs w:val="13"/>
              </w:rPr>
              <w:t>剑南春</w:t>
            </w:r>
          </w:p>
          <w:p>
            <w:pPr>
              <w:spacing w:line="180" w:lineRule="auto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3" cy="54297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3" cy="54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今世缘</w:t>
            </w:r>
          </w:p>
          <w:p>
            <w:pPr>
              <w:spacing w:before="105" w:line="128" w:lineRule="exact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3" cy="54298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3" cy="54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position w:val="-1"/>
                <w:sz w:val="13"/>
                <w:szCs w:val="13"/>
              </w:rPr>
              <w:t>郎酒</w:t>
            </w:r>
          </w:p>
        </w:tc>
        <w:tc>
          <w:tcPr>
            <w:tcW w:w="893" w:type="dxa"/>
            <w:vAlign w:val="top"/>
          </w:tcPr>
          <w:p>
            <w:pPr>
              <w:spacing w:before="1" w:line="280" w:lineRule="exact"/>
              <w:ind w:left="16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3"/>
                <w:sz w:val="13"/>
                <w:szCs w:val="13"/>
              </w:rPr>
              <w:drawing>
                <wp:inline distT="0" distB="0" distL="0" distR="0">
                  <wp:extent cx="55255" cy="5510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position w:val="12"/>
                <w:sz w:val="13"/>
                <w:szCs w:val="13"/>
              </w:rPr>
              <w:t xml:space="preserve"> 山西汾酒</w:t>
            </w:r>
          </w:p>
          <w:p>
            <w:pPr>
              <w:spacing w:line="183" w:lineRule="auto"/>
              <w:ind w:left="16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5" cy="55099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5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水井坊</w:t>
            </w:r>
          </w:p>
          <w:p>
            <w:pPr>
              <w:spacing w:before="109" w:line="118" w:lineRule="exact"/>
              <w:ind w:left="16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5" cy="50645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0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9"/>
                <w:position w:val="-1"/>
                <w:sz w:val="13"/>
                <w:szCs w:val="13"/>
              </w:rPr>
              <w:t>酒鬼酒</w:t>
            </w:r>
          </w:p>
        </w:tc>
        <w:tc>
          <w:tcPr>
            <w:tcW w:w="820" w:type="dxa"/>
            <w:vAlign w:val="top"/>
          </w:tcPr>
          <w:p>
            <w:pPr>
              <w:spacing w:before="1" w:line="296" w:lineRule="auto"/>
              <w:ind w:left="96" w:right="87"/>
              <w:jc w:val="both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5" cy="54276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4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洋河股份 </w:t>
            </w: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5" cy="54276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4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>舍得酒业</w:t>
            </w:r>
          </w:p>
          <w:p>
            <w:pPr>
              <w:spacing w:line="126" w:lineRule="exact"/>
              <w:ind w:left="9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5255" cy="54277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5" cy="54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position w:val="-1"/>
                <w:sz w:val="13"/>
                <w:szCs w:val="13"/>
              </w:rPr>
              <w:t>口子窖</w:t>
            </w:r>
          </w:p>
        </w:tc>
        <w:tc>
          <w:tcPr>
            <w:tcW w:w="1568" w:type="dxa"/>
            <w:vAlign w:val="top"/>
          </w:tcPr>
          <w:p>
            <w:pPr>
              <w:spacing w:line="280" w:lineRule="exact"/>
              <w:jc w:val="right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2"/>
                <w:sz w:val="13"/>
                <w:szCs w:val="13"/>
              </w:rPr>
              <w:drawing>
                <wp:inline distT="0" distB="0" distL="0" distR="0">
                  <wp:extent cx="64457" cy="55100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7" cy="5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"/>
                <w:position w:val="1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11"/>
                <w:sz w:val="13"/>
                <w:szCs w:val="13"/>
              </w:rPr>
              <w:t>习酒</w:t>
            </w:r>
            <w:r>
              <w:rPr>
                <w:rFonts w:ascii="Microsoft YaHei" w:eastAsia="Microsoft YaHei" w:hAnsi="Microsoft YaHei" w:cs="Microsoft YaHei"/>
                <w:spacing w:val="1"/>
                <w:position w:val="11"/>
                <w:sz w:val="13"/>
                <w:szCs w:val="13"/>
              </w:rPr>
              <w:t xml:space="preserve">           </w:t>
            </w:r>
            <w:r>
              <w:rPr>
                <w:position w:val="12"/>
                <w:sz w:val="13"/>
                <w:szCs w:val="13"/>
              </w:rPr>
              <w:drawing>
                <wp:inline distT="0" distB="0" distL="0" distR="0">
                  <wp:extent cx="64457" cy="55099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7" cy="55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position w:val="1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11"/>
                <w:sz w:val="13"/>
                <w:szCs w:val="13"/>
              </w:rPr>
              <w:t>古井贡酒</w:t>
            </w:r>
          </w:p>
          <w:p>
            <w:pPr>
              <w:spacing w:line="184" w:lineRule="auto"/>
              <w:ind w:left="8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64457" cy="5510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7" cy="5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茅台系列酒 </w:t>
            </w:r>
            <w:r>
              <w:rPr>
                <w:position w:val="1"/>
                <w:sz w:val="13"/>
                <w:szCs w:val="13"/>
              </w:rPr>
              <w:drawing>
                <wp:inline distT="0" distB="0" distL="0" distR="0">
                  <wp:extent cx="64457" cy="55100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7" cy="5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>国台</w:t>
            </w:r>
          </w:p>
          <w:p>
            <w:pPr>
              <w:spacing w:before="109" w:line="118" w:lineRule="exact"/>
              <w:ind w:left="8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64462" cy="50645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62" cy="50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13"/>
                <w:szCs w:val="13"/>
              </w:rPr>
              <w:t>其他</w:t>
            </w:r>
          </w:p>
        </w:tc>
      </w:tr>
    </w:tbl>
    <w:p>
      <w:pPr>
        <w:pStyle w:val="BodyText"/>
        <w:spacing w:line="273" w:lineRule="auto"/>
      </w:pPr>
    </w:p>
    <w:p>
      <w:pPr>
        <w:spacing w:before="46" w:line="301" w:lineRule="exact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2"/>
          <w:position w:val="13"/>
          <w:sz w:val="13"/>
          <w:szCs w:val="13"/>
        </w:rPr>
        <w:t>资料来源：</w:t>
      </w:r>
      <w:r>
        <w:rPr>
          <w:rFonts w:ascii="STXihei" w:eastAsia="STXihei" w:hAnsi="STXihei" w:cs="STXihei"/>
          <w:spacing w:val="-10"/>
          <w:position w:val="13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2"/>
          <w:position w:val="13"/>
          <w:sz w:val="13"/>
          <w:szCs w:val="13"/>
        </w:rPr>
        <w:t>公司公告，  酒业新闻网，   中国网，酒志网，  食品网，</w:t>
      </w:r>
      <w:r>
        <w:rPr>
          <w:rFonts w:ascii="STXihei" w:eastAsia="STXihei" w:hAnsi="STXihei" w:cs="STXihei"/>
          <w:spacing w:val="1"/>
          <w:position w:val="13"/>
          <w:sz w:val="13"/>
          <w:szCs w:val="13"/>
        </w:rPr>
        <w:t>酒说，酒业家，</w:t>
      </w:r>
    </w:p>
    <w:p>
      <w:pPr>
        <w:spacing w:line="173" w:lineRule="auto"/>
        <w:ind w:left="19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7"/>
          <w:sz w:val="13"/>
          <w:szCs w:val="13"/>
        </w:rPr>
        <w:t>云酒头条，</w:t>
      </w:r>
      <w:r>
        <w:rPr>
          <w:rFonts w:ascii="STXihei" w:eastAsia="STXihei" w:hAnsi="STXihei" w:cs="STXihei"/>
          <w:spacing w:val="-10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7"/>
          <w:sz w:val="13"/>
          <w:szCs w:val="13"/>
        </w:rPr>
        <w:t>长江证券研究所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9" w:line="198" w:lineRule="auto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3</w:t>
      </w:r>
      <w:r>
        <w:rPr>
          <w:rFonts w:ascii="STXihei" w:eastAsia="STXihei" w:hAnsi="STXihei" w:cs="STXihei"/>
          <w:spacing w:val="-2"/>
          <w:sz w:val="16"/>
          <w:szCs w:val="16"/>
        </w:rPr>
        <w:t>：次高端主要产品及其成长性</w:t>
      </w:r>
    </w:p>
    <w:p>
      <w:pPr>
        <w:spacing w:line="172" w:lineRule="exact"/>
      </w:pPr>
    </w:p>
    <w:tbl>
      <w:tblPr>
        <w:tblStyle w:val="TableNormal3"/>
        <w:tblW w:w="4706" w:type="dxa"/>
        <w:tblInd w:w="13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5"/>
        <w:gridCol w:w="4091"/>
        <w:gridCol w:w="320"/>
      </w:tblGrid>
      <w:tr>
        <w:tblPrEx>
          <w:tblW w:w="4706" w:type="dxa"/>
          <w:tblInd w:w="13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3"/>
        </w:trPr>
        <w:tc>
          <w:tcPr>
            <w:tcW w:w="295" w:type="dxa"/>
            <w:vAlign w:val="top"/>
          </w:tcPr>
          <w:p>
            <w:pPr>
              <w:spacing w:line="180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200</w:t>
            </w:r>
          </w:p>
          <w:p>
            <w:pPr>
              <w:spacing w:line="180" w:lineRule="auto"/>
              <w:ind w:left="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180</w:t>
            </w:r>
          </w:p>
          <w:p>
            <w:pPr>
              <w:spacing w:line="180" w:lineRule="auto"/>
              <w:ind w:left="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160</w:t>
            </w:r>
          </w:p>
          <w:p>
            <w:pPr>
              <w:spacing w:line="180" w:lineRule="auto"/>
              <w:ind w:left="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140</w:t>
            </w:r>
          </w:p>
          <w:p>
            <w:pPr>
              <w:spacing w:line="180" w:lineRule="auto"/>
              <w:ind w:left="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120</w:t>
            </w:r>
          </w:p>
          <w:p>
            <w:pPr>
              <w:spacing w:line="180" w:lineRule="auto"/>
              <w:ind w:left="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100</w:t>
            </w:r>
          </w:p>
          <w:p>
            <w:pPr>
              <w:spacing w:line="180" w:lineRule="auto"/>
              <w:ind w:left="7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80</w:t>
            </w:r>
          </w:p>
          <w:p>
            <w:pPr>
              <w:spacing w:line="180" w:lineRule="auto"/>
              <w:ind w:left="7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60</w:t>
            </w:r>
          </w:p>
          <w:p>
            <w:pPr>
              <w:spacing w:line="179" w:lineRule="auto"/>
              <w:ind w:left="7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</w:t>
            </w:r>
          </w:p>
          <w:p>
            <w:pPr>
              <w:spacing w:before="1" w:line="180" w:lineRule="auto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</w:t>
            </w:r>
          </w:p>
          <w:p>
            <w:pPr>
              <w:spacing w:line="199" w:lineRule="auto"/>
              <w:ind w:left="15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0</w:t>
            </w:r>
          </w:p>
        </w:tc>
        <w:tc>
          <w:tcPr>
            <w:tcW w:w="4091" w:type="dxa"/>
            <w:vAlign w:val="top"/>
          </w:tcPr>
          <w:p>
            <w:pPr>
              <w:spacing w:before="89" w:line="102" w:lineRule="exact"/>
              <w:ind w:firstLine="2918"/>
            </w:pPr>
            <w:r>
              <w:pict>
                <v:rect id="_x0000_s1071" style="width:5.15pt;height:49.45pt;margin-top:9.38pt;margin-left:-195.29pt;mso-position-horizontal-relative:right-margin-area;mso-position-vertical-relative:top-margin-area;position:absolute;z-index:251677696" filled="t" fillcolor="#e10000" stroked="f"/>
              </w:pict>
            </w:r>
            <w:r>
              <w:pict>
                <v:rect id="_x0000_s1072" style="width:5.1pt;height:0.75pt;margin-top:39.53pt;margin-left:-119.66pt;mso-position-horizontal-relative:right-margin-area;mso-position-vertical-relative:top-margin-area;position:absolute;z-index:251709440" filled="t" fillcolor="white" stroked="f"/>
              </w:pict>
            </w:r>
            <w:r>
              <w:pict>
                <v:rect id="_x0000_s1073" style="width:5.1pt;height:0.75pt;margin-top:46.07pt;margin-left:-59.31pt;mso-position-horizontal-relative:right-margin-area;mso-position-vertical-relative:top-margin-area;position:absolute;z-index:251710464" filled="t" fillcolor="white" stroked="f"/>
              </w:pict>
            </w:r>
            <w:r>
              <w:pict>
                <v:rect id="_x0000_s1074" style="width:4.4pt;height:0.75pt;margin-top:45.34pt;margin-left:-104.4pt;mso-position-horizontal-relative:right-margin-area;mso-position-vertical-relative:top-margin-area;position:absolute;z-index:251712512" filled="t" fillcolor="white" stroked="f"/>
              </w:pict>
            </w:r>
            <w:r>
              <w:pict>
                <v:rect id="_x0000_s1075" style="width:4.4pt;height:34.2pt;margin-top:24.62pt;margin-left:-164.76pt;mso-position-horizontal-relative:right-margin-area;mso-position-vertical-relative:top-margin-area;position:absolute;z-index:251681792" filled="t" fillcolor="#e10000" stroked="f"/>
              </w:pict>
            </w:r>
            <w:r>
              <w:pict>
                <v:rect id="_x0000_s1076" style="width:5.15pt;height:27.65pt;margin-top:31.16pt;margin-left:-150.22pt;mso-position-horizontal-relative:right-margin-area;mso-position-vertical-relative:top-margin-area;position:absolute;z-index:251687936" filled="t" fillcolor="#e10000" stroked="f"/>
              </w:pict>
            </w:r>
            <w:r>
              <w:pict>
                <v:rect id="_x0000_s1077" style="width:5.15pt;height:24.75pt;margin-top:34.07pt;margin-left:-134.95pt;mso-position-horizontal-relative:right-margin-area;mso-position-vertical-relative:top-margin-area;position:absolute;z-index:251689984" filled="t" fillcolor="#e10000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676672" behindDoc="0" locked="0" layoutInCell="1" allowOverlap="1">
                      <wp:simplePos x="0" y="0"/>
                      <wp:positionH relativeFrom="rightMargin">
                        <wp:posOffset>-1694180</wp:posOffset>
                      </wp:positionH>
                      <wp:positionV relativeFrom="topMargin">
                        <wp:posOffset>1134599</wp:posOffset>
                      </wp:positionV>
                      <wp:extent cx="826769" cy="167639"/>
                      <wp:effectExtent l="0" t="0" r="0" b="0"/>
                      <wp:wrapNone/>
                      <wp:docPr id="80" name="Text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94180" y="1134599"/>
                                <a:ext cx="826769" cy="16763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1" w:line="19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  <w:drawing>
                                      <wp:inline distT="0" distB="0" distL="0" distR="0">
                                        <wp:extent cx="46146" cy="46173"/>
                                        <wp:effectExtent l="0" t="0" r="0" b="0"/>
                                        <wp:docPr id="1059735746" name="IM 8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59735746" name="IM 82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6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6146" cy="4617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8"/>
                                      <w:sz w:val="13"/>
                                      <w:szCs w:val="13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13"/>
                                      <w:szCs w:val="13"/>
                                    </w:rPr>
                                    <w:t>臻酿八号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3"/>
                                      <w:szCs w:val="13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13"/>
                                      <w:szCs w:val="13"/>
                                    </w:rPr>
                                    <w:t>井台装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0" o:spid="_x0000_s1078" type="#_x0000_t202" style="width:65.1pt;height:13.2pt;margin-top:89.34pt;margin-left:-133.4pt;mso-position-horizontal-relative:right-margin-area;mso-position-vertical-relative:top-margin-area;mso-wrap-distance-bottom:0;mso-wrap-distance-left:0;mso-wrap-distance-right:0;mso-wrap-distance-top:0;position:absolute;rotation:270;v-text-anchor:top;z-index:251675648" filled="f" fillcolor="this" stroked="f">
                      <v:textbox inset="0,0,0,0">
                        <w:txbxContent>
                          <w:p>
                            <w:pPr>
                              <w:spacing w:before="61" w:line="196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drawing>
                              <wp:inline distT="0" distB="0" distL="0" distR="0">
                                <wp:extent cx="46146" cy="46173"/>
                                <wp:effectExtent l="0" t="0" r="0" b="0"/>
                                <wp:docPr id="82" name="IM 8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2" name="IM 8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6146" cy="4617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 xml:space="preserve">     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1"/>
                                <w:sz w:val="13"/>
                                <w:szCs w:val="13"/>
                              </w:rPr>
                              <w:t>臻酿八号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3"/>
                                <w:szCs w:val="13"/>
                              </w:rPr>
                              <w:t>/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1"/>
                                <w:sz w:val="13"/>
                                <w:szCs w:val="13"/>
                              </w:rPr>
                              <w:t>井台装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4864" behindDoc="0" locked="0" layoutInCell="1" allowOverlap="1">
                      <wp:simplePos x="0" y="0"/>
                      <wp:positionH relativeFrom="rightMargin">
                        <wp:posOffset>-1267997</wp:posOffset>
                      </wp:positionH>
                      <wp:positionV relativeFrom="topMargin">
                        <wp:posOffset>898813</wp:posOffset>
                      </wp:positionV>
                      <wp:extent cx="353695" cy="160654"/>
                      <wp:effectExtent l="0" t="0" r="0" b="0"/>
                      <wp:wrapNone/>
                      <wp:docPr id="86" name="Text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67997" y="898813"/>
                                <a:ext cx="353695" cy="16065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1" w:line="184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13"/>
                                      <w:szCs w:val="13"/>
                                    </w:rPr>
                                    <w:t>品味舍得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6" o:spid="_x0000_s1079" type="#_x0000_t202" style="width:27.85pt;height:12.65pt;margin-top:70.77pt;margin-left:-99.84pt;mso-position-horizontal-relative:right-margin-area;mso-position-vertical-relative:top-margin-area;mso-wrap-distance-bottom:0;mso-wrap-distance-left:0;mso-wrap-distance-right:0;mso-wrap-distance-top:0;position:absolute;rotation:270;v-text-anchor:top;z-index:251683840" filled="f" fillcolor="this" stroked="f">
                      <v:textbox inset="0,0,0,0">
                        <w:txbxContent>
                          <w:p>
                            <w:pPr>
                              <w:spacing w:before="61" w:line="18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1"/>
                                <w:sz w:val="13"/>
                                <w:szCs w:val="13"/>
                              </w:rPr>
                              <w:t>品味舍得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7632" behindDoc="0" locked="0" layoutInCell="1" allowOverlap="1">
                      <wp:simplePos x="0" y="0"/>
                      <wp:positionH relativeFrom="rightMargin">
                        <wp:posOffset>-1283172</wp:posOffset>
                      </wp:positionH>
                      <wp:positionV relativeFrom="topMargin">
                        <wp:posOffset>1027981</wp:posOffset>
                      </wp:positionV>
                      <wp:extent cx="769619" cy="161289"/>
                      <wp:effectExtent l="0" t="0" r="0" b="0"/>
                      <wp:wrapNone/>
                      <wp:docPr id="88" name="TextBox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83172" y="1027981"/>
                                <a:ext cx="769619" cy="16128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2" w:line="184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13"/>
                                      <w:szCs w:val="13"/>
                                    </w:rPr>
                                    <w:t>汉酱、仁酒、贵州</w:t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4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13"/>
                                      <w:szCs w:val="13"/>
                                    </w:rPr>
                                    <w:t>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8" o:spid="_x0000_s1080" type="#_x0000_t202" style="width:60.6pt;height:12.7pt;margin-top:80.94pt;margin-left:-101.04pt;mso-position-horizontal-relative:right-margin-area;mso-position-vertical-relative:top-margin-area;mso-wrap-distance-bottom:0;mso-wrap-distance-left:0;mso-wrap-distance-right:0;mso-wrap-distance-top:0;position:absolute;rotation:270;v-text-anchor:top;z-index:251716608" filled="f" fillcolor="this" stroked="f">
                      <v:textbox inset="0,0,0,0">
                        <w:txbxContent>
                          <w:p>
                            <w:pPr>
                              <w:spacing w:before="62" w:line="18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1"/>
                                <w:sz w:val="13"/>
                                <w:szCs w:val="13"/>
                              </w:rPr>
                              <w:t>汉酱、仁酒、贵州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-14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1"/>
                                <w:sz w:val="13"/>
                                <w:szCs w:val="13"/>
                              </w:rPr>
                              <w:t>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5104" behindDoc="0" locked="0" layoutInCell="1" allowOverlap="1">
                      <wp:simplePos x="0" y="0"/>
                      <wp:positionH relativeFrom="rightMargin">
                        <wp:posOffset>-840314</wp:posOffset>
                      </wp:positionH>
                      <wp:positionV relativeFrom="topMargin">
                        <wp:posOffset>850552</wp:posOffset>
                      </wp:positionV>
                      <wp:extent cx="269875" cy="160654"/>
                      <wp:effectExtent l="0" t="0" r="0" b="0"/>
                      <wp:wrapNone/>
                      <wp:docPr id="90" name="TextBox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40314" y="850552"/>
                                <a:ext cx="269875" cy="16065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2" w:line="183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2"/>
                                      <w:sz w:val="13"/>
                                      <w:szCs w:val="13"/>
                                    </w:rPr>
                                    <w:t>国标酒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0" o:spid="_x0000_s1081" type="#_x0000_t202" style="width:21.25pt;height:12.65pt;margin-top:66.97pt;margin-left:-66.17pt;mso-position-horizontal-relative:right-margin-area;mso-position-vertical-relative:top-margin-area;mso-wrap-distance-bottom:0;mso-wrap-distance-left:0;mso-wrap-distance-right:0;mso-wrap-distance-top:0;position:absolute;rotation:270;v-text-anchor:top;z-index:251694080" filled="f" fillcolor="this" stroked="f">
                      <v:textbox inset="0,0,0,0">
                        <w:txbxContent>
                          <w:p>
                            <w:pPr>
                              <w:spacing w:before="62" w:line="18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2"/>
                                <w:sz w:val="13"/>
                                <w:szCs w:val="13"/>
                              </w:rPr>
                              <w:t>国标酒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3056" behindDoc="0" locked="0" layoutInCell="1" allowOverlap="1">
                      <wp:simplePos x="0" y="0"/>
                      <wp:positionH relativeFrom="rightMargin">
                        <wp:posOffset>-650472</wp:posOffset>
                      </wp:positionH>
                      <wp:positionV relativeFrom="topMargin">
                        <wp:posOffset>851858</wp:posOffset>
                      </wp:positionV>
                      <wp:extent cx="274320" cy="162560"/>
                      <wp:effectExtent l="0" t="0" r="0" b="0"/>
                      <wp:wrapNone/>
                      <wp:docPr id="92" name="TextBox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50472" y="851858"/>
                                <a:ext cx="274320" cy="1625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2" w:line="18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  <w:t>红花郎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2" o:spid="_x0000_s1082" type="#_x0000_t202" style="width:21.6pt;height:12.8pt;margin-top:67.08pt;margin-left:-51.22pt;mso-position-horizontal-relative:right-margin-area;mso-position-vertical-relative:top-margin-area;mso-wrap-distance-bottom:0;mso-wrap-distance-left:0;mso-wrap-distance-right:0;mso-wrap-distance-top:0;position:absolute;rotation:270;v-text-anchor:top;z-index:251692032" filled="f" fillcolor="this" stroked="f">
                      <v:textbox inset="0,0,0,0">
                        <w:txbxContent>
                          <w:p>
                            <w:pPr>
                              <w:spacing w:before="62" w:line="186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  <w:t>红花郎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8176" behindDoc="0" locked="0" layoutInCell="1" allowOverlap="1">
                      <wp:simplePos x="0" y="0"/>
                      <wp:positionH relativeFrom="rightMargin">
                        <wp:posOffset>-415279</wp:posOffset>
                      </wp:positionH>
                      <wp:positionV relativeFrom="topMargin">
                        <wp:posOffset>813823</wp:posOffset>
                      </wp:positionV>
                      <wp:extent cx="191135" cy="161289"/>
                      <wp:effectExtent l="0" t="0" r="0" b="0"/>
                      <wp:wrapNone/>
                      <wp:docPr id="94" name="TextBox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15279" y="813823"/>
                                <a:ext cx="191135" cy="16128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2" w:line="184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  <w:t>红坛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4" o:spid="_x0000_s1083" type="#_x0000_t202" style="width:15.05pt;height:12.7pt;margin-top:64.08pt;margin-left:-32.7pt;mso-position-horizontal-relative:right-margin-area;mso-position-vertical-relative:top-margin-area;mso-wrap-distance-bottom:0;mso-wrap-distance-left:0;mso-wrap-distance-right:0;mso-wrap-distance-top:0;position:absolute;rotation:270;v-text-anchor:top;z-index:251697152" filled="f" fillcolor="this" stroked="f">
                      <v:textbox inset="0,0,0,0">
                        <w:txbxContent>
                          <w:p>
                            <w:pPr>
                              <w:spacing w:before="62" w:line="18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  <w:t>红坛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0768" behindDoc="0" locked="0" layoutInCell="1" allowOverlap="1">
                      <wp:simplePos x="0" y="0"/>
                      <wp:positionH relativeFrom="rightMargin">
                        <wp:posOffset>-390027</wp:posOffset>
                      </wp:positionH>
                      <wp:positionV relativeFrom="topMargin">
                        <wp:posOffset>983859</wp:posOffset>
                      </wp:positionV>
                      <wp:extent cx="526415" cy="160654"/>
                      <wp:effectExtent l="0" t="0" r="0" b="0"/>
                      <wp:wrapNone/>
                      <wp:docPr id="96" name="TextBox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90027" y="983859"/>
                                <a:ext cx="526415" cy="16065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62" w:line="183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13"/>
                                      <w:szCs w:val="13"/>
                                    </w:rPr>
                                    <w:t>口子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13"/>
                                      <w:szCs w:val="13"/>
                                    </w:rPr>
                                    <w:t>及以上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6" o:spid="_x0000_s1084" type="#_x0000_t202" style="width:41.45pt;height:12.65pt;margin-top:77.47pt;margin-left:-30.71pt;mso-position-horizontal-relative:right-margin-area;mso-position-vertical-relative:top-margin-area;mso-wrap-distance-bottom:0;mso-wrap-distance-left:0;mso-wrap-distance-right:0;mso-wrap-distance-top:0;position:absolute;rotation:270;v-text-anchor:top;z-index:251679744" filled="f" fillcolor="this" stroked="f">
                      <v:textbox inset="0,0,0,0">
                        <w:txbxContent>
                          <w:p>
                            <w:pPr>
                              <w:spacing w:before="62" w:line="18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1"/>
                                <w:sz w:val="13"/>
                                <w:szCs w:val="13"/>
                              </w:rPr>
                              <w:t>口子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-1"/>
                                <w:sz w:val="13"/>
                                <w:szCs w:val="13"/>
                              </w:rPr>
                              <w:t>及以上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085" style="width:5.1pt;height:0.75pt;margin-top:9.01pt;margin-left:-195.29pt;mso-position-horizontal-relative:right-margin-area;mso-position-vertical-relative:top-margin-area;position:absolute;z-index:251711488" filled="t" fillcolor="white" stroked="f"/>
              </w:pict>
            </w:r>
            <w:r>
              <w:pict>
                <v:shape id="_x0000_s1086" style="width:2.95pt;height:56.7pt;margin-top:2.47pt;margin-left:-200.74pt;mso-position-horizontal-relative:right-margin-area;mso-position-vertical-relative:top-margin-area;position:absolute;z-index:251686912" coordorigin="0,0" coordsize="59,1134" path="m7,1126l7,7m7,1126l50,1126m7,1009l50,1009m7,908l50,908m7,791l50,791m7,675l50,675m7,559l50,559m7,457l50,457m7,341l50,341m7,225l50,225m7,123l50,123m7,7l50,7e" filled="f" strokecolor="black" strokeweight="0.73pt"/>
              </w:pict>
            </w:r>
            <w:r>
              <w:drawing>
                <wp:anchor distT="0" distB="0" distL="0" distR="0" simplePos="0" relativeHeight="251704320" behindDoc="0" locked="0" layoutInCell="1" allowOverlap="1">
                  <wp:simplePos x="0" y="0"/>
                  <wp:positionH relativeFrom="rightMargin">
                    <wp:posOffset>-2480792</wp:posOffset>
                  </wp:positionH>
                  <wp:positionV relativeFrom="topMargin">
                    <wp:posOffset>481550</wp:posOffset>
                  </wp:positionV>
                  <wp:extent cx="64656" cy="64606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6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7" style="width:2.95pt;height:56.7pt;margin-top:2.47pt;margin-left:-5.87pt;mso-position-horizontal-relative:right-margin-area;mso-position-vertical-relative:top-margin-area;position:absolute;z-index:251685888" coordorigin="0,0" coordsize="59,1134" path="m50,1126l50,7m7,1126l50,1126m7,937l50,937m7,748l50,748m7,559l50,559m7,385l50,385m7,196l50,196m7,7l50,7e" filled="f" strokecolor="black" strokeweight="0.73pt"/>
              </w:pict>
            </w:r>
            <w:r>
              <w:drawing>
                <wp:anchor distT="0" distB="0" distL="0" distR="0" simplePos="0" relativeHeight="251708416" behindDoc="0" locked="0" layoutInCell="1" allowOverlap="1">
                  <wp:simplePos x="0" y="0"/>
                  <wp:positionH relativeFrom="rightMargin">
                    <wp:posOffset>-172215</wp:posOffset>
                  </wp:positionH>
                  <wp:positionV relativeFrom="topMargin">
                    <wp:posOffset>306189</wp:posOffset>
                  </wp:positionV>
                  <wp:extent cx="64644" cy="64606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4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8960" behindDoc="0" locked="0" layoutInCell="1" allowOverlap="1">
                  <wp:simplePos x="0" y="0"/>
                  <wp:positionH relativeFrom="rightMargin">
                    <wp:posOffset>-1912252</wp:posOffset>
                  </wp:positionH>
                  <wp:positionV relativeFrom="topMargin">
                    <wp:posOffset>391342</wp:posOffset>
                  </wp:positionV>
                  <wp:extent cx="73880" cy="355252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0" cy="355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2816" behindDoc="0" locked="0" layoutInCell="1" allowOverlap="1">
                  <wp:simplePos x="0" y="0"/>
                  <wp:positionH relativeFrom="rightMargin">
                    <wp:posOffset>-2096938</wp:posOffset>
                  </wp:positionH>
                  <wp:positionV relativeFrom="topMargin">
                    <wp:posOffset>308283</wp:posOffset>
                  </wp:positionV>
                  <wp:extent cx="68633" cy="438312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33" cy="438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0224" behindDoc="0" locked="0" layoutInCell="1" allowOverlap="1">
                  <wp:simplePos x="0" y="0"/>
                  <wp:positionH relativeFrom="rightMargin">
                    <wp:posOffset>-1899040</wp:posOffset>
                  </wp:positionH>
                  <wp:positionV relativeFrom="topMargin">
                    <wp:posOffset>167748</wp:posOffset>
                  </wp:positionV>
                  <wp:extent cx="64657" cy="64620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7" cy="6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5344" behindDoc="0" locked="0" layoutInCell="1" allowOverlap="1">
                  <wp:simplePos x="0" y="0"/>
                  <wp:positionH relativeFrom="rightMargin">
                    <wp:posOffset>-1705118</wp:posOffset>
                  </wp:positionH>
                  <wp:positionV relativeFrom="topMargin">
                    <wp:posOffset>232359</wp:posOffset>
                  </wp:positionV>
                  <wp:extent cx="64644" cy="64607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4" cy="64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-1520406</wp:posOffset>
                  </wp:positionH>
                  <wp:positionV relativeFrom="topMargin">
                    <wp:posOffset>324649</wp:posOffset>
                  </wp:positionV>
                  <wp:extent cx="64644" cy="64606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4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2272" behindDoc="0" locked="0" layoutInCell="1" allowOverlap="1">
                  <wp:simplePos x="0" y="0"/>
                  <wp:positionH relativeFrom="rightMargin">
                    <wp:posOffset>-1326498</wp:posOffset>
                  </wp:positionH>
                  <wp:positionV relativeFrom="topMargin">
                    <wp:posOffset>453859</wp:posOffset>
                  </wp:positionV>
                  <wp:extent cx="64657" cy="64620"/>
                  <wp:effectExtent l="0" t="0" r="0" b="0"/>
                  <wp:wrapNone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7" cy="6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1248" behindDoc="0" locked="0" layoutInCell="1" allowOverlap="1">
                  <wp:simplePos x="0" y="0"/>
                  <wp:positionH relativeFrom="rightMargin">
                    <wp:posOffset>-1132576</wp:posOffset>
                  </wp:positionH>
                  <wp:positionV relativeFrom="topMargin">
                    <wp:posOffset>453859</wp:posOffset>
                  </wp:positionV>
                  <wp:extent cx="64657" cy="64620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7" cy="6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-938654</wp:posOffset>
                  </wp:positionH>
                  <wp:positionV relativeFrom="topMargin">
                    <wp:posOffset>223130</wp:posOffset>
                  </wp:positionV>
                  <wp:extent cx="64644" cy="64606"/>
                  <wp:effectExtent l="0" t="0" r="0" b="0"/>
                  <wp:wrapNone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4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3296" behindDoc="0" locked="0" layoutInCell="1" allowOverlap="1">
                  <wp:simplePos x="0" y="0"/>
                  <wp:positionH relativeFrom="rightMargin">
                    <wp:posOffset>-366137</wp:posOffset>
                  </wp:positionH>
                  <wp:positionV relativeFrom="topMargin">
                    <wp:posOffset>527688</wp:posOffset>
                  </wp:positionV>
                  <wp:extent cx="64656" cy="64620"/>
                  <wp:effectExtent l="0" t="0" r="0" b="0"/>
                  <wp:wrapNone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6" cy="6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-1718330</wp:posOffset>
                  </wp:positionH>
                  <wp:positionV relativeFrom="topMargin">
                    <wp:posOffset>428251</wp:posOffset>
                  </wp:positionV>
                  <wp:extent cx="73879" cy="318344"/>
                  <wp:effectExtent l="0" t="0" r="0" b="0"/>
                  <wp:wrapNone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79" cy="318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-2484768</wp:posOffset>
                  </wp:positionH>
                  <wp:positionV relativeFrom="topMargin">
                    <wp:posOffset>119094</wp:posOffset>
                  </wp:positionV>
                  <wp:extent cx="73879" cy="627501"/>
                  <wp:effectExtent l="0" t="0" r="0" b="0"/>
                  <wp:wrapNone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79" cy="627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4560" behindDoc="0" locked="0" layoutInCell="1" allowOverlap="1">
                  <wp:simplePos x="0" y="0"/>
                  <wp:positionH relativeFrom="rightMargin">
                    <wp:posOffset>-2480147</wp:posOffset>
                  </wp:positionH>
                  <wp:positionV relativeFrom="topMargin">
                    <wp:posOffset>580464</wp:posOffset>
                  </wp:positionV>
                  <wp:extent cx="2368636" cy="170745"/>
                  <wp:effectExtent l="0" t="0" r="0" b="0"/>
                  <wp:wrapNone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636" cy="17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8" style="width:197.8pt;height:2.95pt;margin-top:56.24pt;margin-left:-200.74pt;mso-position-horizontal-relative:right-margin-area;mso-position-vertical-relative:top-margin-area;position:absolute;z-index:251715584" coordorigin="0,0" coordsize="3956,59" path="m7,50l3948,50m7,7l7,50m312,7l312,50m603,7l603,50m908,7l908,50m1214,7l1214,50m1519,7l1519,50m1825,7l1825,50m2130,7l2130,50m2421,7l2421,50m2726,7l2726,50m3032,7l3032,50m3337,7l3337,50m3642,7l3642,50m3948,7l3948,50e" filled="f" strokecolor="black" strokeweight="0.73pt"/>
              </w:pict>
            </w:r>
            <w:r>
              <w:drawing>
                <wp:anchor distT="0" distB="0" distL="0" distR="0" simplePos="0" relativeHeight="251718656" behindDoc="0" locked="0" layoutInCell="1" allowOverlap="1">
                  <wp:simplePos x="0" y="0"/>
                  <wp:positionH relativeFrom="rightMargin">
                    <wp:posOffset>-550824</wp:posOffset>
                  </wp:positionH>
                  <wp:positionV relativeFrom="topMargin">
                    <wp:posOffset>656898</wp:posOffset>
                  </wp:positionV>
                  <wp:extent cx="64657" cy="64606"/>
                  <wp:effectExtent l="0" t="0" r="0" b="0"/>
                  <wp:wrapNone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7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rightMargin">
                    <wp:posOffset>-1325961</wp:posOffset>
                  </wp:positionH>
                  <wp:positionV relativeFrom="topMargin">
                    <wp:posOffset>580307</wp:posOffset>
                  </wp:positionV>
                  <wp:extent cx="831400" cy="166289"/>
                  <wp:effectExtent l="0" t="0" r="0" b="0"/>
                  <wp:wrapNone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400" cy="166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6128" behindDoc="0" locked="0" layoutInCell="1" allowOverlap="1">
                  <wp:simplePos x="0" y="0"/>
                  <wp:positionH relativeFrom="rightMargin">
                    <wp:posOffset>-1524358</wp:posOffset>
                  </wp:positionH>
                  <wp:positionV relativeFrom="topMargin">
                    <wp:posOffset>506483</wp:posOffset>
                  </wp:positionV>
                  <wp:extent cx="73892" cy="240114"/>
                  <wp:effectExtent l="0" t="0" r="0" b="0"/>
                  <wp:wrapNone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92" cy="240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9200" behindDoc="0" locked="0" layoutInCell="1" allowOverlap="1">
                  <wp:simplePos x="0" y="0"/>
                  <wp:positionH relativeFrom="rightMargin">
                    <wp:posOffset>-1131892</wp:posOffset>
                  </wp:positionH>
                  <wp:positionV relativeFrom="topMargin">
                    <wp:posOffset>594305</wp:posOffset>
                  </wp:positionV>
                  <wp:extent cx="249322" cy="27699"/>
                  <wp:effectExtent l="0" t="0" r="0" b="0"/>
                  <wp:wrapNone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22" cy="27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"/>
              </w:rPr>
              <w:drawing>
                <wp:inline distT="0" distB="0" distL="0" distR="0">
                  <wp:extent cx="64644" cy="64606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4" cy="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7" w:line="897" w:lineRule="exact"/>
              <w:ind w:firstLine="483"/>
            </w:pPr>
            <w:r>
              <w:rPr>
                <w:position w:val="-17"/>
              </w:rPr>
              <w:drawing>
                <wp:inline distT="0" distB="0" distL="0" distR="0">
                  <wp:extent cx="68620" cy="569619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20" cy="569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97" w:lineRule="exact"/>
            </w:pPr>
          </w:p>
          <w:tbl>
            <w:tblPr>
              <w:tblStyle w:val="TableNormal3"/>
              <w:tblW w:w="1645" w:type="dxa"/>
              <w:tblInd w:w="18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14"/>
              <w:gridCol w:w="304"/>
              <w:gridCol w:w="305"/>
              <w:gridCol w:w="304"/>
              <w:gridCol w:w="303"/>
              <w:gridCol w:w="215"/>
            </w:tblGrid>
            <w:tr>
              <w:tblPrEx>
                <w:tblW w:w="1645" w:type="dxa"/>
                <w:tblInd w:w="182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067"/>
              </w:trPr>
              <w:tc>
                <w:tcPr>
                  <w:tcW w:w="214" w:type="dxa"/>
                  <w:textDirection w:val="btLr"/>
                  <w:vAlign w:val="top"/>
                </w:tcPr>
                <w:p>
                  <w:pPr>
                    <w:spacing w:line="182" w:lineRule="auto"/>
                    <w:jc w:val="right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水晶剑</w:t>
                  </w:r>
                </w:p>
              </w:tc>
              <w:tc>
                <w:tcPr>
                  <w:tcW w:w="304" w:type="dxa"/>
                  <w:textDirection w:val="btLr"/>
                  <w:vAlign w:val="top"/>
                </w:tcPr>
                <w:p>
                  <w:pPr>
                    <w:spacing w:before="88" w:line="184" w:lineRule="auto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>青花、巴拿马系列</w:t>
                  </w:r>
                </w:p>
              </w:tc>
              <w:tc>
                <w:tcPr>
                  <w:tcW w:w="305" w:type="dxa"/>
                  <w:textDirection w:val="btLr"/>
                  <w:vAlign w:val="top"/>
                </w:tcPr>
                <w:p>
                  <w:pPr>
                    <w:spacing w:before="87" w:line="184" w:lineRule="auto"/>
                    <w:jc w:val="right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梦之蓝</w:t>
                  </w:r>
                </w:p>
              </w:tc>
              <w:tc>
                <w:tcPr>
                  <w:tcW w:w="304" w:type="dxa"/>
                  <w:textDirection w:val="btLr"/>
                  <w:vAlign w:val="top"/>
                </w:tcPr>
                <w:p>
                  <w:pPr>
                    <w:spacing w:before="88" w:line="183" w:lineRule="auto"/>
                    <w:ind w:right="10"/>
                    <w:jc w:val="right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窖藏系列</w:t>
                  </w:r>
                </w:p>
              </w:tc>
              <w:tc>
                <w:tcPr>
                  <w:tcW w:w="303" w:type="dxa"/>
                  <w:textDirection w:val="btLr"/>
                  <w:vAlign w:val="top"/>
                </w:tcPr>
                <w:p>
                  <w:pPr>
                    <w:spacing w:before="87" w:line="183" w:lineRule="auto"/>
                    <w:ind w:right="3"/>
                    <w:jc w:val="right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古</w:t>
                  </w:r>
                  <w:r>
                    <w:rPr>
                      <w:rFonts w:ascii="Arial" w:eastAsia="Arial" w:hAnsi="Arial" w:cs="Arial"/>
                      <w:sz w:val="13"/>
                      <w:szCs w:val="13"/>
                    </w:rPr>
                    <w:t>8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及以上</w:t>
                  </w:r>
                </w:p>
              </w:tc>
              <w:tc>
                <w:tcPr>
                  <w:tcW w:w="215" w:type="dxa"/>
                  <w:textDirection w:val="btLr"/>
                  <w:vAlign w:val="top"/>
                </w:tcPr>
                <w:p>
                  <w:pPr>
                    <w:spacing w:before="87" w:line="128" w:lineRule="exact"/>
                    <w:ind w:right="3"/>
                    <w:jc w:val="right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position w:val="-1"/>
                      <w:sz w:val="13"/>
                      <w:szCs w:val="13"/>
                    </w:rPr>
                    <w:t>特</w:t>
                  </w:r>
                  <w:r>
                    <w:rPr>
                      <w:rFonts w:ascii="Arial" w:eastAsia="Arial" w:hAnsi="Arial" w:cs="Arial"/>
                      <w:spacing w:val="1"/>
                      <w:position w:val="-1"/>
                      <w:sz w:val="13"/>
                      <w:szCs w:val="13"/>
                    </w:rPr>
                    <w:t>A+</w:t>
                  </w:r>
                </w:p>
              </w:tc>
            </w:tr>
          </w:tbl>
          <w:p>
            <w:pPr>
              <w:spacing w:before="128" w:line="124" w:lineRule="exact"/>
              <w:ind w:left="22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pict>
                <v:shape id="_x0000_s1089" type="#_x0000_t202" style="width:86.65pt;height:10.6pt;margin-top:5.44pt;margin-left:107.82pt;position:absolute;z-index:25171353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5" w:lineRule="auto"/>
                          <w:jc w:val="right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1"/>
                            <w:sz w:val="13"/>
                            <w:szCs w:val="13"/>
                          </w:rPr>
                          <w:t>2016-2023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收入</w:t>
                        </w:r>
                        <w:r>
                          <w:rPr>
                            <w:rFonts w:ascii="Calibri" w:eastAsia="Calibri" w:hAnsi="Calibri" w:cs="Calibri"/>
                            <w:spacing w:val="-1"/>
                            <w:sz w:val="13"/>
                            <w:szCs w:val="13"/>
                          </w:rPr>
                          <w:t xml:space="preserve">CAGR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（右轴）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Calibri" w:eastAsia="Calibri" w:hAnsi="Calibri" w:cs="Calibri"/>
                <w:sz w:val="13"/>
                <w:szCs w:val="13"/>
              </w:rPr>
              <w:drawing>
                <wp:inline distT="0" distB="0" distL="0" distR="0">
                  <wp:extent cx="55409" cy="50996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09" cy="50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spacing w:val="16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Calibri" w:eastAsia="Calibri" w:hAnsi="Calibri" w:cs="Calibri"/>
                <w:position w:val="-1"/>
                <w:sz w:val="13"/>
                <w:szCs w:val="13"/>
              </w:rPr>
              <w:t>2023</w:t>
            </w:r>
            <w:r>
              <w:rPr>
                <w:rFonts w:ascii="Microsoft YaHei" w:eastAsia="Microsoft YaHei" w:hAnsi="Microsoft YaHei" w:cs="Microsoft YaHei"/>
                <w:position w:val="-1"/>
                <w:sz w:val="13"/>
                <w:szCs w:val="13"/>
              </w:rPr>
              <w:t>年规模估计（亿元）</w:t>
            </w:r>
          </w:p>
        </w:tc>
        <w:tc>
          <w:tcPr>
            <w:tcW w:w="320" w:type="dxa"/>
            <w:vAlign w:val="top"/>
          </w:tcPr>
          <w:p>
            <w:pPr>
              <w:spacing w:before="3" w:line="285" w:lineRule="auto"/>
              <w:ind w:left="61" w:firstLine="1"/>
              <w:jc w:val="both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60%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50%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30%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10%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0%</w:t>
            </w:r>
          </w:p>
        </w:tc>
      </w:tr>
    </w:tbl>
    <w:p>
      <w:pPr>
        <w:spacing w:before="222" w:line="301" w:lineRule="exact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2"/>
          <w:position w:val="13"/>
          <w:sz w:val="13"/>
          <w:szCs w:val="13"/>
        </w:rPr>
        <w:t>资料来源：</w:t>
      </w:r>
      <w:r>
        <w:rPr>
          <w:rFonts w:ascii="STXihei" w:eastAsia="STXihei" w:hAnsi="STXihei" w:cs="STXihei"/>
          <w:spacing w:val="-10"/>
          <w:position w:val="13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2"/>
          <w:position w:val="13"/>
          <w:sz w:val="13"/>
          <w:szCs w:val="13"/>
        </w:rPr>
        <w:t>公司公告，  酒业新闻网，   中国网，酒志网，  食品网，</w:t>
      </w:r>
      <w:r>
        <w:rPr>
          <w:rFonts w:ascii="STXihei" w:eastAsia="STXihei" w:hAnsi="STXihei" w:cs="STXihei"/>
          <w:spacing w:val="1"/>
          <w:position w:val="13"/>
          <w:sz w:val="13"/>
          <w:szCs w:val="13"/>
        </w:rPr>
        <w:t>酒说，酒业家，</w:t>
      </w:r>
    </w:p>
    <w:p>
      <w:pPr>
        <w:spacing w:line="173" w:lineRule="auto"/>
        <w:ind w:left="1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7"/>
          <w:sz w:val="13"/>
          <w:szCs w:val="13"/>
        </w:rPr>
        <w:t>云酒头条，</w:t>
      </w:r>
      <w:r>
        <w:rPr>
          <w:rFonts w:ascii="STXihei" w:eastAsia="STXihei" w:hAnsi="STXihei" w:cs="STXihei"/>
          <w:spacing w:val="-10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7"/>
          <w:sz w:val="13"/>
          <w:szCs w:val="13"/>
        </w:rPr>
        <w:t>长江证券研究所</w:t>
      </w:r>
    </w:p>
    <w:p>
      <w:pPr>
        <w:spacing w:line="173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88"/>
          <w:footerReference w:type="default" r:id="rId89"/>
          <w:type w:val="continuous"/>
          <w:pgSz w:w="11907" w:h="16839"/>
          <w:pgMar w:top="1350" w:right="749" w:bottom="970" w:left="842" w:header="851" w:footer="713" w:gutter="0"/>
          <w:pgNumType w:start="17"/>
          <w:cols w:num="2" w:space="708" w:equalWidth="0">
            <w:col w:w="5155" w:space="100"/>
            <w:col w:w="5061" w:space="0"/>
          </w:cols>
        </w:sectPr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91" w:line="221" w:lineRule="auto"/>
        <w:ind w:left="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成长节奏：景气周期的放大器</w:t>
      </w:r>
    </w:p>
    <w:p>
      <w:pPr>
        <w:pStyle w:val="BodyText"/>
        <w:spacing w:before="172" w:line="313" w:lineRule="exact"/>
        <w:ind w:left="2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 xml:space="preserve">历史上看，  次高端白酒历史上共有三次景气期，   分别为 </w:t>
      </w:r>
      <w:r>
        <w:rPr>
          <w:spacing w:val="-7"/>
          <w:position w:val="11"/>
          <w:sz w:val="18"/>
          <w:szCs w:val="18"/>
        </w:rPr>
        <w:t xml:space="preserve">2010 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年至</w:t>
      </w:r>
      <w:r>
        <w:rPr>
          <w:rFonts w:ascii="STXihei" w:eastAsia="STXihei" w:hAnsi="STXihei" w:cs="STXihei"/>
          <w:spacing w:val="21"/>
          <w:w w:val="101"/>
          <w:position w:val="11"/>
          <w:sz w:val="18"/>
          <w:szCs w:val="18"/>
        </w:rPr>
        <w:t xml:space="preserve"> </w:t>
      </w:r>
      <w:r>
        <w:rPr>
          <w:spacing w:val="-7"/>
          <w:position w:val="11"/>
          <w:sz w:val="18"/>
          <w:szCs w:val="18"/>
        </w:rPr>
        <w:t xml:space="preserve">2012 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年，</w:t>
      </w:r>
      <w:r>
        <w:rPr>
          <w:rFonts w:ascii="STXihei" w:eastAsia="STXihei" w:hAnsi="STXihei" w:cs="STXihei"/>
          <w:spacing w:val="9"/>
          <w:position w:val="11"/>
          <w:sz w:val="18"/>
          <w:szCs w:val="18"/>
        </w:rPr>
        <w:t xml:space="preserve"> </w:t>
      </w:r>
      <w:r>
        <w:rPr>
          <w:spacing w:val="-7"/>
          <w:position w:val="11"/>
          <w:sz w:val="18"/>
          <w:szCs w:val="18"/>
        </w:rPr>
        <w:t>2016</w:t>
      </w:r>
      <w:r>
        <w:rPr>
          <w:spacing w:val="7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年至</w:t>
      </w:r>
    </w:p>
    <w:p>
      <w:pPr>
        <w:pStyle w:val="BodyText"/>
        <w:spacing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spacing w:val="-5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5"/>
          <w:sz w:val="18"/>
          <w:szCs w:val="18"/>
        </w:rPr>
        <w:t xml:space="preserve">年以及 </w:t>
      </w:r>
      <w:r>
        <w:rPr>
          <w:spacing w:val="-5"/>
          <w:sz w:val="18"/>
          <w:szCs w:val="18"/>
        </w:rPr>
        <w:t xml:space="preserve">2020 </w:t>
      </w:r>
      <w:r>
        <w:rPr>
          <w:rFonts w:ascii="STXihei" w:eastAsia="STXihei" w:hAnsi="STXihei" w:cs="STXihei"/>
          <w:spacing w:val="-5"/>
          <w:sz w:val="18"/>
          <w:szCs w:val="18"/>
        </w:rPr>
        <w:t xml:space="preserve">年至 </w:t>
      </w:r>
      <w:r>
        <w:rPr>
          <w:spacing w:val="-5"/>
          <w:sz w:val="18"/>
          <w:szCs w:val="18"/>
        </w:rPr>
        <w:t xml:space="preserve">2021 </w:t>
      </w:r>
      <w:r>
        <w:rPr>
          <w:rFonts w:ascii="STXihei" w:eastAsia="STXihei" w:hAnsi="STXihei" w:cs="STXihei"/>
          <w:spacing w:val="-5"/>
          <w:sz w:val="18"/>
          <w:szCs w:val="18"/>
        </w:rPr>
        <w:t>年，</w:t>
      </w:r>
      <w:r>
        <w:rPr>
          <w:rFonts w:ascii="STXihei" w:eastAsia="STXihei" w:hAnsi="STXihei" w:cs="STXihei"/>
          <w:spacing w:val="25"/>
          <w:w w:val="102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5"/>
          <w:sz w:val="18"/>
          <w:szCs w:val="18"/>
        </w:rPr>
        <w:t>成长节奏上来讲基本遵循高端领涨，   次高端跟随的规</w:t>
      </w:r>
    </w:p>
    <w:p>
      <w:pPr>
        <w:spacing w:before="106" w:line="195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律。</w:t>
      </w:r>
    </w:p>
    <w:p>
      <w:pPr>
        <w:pStyle w:val="BodyText"/>
        <w:spacing w:before="173" w:line="364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第一轮景气期（</w:t>
      </w:r>
      <w:r>
        <w:rPr>
          <w:b/>
          <w:bCs/>
          <w:spacing w:val="-1"/>
          <w:position w:val="11"/>
          <w:sz w:val="18"/>
          <w:szCs w:val="18"/>
        </w:rPr>
        <w:t>2010-2012</w:t>
      </w:r>
      <w:r>
        <w:rPr>
          <w:b/>
          <w:bCs/>
          <w:spacing w:val="48"/>
          <w:w w:val="101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TXihei" w:eastAsia="STXihei" w:hAnsi="STXihei" w:cs="STXihei"/>
          <w:spacing w:val="-3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伴随着茅台等高端酒价格的提升和政商务白酒消费的</w:t>
      </w:r>
    </w:p>
    <w:p>
      <w:pPr>
        <w:pStyle w:val="BodyText"/>
        <w:spacing w:line="197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 xml:space="preserve">持续活跃，次高端价格带自 </w:t>
      </w:r>
      <w:r>
        <w:rPr>
          <w:spacing w:val="-3"/>
          <w:sz w:val="18"/>
          <w:szCs w:val="18"/>
        </w:rPr>
        <w:t xml:space="preserve">2010 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年起声量开始迅速放大，   </w:t>
      </w:r>
      <w:r>
        <w:rPr>
          <w:spacing w:val="-3"/>
          <w:sz w:val="18"/>
          <w:szCs w:val="18"/>
        </w:rPr>
        <w:t xml:space="preserve">2010-2012 </w:t>
      </w:r>
      <w:r>
        <w:rPr>
          <w:rFonts w:ascii="STXihei" w:eastAsia="STXihei" w:hAnsi="STXihei" w:cs="STXihei"/>
          <w:spacing w:val="-3"/>
          <w:sz w:val="18"/>
          <w:szCs w:val="18"/>
        </w:rPr>
        <w:t>年间主要次高端</w:t>
      </w:r>
    </w:p>
    <w:p>
      <w:pPr>
        <w:spacing w:before="104" w:line="198" w:lineRule="auto"/>
        <w:ind w:left="2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品牌收入体量均获得大幅提升，  无论是全国性还是区域性品牌收入年复合增速大多超过</w:t>
      </w:r>
    </w:p>
    <w:p>
      <w:pPr>
        <w:pStyle w:val="BodyText"/>
        <w:spacing w:before="104" w:line="198" w:lineRule="auto"/>
        <w:ind w:left="11"/>
        <w:rPr>
          <w:rFonts w:ascii="STXihei" w:eastAsia="STXihei" w:hAnsi="STXihei" w:cs="STXihei"/>
          <w:sz w:val="18"/>
          <w:szCs w:val="18"/>
        </w:rPr>
      </w:pPr>
      <w:r>
        <w:rPr>
          <w:spacing w:val="-1"/>
          <w:sz w:val="18"/>
          <w:szCs w:val="18"/>
        </w:rPr>
        <w:t>40%</w:t>
      </w:r>
      <w:r>
        <w:rPr>
          <w:rFonts w:ascii="STXihei" w:eastAsia="STXihei" w:hAnsi="STXihei" w:cs="STXihei"/>
          <w:spacing w:val="-1"/>
          <w:sz w:val="18"/>
          <w:szCs w:val="18"/>
        </w:rPr>
        <w:t>，红花郎、梦之蓝等知名产品获得高速</w:t>
      </w:r>
      <w:r>
        <w:rPr>
          <w:rFonts w:ascii="STXihei" w:eastAsia="STXihei" w:hAnsi="STXihei" w:cs="STXihei"/>
          <w:spacing w:val="-2"/>
          <w:sz w:val="18"/>
          <w:szCs w:val="18"/>
        </w:rPr>
        <w:t>成长。</w:t>
      </w:r>
    </w:p>
    <w:p>
      <w:pPr>
        <w:pStyle w:val="BodyText"/>
        <w:spacing w:before="173" w:line="364" w:lineRule="exact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调整期（</w:t>
      </w:r>
      <w:r>
        <w:rPr>
          <w:b/>
          <w:bCs/>
          <w:spacing w:val="-3"/>
          <w:position w:val="11"/>
          <w:sz w:val="18"/>
          <w:szCs w:val="18"/>
        </w:rPr>
        <w:t xml:space="preserve">2013-2015 </w:t>
      </w:r>
      <w:r>
        <w:rPr>
          <w:rFonts w:ascii="STXihei" w:eastAsia="STXihei" w:hAnsi="STXihei" w:cs="STXihei"/>
          <w:spacing w:val="-3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TXihei" w:eastAsia="STXihei" w:hAnsi="STXihei" w:cs="STXihei"/>
          <w:spacing w:val="-48"/>
          <w:w w:val="90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spacing w:val="-3"/>
          <w:position w:val="11"/>
          <w:sz w:val="18"/>
          <w:szCs w:val="18"/>
        </w:rPr>
        <w:t xml:space="preserve">随着 </w:t>
      </w:r>
      <w:r>
        <w:rPr>
          <w:spacing w:val="-3"/>
          <w:position w:val="11"/>
          <w:sz w:val="18"/>
          <w:szCs w:val="18"/>
        </w:rPr>
        <w:t xml:space="preserve">2012 </w:t>
      </w:r>
      <w:r>
        <w:rPr>
          <w:rFonts w:ascii="STXihei" w:eastAsia="STXihei" w:hAnsi="STXihei" w:cs="STXihei"/>
          <w:spacing w:val="-3"/>
          <w:position w:val="11"/>
          <w:sz w:val="18"/>
          <w:szCs w:val="18"/>
        </w:rPr>
        <w:t>年下半年开始白酒行</w:t>
      </w:r>
      <w:r>
        <w:rPr>
          <w:rFonts w:ascii="STXihei" w:eastAsia="STXihei" w:hAnsi="STXihei" w:cs="STXihei"/>
          <w:spacing w:val="-4"/>
          <w:position w:val="11"/>
          <w:sz w:val="18"/>
          <w:szCs w:val="18"/>
        </w:rPr>
        <w:t>业接连迎来“限制三公消费”、</w:t>
      </w:r>
    </w:p>
    <w:p>
      <w:pPr>
        <w:spacing w:before="1" w:line="196" w:lineRule="auto"/>
        <w:ind w:left="3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1"/>
          <w:sz w:val="18"/>
          <w:szCs w:val="18"/>
        </w:rPr>
        <w:t>“塑化剂”等事件的冲击，</w:t>
      </w:r>
      <w:r>
        <w:rPr>
          <w:rFonts w:ascii="STXihei" w:eastAsia="STXihei" w:hAnsi="STXihei" w:cs="STXihei"/>
          <w:spacing w:val="20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进入深度调整期，   高端酒市场实际成交价近乎减半，</w:t>
      </w:r>
      <w:r>
        <w:rPr>
          <w:rFonts w:ascii="STXihei" w:eastAsia="STXihei" w:hAnsi="STXihei" w:cs="STXihei"/>
          <w:spacing w:val="15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极大压</w:t>
      </w:r>
    </w:p>
    <w:p>
      <w:pPr>
        <w:pStyle w:val="BodyText"/>
        <w:spacing w:before="105" w:line="197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缩了次高端品牌的市场空间，在此阶段大多数次高端品牌收入年复合下滑幅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度超过 </w:t>
      </w:r>
      <w:r>
        <w:rPr>
          <w:spacing w:val="-3"/>
          <w:sz w:val="18"/>
          <w:szCs w:val="18"/>
        </w:rPr>
        <w:t>20%</w:t>
      </w:r>
      <w:r>
        <w:rPr>
          <w:rFonts w:ascii="STXihei" w:eastAsia="STXihei" w:hAnsi="STXihei" w:cs="STXihei"/>
          <w:spacing w:val="-3"/>
          <w:sz w:val="18"/>
          <w:szCs w:val="18"/>
        </w:rPr>
        <w:t>，</w:t>
      </w:r>
    </w:p>
    <w:p>
      <w:pPr>
        <w:spacing w:before="103" w:line="198" w:lineRule="auto"/>
        <w:ind w:left="1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仅有以剑南春为代表的品牌，</w:t>
      </w:r>
      <w:r>
        <w:rPr>
          <w:rFonts w:ascii="STXihei" w:eastAsia="STXihei" w:hAnsi="STXihei" w:cs="STXihei"/>
          <w:spacing w:val="2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受益于自身稳定的价格策略和坚实的品牌基础受影响相对</w:t>
      </w:r>
    </w:p>
    <w:p>
      <w:pPr>
        <w:spacing w:before="106" w:line="196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较小。</w:t>
      </w:r>
    </w:p>
    <w:p>
      <w:pPr>
        <w:pStyle w:val="BodyText"/>
        <w:spacing w:before="173" w:line="363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第二轮景气期（</w:t>
      </w:r>
      <w:r>
        <w:rPr>
          <w:b/>
          <w:bCs/>
          <w:spacing w:val="-1"/>
          <w:position w:val="11"/>
          <w:sz w:val="18"/>
          <w:szCs w:val="18"/>
        </w:rPr>
        <w:t xml:space="preserve">2016-2018 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年中</w:t>
      </w:r>
      <w:r>
        <w:rPr>
          <w:rFonts w:ascii="STXihei" w:eastAsia="STXihei" w:hAnsi="STXihei" w:cs="STXihei"/>
          <w:spacing w:val="-3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随着茅五泸等高端白酒率先走出调整期，批价开始</w:t>
      </w:r>
    </w:p>
    <w:p>
      <w:pPr>
        <w:spacing w:before="1" w:line="197" w:lineRule="auto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0"/>
          <w:sz w:val="18"/>
          <w:szCs w:val="18"/>
        </w:rPr>
        <w:t>上行，</w:t>
      </w:r>
      <w:r>
        <w:rPr>
          <w:rFonts w:ascii="STXihei" w:eastAsia="STXihei" w:hAnsi="STXihei" w:cs="STXihei"/>
          <w:spacing w:val="33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0"/>
          <w:sz w:val="18"/>
          <w:szCs w:val="18"/>
        </w:rPr>
        <w:t>和宏观经济逐步走出压力期，</w:t>
      </w:r>
      <w:r>
        <w:rPr>
          <w:rFonts w:ascii="STXihei" w:eastAsia="STXihei" w:hAnsi="STXihei" w:cs="STXihei"/>
          <w:spacing w:val="16"/>
          <w:w w:val="102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进入新一轮繁荣期，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次高端白酒景气期开启。本轮</w:t>
      </w:r>
    </w:p>
    <w:p>
      <w:pPr>
        <w:pStyle w:val="BodyText"/>
        <w:spacing w:before="105" w:line="197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 xml:space="preserve">次高端主流放量价格带提升至 </w:t>
      </w:r>
      <w:r>
        <w:rPr>
          <w:spacing w:val="-3"/>
          <w:sz w:val="18"/>
          <w:szCs w:val="18"/>
        </w:rPr>
        <w:t xml:space="preserve">300 </w:t>
      </w:r>
      <w:r>
        <w:rPr>
          <w:rFonts w:ascii="STXihei" w:eastAsia="STXihei" w:hAnsi="STXihei" w:cs="STXihei"/>
          <w:spacing w:val="-3"/>
          <w:sz w:val="18"/>
          <w:szCs w:val="18"/>
        </w:rPr>
        <w:t>元， 剑南春、水井坊、汾酒、习酒等的主要大单</w:t>
      </w:r>
      <w:r>
        <w:rPr>
          <w:rFonts w:ascii="STXihei" w:eastAsia="STXihei" w:hAnsi="STXihei" w:cs="STXihei"/>
          <w:spacing w:val="-4"/>
          <w:sz w:val="18"/>
          <w:szCs w:val="18"/>
        </w:rPr>
        <w:t>品高</w:t>
      </w:r>
    </w:p>
    <w:p>
      <w:pPr>
        <w:spacing w:before="106" w:line="195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速成长。</w:t>
      </w:r>
    </w:p>
    <w:p>
      <w:pPr>
        <w:pStyle w:val="BodyText"/>
        <w:spacing w:before="174" w:line="364" w:lineRule="exact"/>
        <w:ind w:left="17"/>
        <w:rPr>
          <w:rFonts w:ascii="STXihei" w:eastAsia="STXihei" w:hAnsi="STXihei" w:cs="STXihei"/>
          <w:sz w:val="18"/>
          <w:szCs w:val="18"/>
        </w:rPr>
        <w:sectPr>
          <w:headerReference w:type="default" r:id="rId90"/>
          <w:footerReference w:type="default" r:id="rId91"/>
          <w:type w:val="continuous"/>
          <w:pgSz w:w="11907" w:h="16839"/>
          <w:pgMar w:top="1350" w:right="749" w:bottom="970" w:left="842" w:header="851" w:footer="713" w:gutter="0"/>
          <w:pgNumType w:start="18"/>
          <w:cols w:num="1" w:space="708" w:equalWidth="0">
            <w:col w:w="10315" w:space="0"/>
          </w:cols>
        </w:sectPr>
      </w:pP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短暂调整期（</w:t>
      </w:r>
      <w:r>
        <w:rPr>
          <w:b/>
          <w:bCs/>
          <w:spacing w:val="-4"/>
          <w:position w:val="11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年中</w:t>
      </w:r>
      <w:r>
        <w:rPr>
          <w:b/>
          <w:bCs/>
          <w:spacing w:val="-4"/>
          <w:position w:val="11"/>
          <w:sz w:val="18"/>
          <w:szCs w:val="18"/>
        </w:rPr>
        <w:t xml:space="preserve">-2019 </w:t>
      </w: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年初</w:t>
      </w:r>
      <w:r>
        <w:rPr>
          <w:rFonts w:ascii="STXihei" w:eastAsia="STXihei" w:hAnsi="STXihei" w:cs="STXihei"/>
          <w:spacing w:val="-46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宏观层面受到贸易减少、“去杠杆”压力，次高端</w:t>
      </w:r>
    </w:p>
    <w:p>
      <w:pPr>
        <w:spacing w:line="197" w:lineRule="auto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消费场景和消费力均受到压力，价格带进入短期</w:t>
      </w:r>
      <w:r>
        <w:rPr>
          <w:rFonts w:ascii="STXihei" w:eastAsia="STXihei" w:hAnsi="STXihei" w:cs="STXihei"/>
          <w:spacing w:val="-8"/>
          <w:sz w:val="18"/>
          <w:szCs w:val="18"/>
        </w:rPr>
        <w:t>蛰伏期，</w:t>
      </w:r>
      <w:r>
        <w:rPr>
          <w:rFonts w:ascii="STXihei" w:eastAsia="STXihei" w:hAnsi="STXihei" w:cs="STXihei"/>
          <w:spacing w:val="14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酒企积极进行内部调整，</w:t>
      </w:r>
      <w:r>
        <w:rPr>
          <w:rFonts w:ascii="STXihei" w:eastAsia="STXihei" w:hAnsi="STXihei" w:cs="STXihei"/>
          <w:spacing w:val="14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在渠</w:t>
      </w:r>
    </w:p>
    <w:p>
      <w:pPr>
        <w:spacing w:before="105" w:line="197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道、品牌等方面更加成熟，为下一轮爆发蓄力。</w:t>
      </w:r>
    </w:p>
    <w:p>
      <w:pPr>
        <w:pStyle w:val="BodyText"/>
        <w:spacing w:before="173" w:line="363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第三轮景气期（</w:t>
      </w:r>
      <w:r>
        <w:rPr>
          <w:b/>
          <w:bCs/>
          <w:spacing w:val="-4"/>
          <w:position w:val="11"/>
          <w:sz w:val="18"/>
          <w:szCs w:val="18"/>
        </w:rPr>
        <w:t xml:space="preserve">2019-2021 </w:t>
      </w: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TXihei" w:eastAsia="STXihei" w:hAnsi="STXihei" w:cs="STXihei"/>
          <w:spacing w:val="-36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spacing w:val="-4"/>
          <w:position w:val="11"/>
          <w:sz w:val="18"/>
          <w:szCs w:val="18"/>
        </w:rPr>
        <w:t>宏观层面“去杠杆”变为“稳杠杆”，居民收入增加和</w:t>
      </w:r>
    </w:p>
    <w:p>
      <w:pPr>
        <w:spacing w:line="197" w:lineRule="auto"/>
        <w:ind w:left="2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五粮液、老窖价格上移为次高端带来“价格红利”</w:t>
      </w:r>
      <w:r>
        <w:rPr>
          <w:rFonts w:ascii="STXihei" w:eastAsia="STXihei" w:hAnsi="STXihei" w:cs="STXihei"/>
          <w:spacing w:val="-2"/>
          <w:sz w:val="18"/>
          <w:szCs w:val="18"/>
        </w:rPr>
        <w:t>，全国化渠道扩张下酒企实现快速增</w:t>
      </w:r>
    </w:p>
    <w:p>
      <w:pPr>
        <w:spacing w:before="104" w:line="198" w:lineRule="auto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长。本轮景气期中行业出现大单品价格提升和酱酒热两大趋</w:t>
      </w:r>
      <w:r>
        <w:rPr>
          <w:rFonts w:ascii="STXihei" w:eastAsia="STXihei" w:hAnsi="STXihei" w:cs="STXihei"/>
          <w:spacing w:val="-5"/>
          <w:sz w:val="18"/>
          <w:szCs w:val="18"/>
        </w:rPr>
        <w:t>势，</w:t>
      </w:r>
      <w:r>
        <w:rPr>
          <w:rFonts w:ascii="STXihei" w:eastAsia="STXihei" w:hAnsi="STXihei" w:cs="STXihei"/>
          <w:spacing w:val="11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有香型优势的和找到适</w:t>
      </w:r>
    </w:p>
    <w:p>
      <w:pPr>
        <w:pStyle w:val="BodyText"/>
        <w:spacing w:before="105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 xml:space="preserve">配全国化渠道扩张模式的酒企在 </w:t>
      </w:r>
      <w:r>
        <w:rPr>
          <w:spacing w:val="-1"/>
          <w:sz w:val="18"/>
          <w:szCs w:val="18"/>
        </w:rPr>
        <w:t xml:space="preserve">2021 </w:t>
      </w:r>
      <w:r>
        <w:rPr>
          <w:rFonts w:ascii="STXihei" w:eastAsia="STXihei" w:hAnsi="STXihei" w:cs="STXihei"/>
          <w:spacing w:val="-1"/>
          <w:sz w:val="18"/>
          <w:szCs w:val="18"/>
        </w:rPr>
        <w:t>年成功实现快速扩张。</w:t>
      </w:r>
    </w:p>
    <w:p>
      <w:pPr>
        <w:pStyle w:val="BodyText"/>
        <w:spacing w:before="173" w:line="363" w:lineRule="exact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新一轮调整期（</w:t>
      </w:r>
      <w:r>
        <w:rPr>
          <w:b/>
          <w:bCs/>
          <w:position w:val="11"/>
          <w:sz w:val="18"/>
          <w:szCs w:val="18"/>
        </w:rPr>
        <w:t xml:space="preserve">2022  </w:t>
      </w: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年以来</w:t>
      </w:r>
      <w:r>
        <w:rPr>
          <w:rFonts w:ascii="STXihei" w:eastAsia="STXihei" w:hAnsi="STXihei" w:cs="STXihei"/>
          <w:spacing w:val="-4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TXihei" w:eastAsia="STXihei" w:hAnsi="STXihei" w:cs="STXihei"/>
          <w:position w:val="11"/>
          <w:sz w:val="18"/>
          <w:szCs w:val="18"/>
        </w:rPr>
        <w:t>酒企在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繁荣惯性的作用下进行了提价、压库存等动作，</w:t>
      </w:r>
    </w:p>
    <w:p>
      <w:pPr>
        <w:spacing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0"/>
          <w:sz w:val="18"/>
          <w:szCs w:val="18"/>
        </w:rPr>
        <w:t>在消费场景受抑制等外部环境的扰动下，   出现了动销不足，</w:t>
      </w:r>
      <w:r>
        <w:rPr>
          <w:rFonts w:ascii="STXihei" w:eastAsia="STXihei" w:hAnsi="STXihei" w:cs="STXihei"/>
          <w:spacing w:val="15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库存逐渐累积的</w:t>
      </w:r>
      <w:r>
        <w:rPr>
          <w:rFonts w:ascii="STXihei" w:eastAsia="STXihei" w:hAnsi="STXihei" w:cs="STXihei"/>
          <w:spacing w:val="-11"/>
          <w:sz w:val="18"/>
          <w:szCs w:val="18"/>
        </w:rPr>
        <w:t>情况，</w:t>
      </w:r>
      <w:r>
        <w:rPr>
          <w:rFonts w:ascii="STXihei" w:eastAsia="STXihei" w:hAnsi="STXihei" w:cs="STXihei"/>
          <w:spacing w:val="15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行业</w:t>
      </w:r>
    </w:p>
    <w:p>
      <w:pPr>
        <w:spacing w:before="107" w:line="160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再次进入调整期。</w:t>
      </w:r>
    </w:p>
    <w:p>
      <w:pPr>
        <w:spacing w:line="160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92"/>
          <w:footerReference w:type="default" r:id="rId93"/>
          <w:type w:val="nextPage"/>
          <w:pgSz w:w="11907" w:h="16839"/>
          <w:pgMar w:top="1350" w:right="749" w:bottom="970" w:left="842" w:header="851" w:footer="713" w:gutter="0"/>
          <w:pgNumType w:start="19"/>
          <w:cols w:num="1" w:space="708" w:equalWidth="0">
            <w:col w:w="10315" w:space="0"/>
          </w:cols>
          <w:titlePg w:val="0"/>
        </w:sectPr>
      </w:pPr>
    </w:p>
    <w:p>
      <w:pPr>
        <w:spacing w:before="109"/>
      </w:pPr>
      <w:r>
        <w:pict>
          <v:rect id="_x0000_s1090" style="width:16.65pt;height:3.2pt;margin-top:463.14pt;margin-left:47.33pt;mso-position-horizontal-relative:page;mso-position-vertical-relative:page;position:absolute;z-index:251725824" o:allowincell="f" filled="t" fillcolor="#e10000" stroked="f"/>
        </w:pict>
      </w:r>
      <w:r>
        <w:pict>
          <v:rect id="_x0000_s1091" style="width:16.65pt;height:3.8pt;margin-top:471.98pt;margin-left:47.33pt;mso-position-horizontal-relative:page;mso-position-vertical-relative:page;position:absolute;z-index:251721728" o:allowincell="f" filled="t" fillcolor="#ffc000" stroked="f"/>
        </w:pict>
      </w:r>
      <w:r>
        <w:pict>
          <v:rect id="_x0000_s1092" style="width:16.65pt;height:3.8pt;margin-top:481.46pt;margin-left:47.33pt;mso-position-horizontal-relative:page;mso-position-vertical-relative:page;position:absolute;z-index:251723776" o:allowincell="f" filled="t" fillcolor="#fabe78" stroked="f"/>
        </w:pict>
      </w:r>
      <w:r>
        <w:pict>
          <v:rect id="_x0000_s1093" style="width:16.65pt;height:3.2pt;margin-top:490.93pt;margin-left:47.33pt;mso-position-horizontal-relative:page;mso-position-vertical-relative:page;position:absolute;z-index:251724800" o:allowincell="f" filled="t" fillcolor="#785546" stroked="f"/>
        </w:pict>
      </w:r>
      <w:r>
        <w:pict>
          <v:rect id="_x0000_s1094" style="width:16.65pt;height:3.8pt;margin-top:499.77pt;margin-left:47.33pt;mso-position-horizontal-relative:page;mso-position-vertical-relative:page;position:absolute;z-index:251722752" o:allowincell="f" filled="t" fillcolor="#fa6400" stroked="f"/>
        </w:pict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4199128</wp:posOffset>
            </wp:positionV>
            <wp:extent cx="4313808" cy="6350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3138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6494526</wp:posOffset>
            </wp:positionV>
            <wp:extent cx="4313808" cy="6350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3138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8"/>
      </w:pPr>
    </w:p>
    <w:p>
      <w:pPr>
        <w:sectPr>
          <w:headerReference w:type="default" r:id="rId95"/>
          <w:footerReference w:type="default" r:id="rId96"/>
          <w:pgSz w:w="11907" w:h="16839"/>
          <w:pgMar w:top="1350" w:right="749" w:bottom="970" w:left="566" w:header="851" w:footer="713" w:gutter="0"/>
          <w:pgNumType w:start="20"/>
          <w:cols w:num="1" w:space="708" w:equalWidth="0">
            <w:col w:w="10591" w:space="0"/>
          </w:cols>
        </w:sectPr>
      </w:pPr>
    </w:p>
    <w:tbl>
      <w:tblPr>
        <w:tblStyle w:val="TableNormal4"/>
        <w:tblW w:w="4961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7"/>
        <w:gridCol w:w="4484"/>
      </w:tblGrid>
      <w:tr>
        <w:tblPrEx>
          <w:tblW w:w="4961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8"/>
        </w:trPr>
        <w:tc>
          <w:tcPr>
            <w:tcW w:w="4961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197" w:lineRule="auto"/>
              <w:ind w:left="1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</w:t>
            </w:r>
            <w:r>
              <w:rPr>
                <w:spacing w:val="-1"/>
                <w:sz w:val="16"/>
                <w:szCs w:val="16"/>
              </w:rPr>
              <w:t xml:space="preserve">：次高端酒企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2010-2012 </w:t>
            </w:r>
            <w:r>
              <w:rPr>
                <w:spacing w:val="-1"/>
                <w:sz w:val="16"/>
                <w:szCs w:val="16"/>
              </w:rPr>
              <w:t>年收入同比增速快于行业整体</w:t>
            </w:r>
          </w:p>
        </w:tc>
      </w:tr>
      <w:tr>
        <w:tblPrEx>
          <w:tblW w:w="4961" w:type="dxa"/>
          <w:tblInd w:w="285" w:type="dxa"/>
          <w:tblLayout w:type="fixed"/>
        </w:tblPrEx>
        <w:trPr>
          <w:trHeight w:val="2888"/>
        </w:trPr>
        <w:tc>
          <w:tcPr>
            <w:tcW w:w="47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9" w:line="199" w:lineRule="auto"/>
              <w:ind w:left="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190</w:t>
            </w:r>
            <w:r>
              <w:rPr>
                <w:rFonts w:ascii="Arial" w:eastAsia="Arial" w:hAnsi="Arial" w:cs="Arial"/>
                <w:spacing w:val="-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%</w:t>
            </w:r>
          </w:p>
          <w:p>
            <w:pPr>
              <w:spacing w:before="257" w:line="199" w:lineRule="auto"/>
              <w:ind w:left="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150</w:t>
            </w:r>
            <w:r>
              <w:rPr>
                <w:rFonts w:ascii="Arial" w:eastAsia="Arial" w:hAnsi="Arial" w:cs="Arial"/>
                <w:spacing w:val="-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%</w:t>
            </w:r>
          </w:p>
          <w:p>
            <w:pPr>
              <w:spacing w:before="256" w:line="200" w:lineRule="auto"/>
              <w:ind w:left="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110</w:t>
            </w:r>
            <w:r>
              <w:rPr>
                <w:rFonts w:ascii="Arial" w:eastAsia="Arial" w:hAnsi="Arial" w:cs="Arial"/>
                <w:spacing w:val="-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%</w:t>
            </w:r>
          </w:p>
          <w:p>
            <w:pPr>
              <w:spacing w:before="256" w:line="200" w:lineRule="auto"/>
              <w:ind w:left="17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70%</w:t>
            </w:r>
          </w:p>
          <w:p>
            <w:pPr>
              <w:spacing w:before="258" w:line="199" w:lineRule="auto"/>
              <w:ind w:left="16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30%</w:t>
            </w:r>
          </w:p>
          <w:p>
            <w:pPr>
              <w:spacing w:before="258" w:line="199" w:lineRule="auto"/>
              <w:ind w:left="12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-10%</w:t>
            </w:r>
          </w:p>
        </w:tc>
        <w:tc>
          <w:tcPr>
            <w:tcW w:w="44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4" w:line="1808" w:lineRule="exact"/>
              <w:ind w:firstLine="932"/>
            </w:pPr>
            <w:r>
              <w:drawing>
                <wp:anchor distT="0" distB="0" distL="0" distR="0" simplePos="0" relativeHeight="251727872" behindDoc="1" locked="0" layoutInCell="1" allowOverlap="1">
                  <wp:simplePos x="0" y="0"/>
                  <wp:positionH relativeFrom="rightMargin">
                    <wp:posOffset>-2724526</wp:posOffset>
                  </wp:positionH>
                  <wp:positionV relativeFrom="topMargin">
                    <wp:posOffset>980904</wp:posOffset>
                  </wp:positionV>
                  <wp:extent cx="1882739" cy="235704"/>
                  <wp:effectExtent l="0" t="0" r="0" b="0"/>
                  <wp:wrapNone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739" cy="235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5" style="width:77.55pt;height:44.55pt;margin-top:51.26pt;margin-left:-135.92pt;mso-position-horizontal-relative:right-margin-area;mso-position-vertical-relative:top-margin-area;position:absolute;z-index:-251587584" coordorigin="0,0" coordsize="1551,890" path="m7,7l122,7l122,883l7,883l7,7xm1428,259l1543,259l1543,883l1428,883l1428,259xe" filled="f" strokecolor="white" strokeweight="0.73pt"/>
              </w:pict>
            </w:r>
            <w:r>
              <w:pict>
                <v:shape id="_x0000_s1096" style="width:148.65pt;height:33.45pt;margin-top:62.39pt;margin-left:-199.81pt;mso-position-horizontal-relative:right-margin-area;mso-position-vertical-relative:top-margin-area;position:absolute;z-index:-251589632" coordorigin="0,0" coordsize="2972,669" path="m7,393l122,393l122,660l7,660l7,393xm1428,7l1543,7l1543,660l1428,660l1428,7xm2850,452l2964,452l2964,660l2850,660l2850,452xe" filled="f" strokecolor="white" strokeweight="0.73pt"/>
              </w:pict>
            </w:r>
            <w:r>
              <w:pict>
                <v:shape id="_x0000_s1097" style="width:148.65pt;height:34.9pt;margin-top:60.91pt;margin-left:-184.74pt;mso-position-horizontal-relative:right-margin-area;mso-position-vertical-relative:top-margin-area;position:absolute;z-index:251740160" coordorigin="0,0" coordsize="2972,698" path="m7,7l122,7l122,690l7,690l7,7xm1428,22l1543,22l1543,690l1428,690l1428,22xm2850,423l2964,423l2964,690l2850,690l2850,423xe" filled="f" strokecolor="white" strokeweight="0.73pt"/>
              </w:pict>
            </w:r>
            <w:r>
              <w:pict>
                <v:shape id="_x0000_s1098" style="width:147.9pt;height:42.35pt;margin-top:53.48pt;margin-left:-191.92pt;mso-position-horizontal-relative:right-margin-area;mso-position-vertical-relative:top-margin-area;position:absolute;z-index:251739136" coordorigin="0,0" coordsize="2957,846" path="m7,423l122,423l122,838l7,838l7,423xm1414,170l1543,170l1543,838l1414,838l1414,170xm2835,7l2950,7l2950,838l2835,838l2835,7xe" filled="f" strokecolor="white" strokeweight="0.73pt"/>
              </w:pict>
            </w:r>
            <w:r>
              <w:pict>
                <v:shape id="_x0000_s1099" style="width:203.4pt;height:6.7pt;margin-top:77.24pt;margin-left:-215.25pt;mso-position-horizontal-relative:right-margin-area;mso-position-vertical-relative:top-margin-area;position:absolute;z-index:251753472" coordorigin="0,0" coordsize="4067,133" path="m1364,7l2689,7m,96l1243,96m2742,126l4067,126e" filled="f" strokecolor="red" strokeweight="0.73pt">
                  <v:stroke joinstyle="miter" dashstyle="dash"/>
                </v:shape>
              </w:pict>
            </w:r>
            <w:r>
              <w:rPr>
                <w:position w:val="-36"/>
              </w:rPr>
              <w:drawing>
                <wp:inline distT="0" distB="0" distL="0" distR="0">
                  <wp:extent cx="1987580" cy="1147805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80" cy="114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07" w:lineRule="exact"/>
              <w:ind w:left="186"/>
            </w:pPr>
            <w:r>
              <w:pict>
                <v:group id="_x0000_s1100" style="width:213.95pt;height:95.8pt;margin-top:-90.37pt;margin-left:2.85pt;position:absolute;z-index:251752448" coordorigin="0,0" coordsize="4278,1916" filled="f" stroked="f">
                  <v:shape id="_x0000_s1101" style="width:2972;height:400;left:1177;position:absolute;top:1410" coordorigin="0,0" coordsize="2972,400" path="m7,96l122,96l122,393l7,393l7,96xm1428,7l1543,7l1543,393l1428,393l1428,7xm2850,141l2964,141l2964,393l2850,393l2850,141xe" filled="f" strokecolor="white" strokeweight="0.73pt"/>
                  <v:shape id="_x0000_s1102" style="width:4278;height:1916;position:absolute" coordorigin="0,0" coordsize="4278,1916" path="m7,1907l7,7m7,1907l50,1907m7,1521l50,1521m7,1135l50,1135m7,764l50,764m7,378l50,378m7,7l50,7m7,1803l4271,1803m7,1759l7,1803m1428,1759l1428,1803m2850,1759l2850,1803m4271,1759l4271,1803e" filled="f" strokecolor="black" strokeweight="0.73pt"/>
                </v:group>
              </w:pict>
            </w:r>
            <w:r>
              <w:drawing>
                <wp:anchor distT="0" distB="0" distL="0" distR="0" simplePos="0" relativeHeight="251729920" behindDoc="1" locked="0" layoutInCell="1" allowOverlap="1">
                  <wp:simplePos x="0" y="0"/>
                  <wp:positionH relativeFrom="column">
                    <wp:posOffset>122812</wp:posOffset>
                  </wp:positionH>
                  <wp:positionV relativeFrom="paragraph">
                    <wp:posOffset>-558583</wp:posOffset>
                  </wp:positionV>
                  <wp:extent cx="2543716" cy="622212"/>
                  <wp:effectExtent l="0" t="0" r="0" b="0"/>
                  <wp:wrapNone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716" cy="622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"/>
              </w:rPr>
              <w:drawing>
                <wp:inline distT="0" distB="0" distL="0" distR="0">
                  <wp:extent cx="91179" cy="68339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79" cy="68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6" w:line="203" w:lineRule="auto"/>
              <w:ind w:left="63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0                                201</w:t>
            </w:r>
            <w:r>
              <w:rPr>
                <w:rFonts w:ascii="Arial" w:eastAsia="Arial" w:hAnsi="Arial" w:cs="Arial"/>
                <w:spacing w:val="-9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 xml:space="preserve">1                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               201</w:t>
            </w:r>
            <w:r>
              <w:rPr>
                <w:rFonts w:ascii="Arial" w:eastAsia="Arial" w:hAnsi="Arial" w:cs="Arial"/>
                <w:spacing w:val="-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2</w:t>
            </w:r>
          </w:p>
          <w:p>
            <w:pPr>
              <w:spacing w:before="158" w:line="187" w:lineRule="auto"/>
              <w:ind w:left="4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pict>
                <v:shape id="_x0000_s1103" type="#_x0000_t202" style="width:34.6pt;height:19.65pt;margin-top:6.93pt;margin-left:152.61pt;position:absolute;z-index:25174732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7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63833" cy="56581"/>
                              <wp:effectExtent l="0" t="0" r="0" b="0"/>
                              <wp:docPr id="154" name="IM 15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4" name="IM 15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833" cy="5658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5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剑南春</w:t>
                        </w:r>
                      </w:p>
                      <w:p>
                        <w:pPr>
                          <w:spacing w:before="6" w:line="185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2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63833" cy="56568"/>
                              <wp:effectExtent l="0" t="0" r="0" b="0"/>
                              <wp:docPr id="156" name="IM 1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6" name="IM 15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833" cy="5656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7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>山西汾酒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4" type="#_x0000_t202" style="width:59.65pt;height:28.55pt;margin-top:6.94pt;margin-left:77.23pt;position:absolute;z-index:2517463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705" cy="56568"/>
                              <wp:effectExtent l="0" t="0" r="0" b="0"/>
                              <wp:docPr id="158" name="IM 1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8" name="IM 1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705" cy="5656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5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舍得</w:t>
                        </w:r>
                      </w:p>
                      <w:p>
                        <w:pPr>
                          <w:spacing w:line="188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2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705" cy="56568"/>
                              <wp:effectExtent l="0" t="0" r="0" b="0"/>
                              <wp:docPr id="160" name="IM 16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" name="IM 16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705" cy="5656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>郎酒</w:t>
                        </w:r>
                      </w:p>
                      <w:p>
                        <w:pPr>
                          <w:spacing w:before="3" w:line="188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2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705" cy="56567"/>
                              <wp:effectExtent l="0" t="0" r="0" b="0"/>
                              <wp:docPr id="162" name="IM 16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2" name="IM 16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705" cy="5656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4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规模以上白酒企业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54711" cy="56568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1" cy="56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>水井坊</w:t>
            </w:r>
          </w:p>
          <w:p>
            <w:pPr>
              <w:spacing w:before="5" w:line="187" w:lineRule="auto"/>
              <w:ind w:left="4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13"/>
                <w:szCs w:val="13"/>
              </w:rPr>
              <w:drawing>
                <wp:inline distT="0" distB="0" distL="0" distR="0">
                  <wp:extent cx="54711" cy="56567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1" cy="56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>酒鬼酒</w:t>
            </w:r>
          </w:p>
          <w:p>
            <w:pPr>
              <w:spacing w:before="5" w:line="187" w:lineRule="auto"/>
              <w:ind w:left="4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13"/>
                <w:szCs w:val="13"/>
              </w:rPr>
              <w:drawing>
                <wp:inline distT="0" distB="0" distL="0" distR="0">
                  <wp:extent cx="54711" cy="56567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1" cy="56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>洋河股份</w:t>
            </w:r>
          </w:p>
        </w:tc>
      </w:tr>
      <w:tr>
        <w:tblPrEx>
          <w:tblW w:w="4961" w:type="dxa"/>
          <w:tblInd w:w="285" w:type="dxa"/>
          <w:tblLayout w:type="fixed"/>
        </w:tblPrEx>
        <w:trPr>
          <w:trHeight w:val="579"/>
        </w:trPr>
        <w:tc>
          <w:tcPr>
            <w:tcW w:w="4961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48" w:line="292" w:lineRule="exact"/>
              <w:ind w:left="11"/>
              <w:rPr>
                <w:sz w:val="13"/>
                <w:szCs w:val="13"/>
              </w:rPr>
            </w:pPr>
            <w:r>
              <w:rPr>
                <w:spacing w:val="2"/>
                <w:position w:val="13"/>
                <w:sz w:val="13"/>
                <w:szCs w:val="13"/>
              </w:rPr>
              <w:t>资料来源：</w:t>
            </w:r>
            <w:r>
              <w:rPr>
                <w:spacing w:val="-10"/>
                <w:position w:val="13"/>
                <w:sz w:val="13"/>
                <w:szCs w:val="13"/>
              </w:rPr>
              <w:t xml:space="preserve"> </w:t>
            </w:r>
            <w:r>
              <w:rPr>
                <w:spacing w:val="2"/>
                <w:position w:val="13"/>
                <w:sz w:val="13"/>
                <w:szCs w:val="13"/>
              </w:rPr>
              <w:t>公司公告，  酒业新闻网，   中国网，酒志网，  食品网，</w:t>
            </w:r>
            <w:r>
              <w:rPr>
                <w:spacing w:val="1"/>
                <w:position w:val="13"/>
                <w:sz w:val="13"/>
                <w:szCs w:val="13"/>
              </w:rPr>
              <w:t>酒说，酒业家，</w:t>
            </w:r>
          </w:p>
          <w:p>
            <w:pPr>
              <w:pStyle w:val="TableText"/>
              <w:spacing w:line="168" w:lineRule="auto"/>
              <w:ind w:left="10"/>
              <w:rPr>
                <w:sz w:val="13"/>
                <w:szCs w:val="13"/>
              </w:rPr>
            </w:pPr>
            <w:r>
              <w:rPr>
                <w:spacing w:val="7"/>
                <w:sz w:val="13"/>
                <w:szCs w:val="13"/>
              </w:rPr>
              <w:t>云酒头条，</w:t>
            </w:r>
            <w:r>
              <w:rPr>
                <w:spacing w:val="-10"/>
                <w:sz w:val="13"/>
                <w:szCs w:val="13"/>
              </w:rPr>
              <w:t xml:space="preserve"> </w:t>
            </w:r>
            <w:r>
              <w:rPr>
                <w:spacing w:val="7"/>
                <w:sz w:val="13"/>
                <w:szCs w:val="13"/>
              </w:rPr>
              <w:t>长江证券研究所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tbl>
      <w:tblPr>
        <w:tblStyle w:val="TableNormal4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7"/>
        <w:gridCol w:w="4494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7"/>
        </w:trPr>
        <w:tc>
          <w:tcPr>
            <w:tcW w:w="4961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196" w:lineRule="auto"/>
              <w:ind w:left="1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5</w:t>
            </w:r>
            <w:r>
              <w:rPr>
                <w:spacing w:val="-1"/>
                <w:sz w:val="16"/>
                <w:szCs w:val="16"/>
              </w:rPr>
              <w:t xml:space="preserve">：次高端酒企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2013-2015 </w:t>
            </w:r>
            <w:r>
              <w:rPr>
                <w:spacing w:val="-1"/>
                <w:sz w:val="16"/>
                <w:szCs w:val="16"/>
              </w:rPr>
              <w:t>年收入同比增速承压明显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888"/>
        </w:trPr>
        <w:tc>
          <w:tcPr>
            <w:tcW w:w="46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2" w:line="199" w:lineRule="auto"/>
              <w:ind w:left="8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120</w:t>
            </w:r>
            <w:r>
              <w:rPr>
                <w:rFonts w:ascii="Arial" w:eastAsia="Arial" w:hAnsi="Arial" w:cs="Arial"/>
                <w:spacing w:val="-18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>%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38" w:line="199" w:lineRule="auto"/>
              <w:ind w:left="14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80%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37" w:line="198" w:lineRule="auto"/>
              <w:ind w:left="14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40%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37" w:line="198" w:lineRule="auto"/>
              <w:ind w:left="22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0%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38" w:line="198" w:lineRule="auto"/>
              <w:ind w:left="1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-40%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37" w:line="198" w:lineRule="auto"/>
              <w:ind w:left="1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-80%</w:t>
            </w:r>
          </w:p>
        </w:tc>
        <w:tc>
          <w:tcPr>
            <w:tcW w:w="449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>
              <w:pict>
                <v:rect id="_x0000_s1105" style="width:0.75pt;height:38.4pt;margin-top:69.06pt;margin-left:-215.57pt;mso-position-horizontal-relative:right-margin-area;mso-position-vertical-relative:top-margin-area;position:absolute;z-index:251742208" filled="t" fillcolor="white" stroked="f"/>
              </w:pict>
            </w:r>
            <w:r>
              <w:pict>
                <v:rect id="_x0000_s1106" style="width:5.8pt;height:0.75pt;margin-top:63.52pt;margin-left:-23.7pt;mso-position-horizontal-relative:right-margin-area;mso-position-vertical-relative:top-margin-area;position:absolute;z-index:251748352" filled="t" fillcolor="white" stroked="f"/>
              </w:pict>
            </w:r>
            <w:r>
              <w:pict>
                <v:rect id="_x0000_s1107" style="width:5.8pt;height:0.75pt;margin-top:62.78pt;margin-left:-161.22pt;mso-position-horizontal-relative:right-margin-area;mso-position-vertical-relative:top-margin-area;position:absolute;z-index:251751424" filled="t" fillcolor="white" stroked="f"/>
              </w:pict>
            </w:r>
            <w:r>
              <w:pict>
                <v:shape id="_x0000_s1108" style="width:13.7pt;height:0.75pt;margin-top:68.69pt;margin-left:-61.85pt;mso-position-horizontal-relative:right-margin-area;mso-position-vertical-relative:top-margin-area;position:absolute;z-index:-251584512" coordorigin="0,0" coordsize="273,15" path="m115,7l,7m273,7l158,7e" filled="f" strokecolor="white" strokeweight="0.73pt"/>
              </w:pict>
            </w:r>
            <w:r>
              <w:pict>
                <v:shape id="_x0000_s1109" style="width:13.7pt;height:0.75pt;margin-top:68.69pt;margin-left:-207.29pt;mso-position-horizontal-relative:right-margin-area;mso-position-vertical-relative:top-margin-area;position:absolute;z-index:251743232" coordorigin="0,0" coordsize="273,15" path="m115,7l,7m273,7l143,7e" filled="f" strokecolor="white" strokeweight="0.73pt"/>
              </w:pict>
            </w:r>
            <w:r>
              <w:pict>
                <v:shape id="_x0000_s1110" style="width:13.7pt;height:0.75pt;margin-top:68.69pt;margin-left:-134.57pt;mso-position-horizontal-relative:right-margin-area;mso-position-vertical-relative:top-margin-area;position:absolute;z-index:-251583488" coordorigin="0,0" coordsize="273,15" path="m115,7l,7m273,7l158,7e" filled="f" strokecolor="white" strokeweight="0.73pt"/>
              </w:pict>
            </w:r>
            <w:r>
              <w:drawing>
                <wp:anchor distT="0" distB="0" distL="0" distR="0" simplePos="0" relativeHeight="251734016" behindDoc="1" locked="0" layoutInCell="1" allowOverlap="1">
                  <wp:simplePos x="0" y="0"/>
                  <wp:positionH relativeFrom="rightMargin">
                    <wp:posOffset>-2440597</wp:posOffset>
                  </wp:positionH>
                  <wp:positionV relativeFrom="topMargin">
                    <wp:posOffset>154894</wp:posOffset>
                  </wp:positionV>
                  <wp:extent cx="1929367" cy="1153514"/>
                  <wp:effectExtent l="0" t="0" r="0" b="0"/>
                  <wp:wrapNone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367" cy="1153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1" style="width:6.5pt;height:16.65pt;margin-top:52.45pt;margin-left:-54.29pt;mso-position-horizontal-relative:right-margin-area;mso-position-vertical-relative:top-margin-area;position:absolute;z-index:-251579392" coordorigin="0,0" coordsize="130,332" path="m7,7l122,7l122,332m7,332l7,7e" filled="f" strokecolor="white" strokeweight="0.73pt"/>
              </w:pict>
            </w:r>
            <w:r>
              <w:pict>
                <v:shape id="_x0000_s1112" style="width:7.25pt;height:57.25pt;margin-top:11.83pt;margin-left:-47.09pt;mso-position-horizontal-relative:right-margin-area;mso-position-vertical-relative:top-margin-area;position:absolute;z-index:-251578368" coordorigin="0,0" coordsize="145,1145" path="m7,7l136,7l136,1144m7,1144l7,7e" filled="f" strokecolor="white" strokeweight="0.73pt"/>
              </w:pict>
            </w:r>
            <w:r>
              <w:pict>
                <v:shape id="_x0000_s1113" style="width:6.5pt;height:17.4pt;margin-top:51.71pt;margin-left:-39.18pt;mso-position-horizontal-relative:right-margin-area;mso-position-vertical-relative:top-margin-area;position:absolute;z-index:-251580416" coordorigin="0,0" coordsize="130,347" path="m7,7l122,7l122,347m7,347l7,7e" filled="f" strokecolor="white" strokeweight="0.73pt"/>
              </w:pict>
            </w:r>
            <w:r>
              <w:pict>
                <v:shape id="_x0000_s1114" style="width:7.25pt;height:18.85pt;margin-top:50.23pt;margin-left:-31.98pt;mso-position-horizontal-relative:right-margin-area;mso-position-vertical-relative:top-margin-area;position:absolute;z-index:251749376" coordorigin="0,0" coordsize="145,377" path="m7,7l136,7l136,376m7,376l7,7e" filled="f" strokecolor="white" strokeweight="0.73pt"/>
              </w:pict>
            </w:r>
            <w:r>
              <w:pict>
                <v:shape id="_x0000_s1115" style="width:2.9pt;height:106.35pt;margin-top:5.18pt;margin-left:-222.05pt;mso-position-horizontal-relative:right-margin-area;mso-position-vertical-relative:top-margin-area;position:absolute;z-index:251741184" coordorigin="0,0" coordsize="58,2126" path="m7,2119l7,7m7,2119l50,2119m7,1691l50,1691m7,1277l50,1277m7,849l50,849m7,435l50,435m7,7l50,7e" filled="f" strokecolor="black" strokeweight="0.73pt"/>
              </w:pict>
            </w:r>
            <w:r>
              <w:drawing>
                <wp:anchor distT="0" distB="0" distL="0" distR="0" simplePos="0" relativeHeight="251730944" behindDoc="1" locked="0" layoutInCell="1" allowOverlap="1">
                  <wp:simplePos x="0" y="0"/>
                  <wp:positionH relativeFrom="rightMargin">
                    <wp:posOffset>-2733180</wp:posOffset>
                  </wp:positionH>
                  <wp:positionV relativeFrom="topMargin">
                    <wp:posOffset>877023</wp:posOffset>
                  </wp:positionV>
                  <wp:extent cx="2025368" cy="492372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5368" cy="492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0400" behindDoc="0" locked="0" layoutInCell="1" allowOverlap="1">
                  <wp:simplePos x="0" y="0"/>
                  <wp:positionH relativeFrom="rightMargin">
                    <wp:posOffset>-2820053</wp:posOffset>
                  </wp:positionH>
                  <wp:positionV relativeFrom="topMargin">
                    <wp:posOffset>802009</wp:posOffset>
                  </wp:positionV>
                  <wp:extent cx="2779715" cy="79741"/>
                  <wp:effectExtent l="0" t="0" r="0" b="0"/>
                  <wp:wrapNone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715" cy="79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35040" behindDoc="1" locked="0" layoutInCell="1" allowOverlap="1">
                  <wp:simplePos x="0" y="0"/>
                  <wp:positionH relativeFrom="rightMargin">
                    <wp:posOffset>-2541168</wp:posOffset>
                  </wp:positionH>
                  <wp:positionV relativeFrom="topMargin">
                    <wp:posOffset>670717</wp:posOffset>
                  </wp:positionV>
                  <wp:extent cx="1929355" cy="365734"/>
                  <wp:effectExtent l="0" t="0" r="0" b="0"/>
                  <wp:wrapNone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355" cy="365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1093" w:lineRule="exact"/>
              <w:ind w:firstLine="643"/>
            </w:pPr>
            <w:r>
              <w:rPr>
                <w:position w:val="-21"/>
              </w:rPr>
              <w:pict>
                <v:group id="_x0000_i1116" style="width:174.6pt;height:54.7pt;mso-position-horizontal-relative:char;mso-position-vertical-relative:line" coordorigin="0,0" coordsize="3492,1094" filled="f" stroked="f">
                  <v:shape id="_x0000_s1117" type="#_x0000_t75" style="width:3327;height:1079;left:165;position:absolute" filled="f" stroked="f">
                    <v:imagedata r:id="rId113" o:title=""/>
                  </v:shape>
                  <v:rect id="_x0000_s1118" style="width:15;height:575;left:1584;position:absolute;top:369" filled="t" fillcolor="white" stroked="f"/>
                  <v:rect id="_x0000_s1119" style="width:15;height:562;left:1756;position:absolute;top:369" filled="t" fillcolor="white" stroked="f"/>
                  <v:shape id="_x0000_s1120" type="#_x0000_t202" style="width:487;height:756;left:1434;position:absolute;top:349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4"/>
                            <w:tblW w:w="436" w:type="dxa"/>
                            <w:tblInd w:w="25" w:type="dxa"/>
                            <w:tbl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  <w:insideH w:val="single" w:sz="4" w:space="0" w:color="FFFFFF"/>
                              <w:insideV w:val="single" w:sz="4" w:space="0" w:color="FFFFFF"/>
                            </w:tblBorders>
                            <w:tblLayout w:type="fixed"/>
                          </w:tblPr>
                          <w:tblGrid>
                            <w:gridCol w:w="162"/>
                            <w:gridCol w:w="112"/>
                            <w:gridCol w:w="162"/>
                          </w:tblGrid>
                          <w:tr>
                            <w:tblPrEx>
                              <w:tblW w:w="436" w:type="dxa"/>
                              <w:tblInd w:w="25" w:type="dxa"/>
                              <w:tblBorders>
                                <w:top w:val="single" w:sz="4" w:space="0" w:color="FFFFFF"/>
                                <w:left w:val="single" w:sz="4" w:space="0" w:color="FFFFFF"/>
                                <w:bottom w:val="single" w:sz="4" w:space="0" w:color="FFFFFF"/>
                                <w:right w:val="single" w:sz="4" w:space="0" w:color="FFFFFF"/>
                                <w:insideH w:val="single" w:sz="4" w:space="0" w:color="FFFFFF"/>
                                <w:insideV w:val="single" w:sz="4" w:space="0" w:color="FFFFFF"/>
                              </w:tblBorders>
                              <w:tblLayout w:type="fixed"/>
                            </w:tblPrEx>
                            <w:trPr>
                              <w:trHeight w:val="561"/>
                            </w:trPr>
                            <w:tc>
                              <w:tcPr>
                                <w:tcW w:w="162" w:type="dxa"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before="110" w:line="202" w:lineRule="auto"/>
                                  <w:rPr>
                                    <w:rFonts w:ascii="Arial" w:eastAsia="Arial" w:hAnsi="Arial" w:cs="Arial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3"/>
                                    <w:sz w:val="13"/>
                                    <w:szCs w:val="13"/>
                                  </w:rPr>
                                  <w:t>20</w:t>
                                </w:r>
                              </w:p>
                            </w:tc>
                            <w:tc>
                              <w:tcPr>
                                <w:tcW w:w="112" w:type="dxa"/>
                                <w:vMerge w:val="restart"/>
                                <w:tcBorders>
                                  <w:top w:val="nil"/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2" w:type="dxa"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  <w:tr>
                            <w:tblPrEx>
                              <w:tblW w:w="436" w:type="dxa"/>
                              <w:tblInd w:w="25" w:type="dxa"/>
                              <w:tblLayout w:type="fixed"/>
                            </w:tblPrEx>
                            <w:trPr>
                              <w:trHeight w:val="135"/>
                            </w:trPr>
                            <w:tc>
                              <w:tcPr>
                                <w:tcW w:w="162" w:type="dxa"/>
                                <w:tcBorders>
                                  <w:left w:val="nil"/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line="125" w:lineRule="exact"/>
                                  <w:rPr>
                                    <w:rFonts w:ascii="Arial"/>
                                    <w:sz w:val="1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2" w:type="dxa"/>
                                <w:vMerge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2" w:type="dxa"/>
                                <w:tcBorders>
                                  <w:bottom w:val="nil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line="125" w:lineRule="exact"/>
                                  <w:rPr>
                                    <w:rFonts w:ascii="Arial"/>
                                    <w:sz w:val="10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v:shape id="_x0000_s1121" style="width:130;height:680;position:absolute;top:369" coordorigin="0,0" coordsize="130,680" path="m122,679l122,m7,l7,679e" filled="f" strokecolor="white" strokeweight="0.73pt"/>
                  <v:shape id="_x0000_s1122" style="width:130;height:665;left:460;position:absolute;top:369" coordorigin="0,0" coordsize="130,665" path="m122,664l122,m7,l7,664e" filled="f" strokecolor="white" strokeweight="0.73pt"/>
                  <v:shape id="_x0000_s1123" style="width:130;height:487;left:158;position:absolute;top:369" coordorigin="0,0" coordsize="130,487" path="m122,487l122,m7,l7,487e" filled="f" strokecolor="white" strokeweight="0.73pt"/>
                  <v:shape id="_x0000_s1124" type="#_x0000_t202" style="width:170;height:282;left:289;position:absolute;top:462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148"/>
                            </w:tabs>
                            <w:spacing w:before="20" w:line="24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</w:txbxContent>
                    </v:textbox>
                  </v:shape>
                  <v:shape id="_x0000_s1125" type="#_x0000_t202" style="width:340;height:140;left:2902;position:absolute;top:45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02" w:lineRule="auto"/>
                            <w:ind w:left="20"/>
                            <w:rPr>
                              <w:rFonts w:ascii="Arial" w:eastAsia="Arial" w:hAnsi="Arial" w:cs="Arial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3"/>
                              <w:szCs w:val="13"/>
                            </w:rPr>
                            <w:t>201</w:t>
                          </w:r>
                          <w:r>
                            <w:rPr>
                              <w:rFonts w:ascii="Arial" w:eastAsia="Arial" w:hAnsi="Arial" w:cs="Arial"/>
                              <w:spacing w:val="-18"/>
                              <w:sz w:val="13"/>
                              <w:szCs w:val="13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13"/>
                              <w:szCs w:val="13"/>
                            </w:rPr>
                            <w:t>5</w:t>
                          </w:r>
                        </w:p>
                      </w:txbxContent>
                    </v:textbox>
                  </v:shape>
                  <v:shape id="_x0000_s1126" type="#_x0000_t202" style="width:339;height:140;left:-16;position:absolute;top:45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60" w:lineRule="auto"/>
                            <w:ind w:left="20"/>
                            <w:rPr>
                              <w:rFonts w:ascii="Arial" w:eastAsia="Arial" w:hAnsi="Arial" w:cs="Arial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3"/>
                              <w:szCs w:val="13"/>
                            </w:rPr>
                            <w:t>201</w:t>
                          </w:r>
                          <w:r>
                            <w:rPr>
                              <w:rFonts w:ascii="Arial" w:eastAsia="Arial" w:hAnsi="Arial" w:cs="Arial"/>
                              <w:spacing w:val="-17"/>
                              <w:sz w:val="13"/>
                              <w:szCs w:val="13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13"/>
                              <w:szCs w:val="13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127" type="#_x0000_t202" style="width:156;height:282;left:447;position:absolute;top:816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135"/>
                            </w:tabs>
                            <w:spacing w:before="20" w:line="24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</w:txbxContent>
                    </v:textbox>
                  </v:shape>
                  <v:shape id="_x0000_s1128" type="#_x0000_t202" style="width:156;height:282;left:-12;position:absolute;top:831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135"/>
                            </w:tabs>
                            <w:spacing w:before="20" w:line="24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</w:txbxContent>
                    </v:textbox>
                  </v:shape>
                  <v:shape id="_x0000_s1129" type="#_x0000_t202" style="width:156;height:282;left:145;position:absolute;top:639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135"/>
                            </w:tabs>
                            <w:spacing w:before="20" w:line="24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</w:txbxContent>
                    </v:textbox>
                  </v:shape>
                  <v:shape id="_x0000_s1130" type="#_x0000_t202" style="width:186;height:136;left:1595;position:absolute;top:45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00" w:lineRule="auto"/>
                            <w:ind w:left="20"/>
                            <w:rPr>
                              <w:rFonts w:ascii="Arial" w:eastAsia="Arial" w:hAnsi="Arial" w:cs="Arial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2"/>
                              <w:sz w:val="13"/>
                              <w:szCs w:val="13"/>
                            </w:rPr>
                            <w:t>14</w:t>
                          </w:r>
                        </w:p>
                      </w:txbxContent>
                    </v:textbox>
                  </v:shape>
                  <v:shape id="_x0000_s1131" style="width:15;height:311;left:302;position:absolute;top:369" coordorigin="0,0" coordsize="15,311" path="m7,l7,310e" filled="f" strokecolor="white" strokeweight="0.73pt"/>
                  <v:shape id="_x0000_s1132" style="width:15;height:311;left:431;position:absolute;top:369" coordorigin="0,0" coordsize="15,311" path="m7,310l7,e" filled="f" strokecolor="white" strokeweight="0.73pt"/>
                  <w10:wrap type="none"/>
                </v:group>
              </w:pict>
            </w:r>
          </w:p>
          <w:p>
            <w:pPr>
              <w:spacing w:before="228" w:line="210" w:lineRule="auto"/>
              <w:ind w:left="159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pict>
                <v:shape id="_x0000_s1133" type="#_x0000_t202" style="width:34pt;height:30.35pt;margin-top:10.41pt;margin-left:4.53pt;position:absolute;z-index:2517442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7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871" cy="65651"/>
                              <wp:effectExtent l="0" t="0" r="0" b="0"/>
                              <wp:docPr id="178" name="IM 17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8" name="IM 17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871" cy="6565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水井坊</w:t>
                        </w:r>
                      </w:p>
                      <w:p>
                        <w:pPr>
                          <w:spacing w:before="22" w:line="187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871" cy="56276"/>
                              <wp:effectExtent l="0" t="0" r="0" b="0"/>
                              <wp:docPr id="180" name="IM 18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" name="IM 18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871" cy="5627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酒鬼酒</w:t>
                        </w:r>
                      </w:p>
                      <w:p>
                        <w:pPr>
                          <w:spacing w:before="23" w:line="186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871" cy="56275"/>
                              <wp:effectExtent l="0" t="0" r="0" b="0"/>
                              <wp:docPr id="182" name="IM 18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2" name="IM 18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871" cy="562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洋河股份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4" type="#_x0000_t202" style="width:34.4pt;height:20.5pt;margin-top:10.41pt;margin-left:153.57pt;position:absolute;z-index:25174528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7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871" cy="65651"/>
                              <wp:effectExtent l="0" t="0" r="0" b="0"/>
                              <wp:docPr id="184" name="IM 18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4" name="IM 18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871" cy="6565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4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3"/>
                            <w:szCs w:val="13"/>
                          </w:rPr>
                          <w:t>剑南春</w:t>
                        </w:r>
                      </w:p>
                      <w:p>
                        <w:pPr>
                          <w:spacing w:before="24" w:line="185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3"/>
                            <w:szCs w:val="13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position w:val="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54871" cy="56276"/>
                              <wp:effectExtent l="0" t="0" r="0" b="0"/>
                              <wp:docPr id="186" name="IM 18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6" name="IM 18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871" cy="5627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6"/>
                            <w:w w:val="10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3"/>
                            <w:szCs w:val="13"/>
                          </w:rPr>
                          <w:t>山西汾酒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64011" cy="6565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1" cy="656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4"/>
                <w:sz w:val="13"/>
                <w:szCs w:val="13"/>
              </w:rPr>
              <w:t>舍得</w:t>
            </w:r>
          </w:p>
          <w:p>
            <w:pPr>
              <w:spacing w:line="188" w:lineRule="auto"/>
              <w:ind w:left="159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64011" cy="56275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1" cy="5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>郎酒</w:t>
            </w:r>
          </w:p>
          <w:p>
            <w:pPr>
              <w:spacing w:before="22" w:line="164" w:lineRule="auto"/>
              <w:ind w:left="159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64011" cy="56276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1" cy="56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>规模以上白酒企业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579"/>
        </w:trPr>
        <w:tc>
          <w:tcPr>
            <w:tcW w:w="4961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47" w:line="293" w:lineRule="exact"/>
              <w:ind w:left="11"/>
              <w:rPr>
                <w:sz w:val="13"/>
                <w:szCs w:val="13"/>
              </w:rPr>
            </w:pPr>
            <w:r>
              <w:rPr>
                <w:spacing w:val="2"/>
                <w:position w:val="13"/>
                <w:sz w:val="13"/>
                <w:szCs w:val="13"/>
              </w:rPr>
              <w:t>资料来源：</w:t>
            </w:r>
            <w:r>
              <w:rPr>
                <w:spacing w:val="-10"/>
                <w:position w:val="13"/>
                <w:sz w:val="13"/>
                <w:szCs w:val="13"/>
              </w:rPr>
              <w:t xml:space="preserve"> </w:t>
            </w:r>
            <w:r>
              <w:rPr>
                <w:spacing w:val="2"/>
                <w:position w:val="13"/>
                <w:sz w:val="13"/>
                <w:szCs w:val="13"/>
              </w:rPr>
              <w:t>公司公告，  酒业新闻网，   中国网，酒志网，  食品网，</w:t>
            </w:r>
            <w:r>
              <w:rPr>
                <w:spacing w:val="1"/>
                <w:position w:val="13"/>
                <w:sz w:val="13"/>
                <w:szCs w:val="13"/>
              </w:rPr>
              <w:t>酒说，酒业家，</w:t>
            </w:r>
          </w:p>
          <w:p>
            <w:pPr>
              <w:pStyle w:val="TableText"/>
              <w:spacing w:line="168" w:lineRule="auto"/>
              <w:ind w:left="10"/>
              <w:rPr>
                <w:sz w:val="13"/>
                <w:szCs w:val="13"/>
              </w:rPr>
            </w:pPr>
            <w:r>
              <w:rPr>
                <w:spacing w:val="7"/>
                <w:sz w:val="13"/>
                <w:szCs w:val="13"/>
              </w:rPr>
              <w:t>云酒头条，</w:t>
            </w:r>
            <w:r>
              <w:rPr>
                <w:spacing w:val="-10"/>
                <w:sz w:val="13"/>
                <w:szCs w:val="13"/>
              </w:rPr>
              <w:t xml:space="preserve"> </w:t>
            </w:r>
            <w:r>
              <w:rPr>
                <w:spacing w:val="7"/>
                <w:sz w:val="13"/>
                <w:szCs w:val="13"/>
              </w:rPr>
              <w:t>长江证券研究所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22"/>
          <w:footerReference w:type="default" r:id="rId123"/>
          <w:type w:val="continuous"/>
          <w:pgSz w:w="11907" w:h="16839"/>
          <w:pgMar w:top="1350" w:right="749" w:bottom="970" w:left="566" w:header="851" w:footer="713" w:gutter="0"/>
          <w:pgNumType w:start="21"/>
          <w:cols w:num="2" w:space="708" w:equalWidth="0">
            <w:col w:w="5431" w:space="100"/>
            <w:col w:w="5061" w:space="0"/>
          </w:cols>
        </w:sectPr>
      </w:pP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pStyle w:val="BodyText"/>
        <w:spacing w:before="56" w:line="196" w:lineRule="auto"/>
        <w:ind w:left="304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6</w:t>
      </w:r>
      <w:r>
        <w:rPr>
          <w:rFonts w:ascii="STXihei" w:eastAsia="STXihei" w:hAnsi="STXihei" w:cs="STXihei"/>
          <w:spacing w:val="-2"/>
          <w:sz w:val="16"/>
          <w:szCs w:val="16"/>
        </w:rPr>
        <w:t>：次高端价格带规模估算（亿元）</w:t>
      </w:r>
    </w:p>
    <w:p>
      <w:pPr>
        <w:spacing w:line="150" w:lineRule="exact"/>
      </w:pPr>
    </w:p>
    <w:p>
      <w:pPr>
        <w:spacing w:line="150" w:lineRule="exact"/>
        <w:sectPr>
          <w:headerReference w:type="default" r:id="rId124"/>
          <w:footerReference w:type="default" r:id="rId125"/>
          <w:type w:val="continuous"/>
          <w:pgSz w:w="11907" w:h="16839"/>
          <w:pgMar w:top="1350" w:right="749" w:bottom="970" w:left="566" w:header="851" w:footer="713" w:gutter="0"/>
          <w:pgNumType w:start="22"/>
          <w:cols w:num="1" w:space="708" w:equalWidth="0">
            <w:col w:w="10591" w:space="0"/>
          </w:cols>
        </w:sectPr>
      </w:pPr>
    </w:p>
    <w:p>
      <w:pPr>
        <w:pStyle w:val="BodyText"/>
        <w:spacing w:line="208" w:lineRule="auto"/>
        <w:jc w:val="right"/>
        <w:rPr>
          <w:sz w:val="13"/>
          <w:szCs w:val="13"/>
        </w:rPr>
      </w:pPr>
      <w:r>
        <w:rPr>
          <w:spacing w:val="1"/>
          <w:sz w:val="13"/>
          <w:szCs w:val="13"/>
        </w:rPr>
        <w:t>1500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before="38" w:line="209" w:lineRule="auto"/>
        <w:jc w:val="right"/>
        <w:rPr>
          <w:sz w:val="13"/>
          <w:szCs w:val="13"/>
        </w:rPr>
      </w:pPr>
      <w:r>
        <w:rPr>
          <w:spacing w:val="1"/>
          <w:sz w:val="13"/>
          <w:szCs w:val="13"/>
        </w:rPr>
        <w:t>1000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38" w:line="208" w:lineRule="auto"/>
        <w:ind w:right="1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500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before="38" w:line="209" w:lineRule="auto"/>
        <w:ind w:right="2"/>
        <w:jc w:val="right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2" w:line="2059" w:lineRule="exact"/>
        <w:ind w:firstLine="119"/>
      </w:pPr>
      <w:r>
        <w:rPr>
          <w:position w:val="-41"/>
        </w:rPr>
        <w:drawing>
          <wp:inline distT="0" distB="0" distL="0" distR="0">
            <wp:extent cx="3672303" cy="1307429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672303" cy="1307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6" w:line="208" w:lineRule="auto"/>
        <w:ind w:left="297"/>
        <w:rPr>
          <w:sz w:val="13"/>
          <w:szCs w:val="13"/>
        </w:rPr>
      </w:pPr>
      <w:r>
        <w:rPr>
          <w:spacing w:val="4"/>
          <w:sz w:val="13"/>
          <w:szCs w:val="13"/>
        </w:rPr>
        <w:t>2012</w:t>
      </w:r>
      <w:r>
        <w:rPr>
          <w:spacing w:val="1"/>
          <w:sz w:val="13"/>
          <w:szCs w:val="13"/>
        </w:rPr>
        <w:t xml:space="preserve">         </w:t>
      </w:r>
      <w:r>
        <w:rPr>
          <w:spacing w:val="4"/>
          <w:sz w:val="13"/>
          <w:szCs w:val="13"/>
        </w:rPr>
        <w:t>2015</w:t>
      </w:r>
      <w:r>
        <w:rPr>
          <w:spacing w:val="1"/>
          <w:sz w:val="13"/>
          <w:szCs w:val="13"/>
        </w:rPr>
        <w:t xml:space="preserve">         </w:t>
      </w:r>
      <w:r>
        <w:rPr>
          <w:spacing w:val="4"/>
          <w:sz w:val="13"/>
          <w:szCs w:val="13"/>
        </w:rPr>
        <w:t>2016</w:t>
      </w:r>
      <w:r>
        <w:rPr>
          <w:spacing w:val="2"/>
          <w:sz w:val="13"/>
          <w:szCs w:val="13"/>
        </w:rPr>
        <w:t xml:space="preserve">         </w:t>
      </w:r>
      <w:r>
        <w:rPr>
          <w:spacing w:val="4"/>
          <w:sz w:val="13"/>
          <w:szCs w:val="13"/>
        </w:rPr>
        <w:t>2017</w:t>
      </w:r>
      <w:r>
        <w:rPr>
          <w:spacing w:val="1"/>
          <w:sz w:val="13"/>
          <w:szCs w:val="13"/>
        </w:rPr>
        <w:t xml:space="preserve">         </w:t>
      </w:r>
      <w:r>
        <w:rPr>
          <w:spacing w:val="4"/>
          <w:sz w:val="13"/>
          <w:szCs w:val="13"/>
        </w:rPr>
        <w:t>2018</w:t>
      </w:r>
      <w:r>
        <w:rPr>
          <w:spacing w:val="2"/>
          <w:sz w:val="13"/>
          <w:szCs w:val="13"/>
        </w:rPr>
        <w:t xml:space="preserve">         </w:t>
      </w:r>
      <w:r>
        <w:rPr>
          <w:spacing w:val="4"/>
          <w:sz w:val="13"/>
          <w:szCs w:val="13"/>
        </w:rPr>
        <w:t>2019</w:t>
      </w:r>
      <w:r>
        <w:rPr>
          <w:spacing w:val="1"/>
          <w:sz w:val="13"/>
          <w:szCs w:val="13"/>
        </w:rPr>
        <w:t xml:space="preserve">         </w:t>
      </w:r>
      <w:r>
        <w:rPr>
          <w:spacing w:val="3"/>
          <w:sz w:val="13"/>
          <w:szCs w:val="13"/>
        </w:rPr>
        <w:t>2020</w:t>
      </w:r>
      <w:r>
        <w:rPr>
          <w:spacing w:val="2"/>
          <w:sz w:val="13"/>
          <w:szCs w:val="13"/>
        </w:rPr>
        <w:t xml:space="preserve">         </w:t>
      </w:r>
      <w:r>
        <w:rPr>
          <w:spacing w:val="3"/>
          <w:sz w:val="13"/>
          <w:szCs w:val="13"/>
        </w:rPr>
        <w:t>2021</w:t>
      </w:r>
      <w:r>
        <w:rPr>
          <w:spacing w:val="1"/>
          <w:sz w:val="13"/>
          <w:szCs w:val="13"/>
        </w:rPr>
        <w:t xml:space="preserve">         </w:t>
      </w:r>
      <w:r>
        <w:rPr>
          <w:spacing w:val="3"/>
          <w:sz w:val="13"/>
          <w:szCs w:val="13"/>
        </w:rPr>
        <w:t>2022</w:t>
      </w:r>
    </w:p>
    <w:p>
      <w:pPr>
        <w:spacing w:line="132" w:lineRule="exact"/>
      </w:pPr>
    </w:p>
    <w:tbl>
      <w:tblPr>
        <w:tblStyle w:val="TableNormal4"/>
        <w:tblW w:w="569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06"/>
        <w:gridCol w:w="2255"/>
        <w:gridCol w:w="1631"/>
      </w:tblGrid>
      <w:tr>
        <w:tblPrEx>
          <w:tblW w:w="569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83"/>
        </w:trPr>
        <w:tc>
          <w:tcPr>
            <w:tcW w:w="1806" w:type="dxa"/>
            <w:vAlign w:val="top"/>
          </w:tcPr>
          <w:p>
            <w:pPr>
              <w:spacing w:before="1" w:line="193" w:lineRule="auto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剑南春（水晶剑）</w:t>
            </w:r>
          </w:p>
          <w:p>
            <w:pPr>
              <w:spacing w:before="4" w:line="195" w:lineRule="auto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水井坊（甄酿</w:t>
            </w:r>
            <w:r>
              <w:rPr>
                <w:rFonts w:ascii="Calibri" w:eastAsia="Calibri" w:hAnsi="Calibri" w:cs="Calibri"/>
                <w:spacing w:val="7"/>
                <w:sz w:val="13"/>
                <w:szCs w:val="13"/>
              </w:rPr>
              <w:t>8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号</w:t>
            </w:r>
            <w:r>
              <w:rPr>
                <w:rFonts w:ascii="Calibri" w:eastAsia="Calibri" w:hAnsi="Calibri" w:cs="Calibri"/>
                <w:spacing w:val="7"/>
                <w:sz w:val="13"/>
                <w:szCs w:val="13"/>
              </w:rPr>
              <w:t>/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井台）</w:t>
            </w:r>
          </w:p>
          <w:p>
            <w:pPr>
              <w:spacing w:before="5" w:line="199" w:lineRule="auto"/>
              <w:ind w:right="12" w:firstLine="1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山西汾酒（青花、巴拿马等）</w:t>
            </w:r>
            <w:r>
              <w:rPr>
                <w:rFonts w:ascii="Microsoft YaHei" w:eastAsia="Microsoft YaHei" w:hAnsi="Microsoft YaHei" w:cs="Microsoft YaHei"/>
                <w:spacing w:val="11"/>
                <w:w w:val="10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9"/>
                <w:sz w:val="13"/>
                <w:szCs w:val="13"/>
              </w:rPr>
              <w:t>古井贡酒（古</w:t>
            </w:r>
            <w:r>
              <w:rPr>
                <w:rFonts w:ascii="Calibri" w:eastAsia="Calibri" w:hAnsi="Calibri" w:cs="Calibri"/>
                <w:spacing w:val="9"/>
                <w:sz w:val="13"/>
                <w:szCs w:val="13"/>
              </w:rPr>
              <w:t>8</w:t>
            </w:r>
            <w:r>
              <w:rPr>
                <w:rFonts w:ascii="Microsoft YaHei" w:eastAsia="Microsoft YaHei" w:hAnsi="Microsoft YaHei" w:cs="Microsoft YaHei"/>
                <w:spacing w:val="9"/>
                <w:sz w:val="13"/>
                <w:szCs w:val="13"/>
              </w:rPr>
              <w:t>及以上）</w:t>
            </w:r>
          </w:p>
          <w:p>
            <w:pPr>
              <w:spacing w:line="131" w:lineRule="exact"/>
              <w:ind w:left="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国台（国标）</w:t>
            </w:r>
          </w:p>
        </w:tc>
        <w:tc>
          <w:tcPr>
            <w:tcW w:w="2255" w:type="dxa"/>
            <w:vAlign w:val="top"/>
          </w:tcPr>
          <w:p>
            <w:pPr>
              <w:spacing w:line="194" w:lineRule="auto"/>
              <w:ind w:left="7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11231" cy="40099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1" cy="40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郎酒（红花郎）</w:t>
            </w:r>
          </w:p>
          <w:p>
            <w:pPr>
              <w:spacing w:before="5" w:line="193" w:lineRule="auto"/>
              <w:ind w:left="7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11231" cy="48121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1" cy="48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舍得酒业（品味舍得）</w:t>
            </w:r>
          </w:p>
          <w:p>
            <w:pPr>
              <w:spacing w:before="5" w:line="200" w:lineRule="auto"/>
              <w:ind w:left="79" w:right="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11231" cy="48126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1" cy="4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茅台系列酒（汉酱、仁酒等）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2"/>
                <w:sz w:val="13"/>
                <w:szCs w:val="13"/>
              </w:rPr>
              <w:drawing>
                <wp:inline distT="0" distB="0" distL="0" distR="0">
                  <wp:extent cx="211231" cy="40104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1" cy="40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8"/>
                <w:w w:val="10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口子窖（</w:t>
            </w:r>
            <w:r>
              <w:rPr>
                <w:rFonts w:ascii="Calibri" w:eastAsia="Calibri" w:hAnsi="Calibri" w:cs="Calibri"/>
                <w:spacing w:val="8"/>
                <w:sz w:val="13"/>
                <w:szCs w:val="13"/>
              </w:rPr>
              <w:t>20</w:t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及以上）</w:t>
            </w:r>
          </w:p>
          <w:p>
            <w:pPr>
              <w:spacing w:line="129" w:lineRule="exact"/>
              <w:ind w:left="7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drawing>
                <wp:inline distT="0" distB="0" distL="0" distR="0">
                  <wp:extent cx="211231" cy="45554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1" cy="45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0"/>
                <w:position w:val="-1"/>
                <w:sz w:val="13"/>
                <w:szCs w:val="13"/>
              </w:rPr>
              <w:t>其他</w:t>
            </w:r>
          </w:p>
        </w:tc>
        <w:tc>
          <w:tcPr>
            <w:tcW w:w="1631" w:type="dxa"/>
            <w:vAlign w:val="top"/>
          </w:tcPr>
          <w:p>
            <w:pPr>
              <w:spacing w:before="2" w:line="185" w:lineRule="auto"/>
              <w:ind w:left="7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02660" cy="40099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60" cy="40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13"/>
                <w:szCs w:val="13"/>
              </w:rPr>
              <w:t>洋河股份（梦之蓝）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02660" cy="48121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60" cy="48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"/>
                <w:sz w:val="13"/>
                <w:szCs w:val="13"/>
              </w:rPr>
              <w:t>酒鬼酒（红坛）</w:t>
            </w:r>
          </w:p>
          <w:p>
            <w:pPr>
              <w:spacing w:line="228" w:lineRule="auto"/>
              <w:ind w:left="7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3"/>
                <w:szCs w:val="13"/>
              </w:rPr>
              <w:drawing>
                <wp:inline distT="0" distB="0" distL="0" distR="0">
                  <wp:extent cx="211236" cy="48126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6" cy="4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1"/>
                <w:w w:val="10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今世缘（特</w:t>
            </w:r>
            <w:r>
              <w:rPr>
                <w:rFonts w:ascii="Calibri" w:eastAsia="Calibri" w:hAnsi="Calibri" w:cs="Calibri"/>
                <w:spacing w:val="7"/>
                <w:sz w:val="13"/>
                <w:szCs w:val="13"/>
              </w:rPr>
              <w:t>A+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）</w:t>
            </w:r>
          </w:p>
          <w:p>
            <w:pPr>
              <w:spacing w:line="314" w:lineRule="exact"/>
              <w:ind w:left="7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-3"/>
                <w:sz w:val="13"/>
                <w:szCs w:val="13"/>
              </w:rPr>
              <w:drawing>
                <wp:inline distT="0" distB="0" distL="0" distR="0">
                  <wp:extent cx="211236" cy="148208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36" cy="148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2"/>
                <w:position w:val="12"/>
                <w:sz w:val="13"/>
                <w:szCs w:val="13"/>
              </w:rPr>
              <w:t xml:space="preserve"> </w:t>
            </w:r>
            <w:r>
              <w:ruby>
                <w:rubyPr>
                  <w:rubyAlign w:val="left"/>
                  <w:hps w:val="13"/>
                  <w:hpsRaise w:val="4"/>
                  <w:hpsBaseText w:val="21"/>
                </w:rubyPr>
                <w:rt>
                  <w:r>
                    <w:rPr>
                      <w:rFonts w:ascii="Microsoft YaHei" w:eastAsia="Microsoft YaHei" w:hAnsi="Microsoft YaHei" w:cs="Microsoft YaHei"/>
                      <w:w w:val="107"/>
                      <w:position w:val="8"/>
                      <w:sz w:val="13"/>
                      <w:szCs w:val="13"/>
                    </w:rPr>
                    <w:t>习酒</w:t>
                  </w:r>
                </w:rt>
                <w:rubyBase>
                  <w:r>
                    <w:rPr>
                      <w:rFonts w:ascii="Calibri" w:eastAsia="Calibri" w:hAnsi="Calibri" w:cs="Calibri"/>
                      <w:w w:val="102"/>
                      <w:position w:val="-5"/>
                      <w:sz w:val="13"/>
                      <w:szCs w:val="13"/>
                    </w:rPr>
                    <w:t>yoy</w:t>
                  </w:r>
                </w:rubyBase>
              </w:ruby>
            </w:r>
            <w:r>
              <w:rPr>
                <w:rFonts w:ascii="Microsoft YaHei" w:eastAsia="Microsoft YaHei" w:hAnsi="Microsoft YaHei" w:cs="Microsoft YaHei"/>
                <w:spacing w:val="7"/>
                <w:position w:val="12"/>
                <w:sz w:val="13"/>
                <w:szCs w:val="13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8"/>
                <w:position w:val="12"/>
                <w:sz w:val="13"/>
                <w:szCs w:val="13"/>
              </w:rPr>
              <w:t>（窖藏系列）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03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60%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before="37" w:line="206" w:lineRule="auto"/>
        <w:rPr>
          <w:sz w:val="13"/>
          <w:szCs w:val="13"/>
        </w:rPr>
      </w:pPr>
      <w:r>
        <w:rPr>
          <w:spacing w:val="5"/>
          <w:sz w:val="13"/>
          <w:szCs w:val="13"/>
        </w:rPr>
        <w:t>40%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before="38" w:line="205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20%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before="38" w:line="206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0%</w:t>
      </w:r>
    </w:p>
    <w:p>
      <w:pPr>
        <w:spacing w:line="206" w:lineRule="auto"/>
        <w:rPr>
          <w:sz w:val="13"/>
          <w:szCs w:val="13"/>
        </w:rPr>
        <w:sectPr>
          <w:headerReference w:type="default" r:id="rId136"/>
          <w:footerReference w:type="default" r:id="rId137"/>
          <w:type w:val="continuous"/>
          <w:pgSz w:w="11907" w:h="16839"/>
          <w:pgMar w:top="1350" w:right="749" w:bottom="970" w:left="566" w:header="851" w:footer="713" w:gutter="0"/>
          <w:pgNumType w:start="23"/>
          <w:cols w:num="3" w:space="708" w:equalWidth="0">
            <w:col w:w="721" w:space="26"/>
            <w:col w:w="5926" w:space="100"/>
            <w:col w:w="3819" w:space="0"/>
          </w:cols>
        </w:sectPr>
      </w:pPr>
    </w:p>
    <w:p>
      <w:pPr>
        <w:spacing w:before="275" w:line="210" w:lineRule="auto"/>
        <w:ind w:left="297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4"/>
          <w:sz w:val="13"/>
          <w:szCs w:val="13"/>
        </w:rPr>
        <w:t>资料来源：</w:t>
      </w:r>
      <w:r>
        <w:rPr>
          <w:rFonts w:ascii="STXihei" w:eastAsia="STXihei" w:hAnsi="STXihei" w:cs="STXihei"/>
          <w:spacing w:val="-10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4"/>
          <w:sz w:val="13"/>
          <w:szCs w:val="13"/>
        </w:rPr>
        <w:t>公司公告，  酒业新闻网，   中国网，酒志网，  食品网，酒说，酒业家，云酒头</w:t>
      </w:r>
      <w:r>
        <w:rPr>
          <w:rFonts w:ascii="STXihei" w:eastAsia="STXihei" w:hAnsi="STXihei" w:cs="STXihei"/>
          <w:spacing w:val="3"/>
          <w:sz w:val="13"/>
          <w:szCs w:val="13"/>
        </w:rPr>
        <w:t>条，长江证券研究所</w:t>
      </w:r>
    </w:p>
    <w:p>
      <w:pPr>
        <w:pStyle w:val="BodyText"/>
        <w:spacing w:line="301" w:lineRule="auto"/>
      </w:pPr>
    </w:p>
    <w:p>
      <w:pPr>
        <w:pStyle w:val="BodyText"/>
        <w:spacing w:line="301" w:lineRule="auto"/>
        <w:sectPr>
          <w:headerReference w:type="default" r:id="rId138"/>
          <w:footerReference w:type="default" r:id="rId139"/>
          <w:type w:val="continuous"/>
          <w:pgSz w:w="11907" w:h="16839"/>
          <w:pgMar w:top="1350" w:right="749" w:bottom="970" w:left="566" w:header="851" w:footer="713" w:gutter="0"/>
          <w:pgNumType w:start="24"/>
          <w:cols w:num="1" w:space="708" w:equalWidth="0">
            <w:col w:w="10591" w:space="0"/>
          </w:cols>
        </w:sectPr>
      </w:pPr>
    </w:p>
    <w:p>
      <w:pPr>
        <w:spacing w:before="63" w:line="199" w:lineRule="auto"/>
        <w:ind w:left="29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次高端白酒满足宴请需求</w:t>
      </w:r>
      <w:r>
        <w:rPr>
          <w:rFonts w:ascii="STXihei" w:eastAsia="STXihei" w:hAnsi="STXihei" w:cs="STXihei"/>
          <w:spacing w:val="-24"/>
          <w:sz w:val="18"/>
          <w:szCs w:val="18"/>
        </w:rPr>
        <w:t xml:space="preserve"> </w:t>
      </w:r>
      <w:r>
        <w:rPr>
          <w:rFonts w:ascii="STXihei" w:eastAsia="STXihei" w:hAnsi="STXihei" w:cs="STXihei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、价格上接高端的特征决定了其“景气周期放大器”</w:t>
      </w:r>
      <w:r>
        <w:rPr>
          <w:rFonts w:ascii="STXihei" w:eastAsia="STXihei" w:hAnsi="STXihei" w:cs="STXihei"/>
          <w:spacing w:val="-29"/>
          <w:sz w:val="18"/>
          <w:szCs w:val="18"/>
        </w:rPr>
        <w:t xml:space="preserve"> </w:t>
      </w:r>
      <w:r>
        <w:rPr>
          <w:rFonts w:ascii="STXihei" w:eastAsia="STXihei" w:hAnsi="STXihei" w:cs="STXihei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的性</w:t>
      </w:r>
      <w:r>
        <w:rPr>
          <w:rFonts w:ascii="STXihei" w:eastAsia="STXihei" w:hAnsi="STXihei" w:cs="STXi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质。</w:t>
      </w:r>
    </w:p>
    <w:p>
      <w:pPr>
        <w:spacing w:before="103" w:line="313" w:lineRule="exact"/>
        <w:ind w:left="29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从饮用场景的角度看，次高端白酒没有高端白酒的部分奢侈品属性，</w:t>
      </w:r>
      <w:r>
        <w:rPr>
          <w:rFonts w:ascii="STXihei" w:eastAsia="STXihei" w:hAnsi="STXihei" w:cs="STXihei"/>
          <w:spacing w:val="35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主要场景是宴席、</w:t>
      </w:r>
    </w:p>
    <w:p>
      <w:pPr>
        <w:spacing w:before="1" w:line="197" w:lineRule="auto"/>
        <w:ind w:left="30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9"/>
          <w:sz w:val="18"/>
          <w:szCs w:val="18"/>
        </w:rPr>
        <w:t>商务，</w:t>
      </w:r>
      <w:r>
        <w:rPr>
          <w:rFonts w:ascii="STXihei" w:eastAsia="STXihei" w:hAnsi="STXihei" w:cs="STXihei"/>
          <w:spacing w:val="35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9"/>
          <w:sz w:val="18"/>
          <w:szCs w:val="18"/>
        </w:rPr>
        <w:t>需求端受到经济热度直接影响较大，</w:t>
      </w:r>
      <w:r>
        <w:rPr>
          <w:rFonts w:ascii="STXihei" w:eastAsia="STXihei" w:hAnsi="STXihei" w:cs="STXihei"/>
          <w:spacing w:val="16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9"/>
          <w:sz w:val="18"/>
          <w:szCs w:val="18"/>
        </w:rPr>
        <w:t>经济环境变化中</w:t>
      </w:r>
      <w:r>
        <w:rPr>
          <w:rFonts w:ascii="STXihei" w:eastAsia="STXihei" w:hAnsi="STXihei" w:cs="STXihei"/>
          <w:spacing w:val="-10"/>
          <w:sz w:val="18"/>
          <w:szCs w:val="18"/>
        </w:rPr>
        <w:t>需求往往波动明显，   为次高</w:t>
      </w:r>
    </w:p>
    <w:p>
      <w:pPr>
        <w:spacing w:before="104" w:line="198" w:lineRule="auto"/>
        <w:ind w:left="29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端白酒带来“周期放大器”的性质。从价格的角度看，</w:t>
      </w:r>
      <w:r>
        <w:rPr>
          <w:rFonts w:ascii="STXihei" w:eastAsia="STXihei" w:hAnsi="STXihei" w:cs="STXihei"/>
          <w:spacing w:val="26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次高端价格向上承接高端酒，</w:t>
      </w:r>
      <w:r>
        <w:rPr>
          <w:rFonts w:ascii="STXihei" w:eastAsia="STXihei" w:hAnsi="STXihei" w:cs="STXihei"/>
          <w:spacing w:val="18"/>
          <w:w w:val="102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经</w:t>
      </w:r>
    </w:p>
    <w:p>
      <w:pPr>
        <w:spacing w:before="104" w:line="198" w:lineRule="auto"/>
        <w:ind w:left="29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济形势转好导致白酒行业景气期开启、高端酒价格抬</w:t>
      </w:r>
      <w:r>
        <w:rPr>
          <w:rFonts w:ascii="STXihei" w:eastAsia="STXihei" w:hAnsi="STXihei" w:cs="STXihei"/>
          <w:spacing w:val="-5"/>
          <w:sz w:val="18"/>
          <w:szCs w:val="18"/>
        </w:rPr>
        <w:t>升后，</w:t>
      </w:r>
      <w:r>
        <w:rPr>
          <w:rFonts w:ascii="STXihei" w:eastAsia="STXihei" w:hAnsi="STXihei" w:cs="STXihei"/>
          <w:spacing w:val="13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次高端可以获得价格带向上</w:t>
      </w:r>
    </w:p>
    <w:p>
      <w:pPr>
        <w:spacing w:before="105" w:line="197" w:lineRule="auto"/>
        <w:ind w:left="29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空间，</w:t>
      </w:r>
      <w:r>
        <w:rPr>
          <w:rFonts w:ascii="STXihei" w:eastAsia="STXihei" w:hAnsi="STXihei" w:cs="STXihei"/>
          <w:spacing w:val="-1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7"/>
          <w:sz w:val="18"/>
          <w:szCs w:val="18"/>
        </w:rPr>
        <w:t>叠加次高端厂商往往招商复制能力较强，</w:t>
      </w:r>
      <w:r>
        <w:rPr>
          <w:rFonts w:ascii="STXihei" w:eastAsia="STXihei" w:hAnsi="STXihei" w:cs="STXihei"/>
          <w:spacing w:val="22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7"/>
          <w:sz w:val="18"/>
          <w:szCs w:val="18"/>
        </w:rPr>
        <w:t>渠道推力增大下样本市场复制速度较快，</w:t>
      </w:r>
    </w:p>
    <w:p>
      <w:pPr>
        <w:spacing w:before="105" w:line="162" w:lineRule="auto"/>
        <w:ind w:left="29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公司可以实现加杠杆式的成长，在景气周期往往能收获超过行业水平的增</w:t>
      </w:r>
      <w:r>
        <w:rPr>
          <w:rFonts w:ascii="STXihei" w:eastAsia="STXihei" w:hAnsi="STXihei" w:cs="STXihei"/>
          <w:spacing w:val="-2"/>
          <w:sz w:val="18"/>
          <w:szCs w:val="18"/>
        </w:rPr>
        <w:t>长。</w:t>
      </w:r>
    </w:p>
    <w:p>
      <w:pPr>
        <w:spacing w:line="162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140"/>
          <w:footerReference w:type="default" r:id="rId141"/>
          <w:type w:val="nextPage"/>
          <w:pgSz w:w="11907" w:h="16839"/>
          <w:pgMar w:top="1350" w:right="749" w:bottom="970" w:left="566" w:header="851" w:footer="713" w:gutter="0"/>
          <w:pgNumType w:start="25"/>
          <w:cols w:num="1" w:space="708" w:equalWidth="0">
            <w:col w:w="10591" w:space="0"/>
          </w:cols>
          <w:titlePg w:val="0"/>
        </w:sectPr>
      </w:pPr>
    </w:p>
    <w:p>
      <w:pPr>
        <w:pStyle w:val="BodyText"/>
        <w:spacing w:line="319" w:lineRule="auto"/>
      </w:pPr>
      <w:r>
        <w:drawing>
          <wp:anchor distT="0" distB="0" distL="0" distR="0" simplePos="0" relativeHeight="251757568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6489956</wp:posOffset>
            </wp:positionV>
            <wp:extent cx="3150742" cy="6350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8448675</wp:posOffset>
            </wp:positionV>
            <wp:extent cx="3150742" cy="6350"/>
            <wp:effectExtent l="0" t="0" r="0" b="0"/>
            <wp:wrapNone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6489956</wp:posOffset>
            </wp:positionV>
            <wp:extent cx="3150742" cy="6350"/>
            <wp:effectExtent l="0" t="0" r="0" b="0"/>
            <wp:wrapNone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8442581</wp:posOffset>
            </wp:positionV>
            <wp:extent cx="3150742" cy="6350"/>
            <wp:effectExtent l="0" t="0" r="0" b="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1431925</wp:posOffset>
            </wp:positionV>
            <wp:extent cx="4318634" cy="2611120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4318634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9" w:lineRule="auto"/>
      </w:pPr>
    </w:p>
    <w:p>
      <w:pPr>
        <w:pStyle w:val="BodyText"/>
        <w:spacing w:before="56" w:line="200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7</w:t>
      </w:r>
      <w:r>
        <w:rPr>
          <w:rFonts w:ascii="STXihei" w:eastAsia="STXihei" w:hAnsi="STXihei" w:cs="STXihei"/>
          <w:spacing w:val="-1"/>
          <w:sz w:val="16"/>
          <w:szCs w:val="16"/>
        </w:rPr>
        <w:t>：次高端价格带在高端和大众之间，消费场景以宴席为主</w:t>
      </w:r>
    </w:p>
    <w:p>
      <w:pPr>
        <w:spacing w:before="8" w:line="4135" w:lineRule="exact"/>
        <w:ind w:firstLine="9"/>
      </w:pPr>
      <w:r>
        <w:rPr>
          <w:position w:val="-82"/>
        </w:rPr>
        <w:pict>
          <v:group id="_x0000_i1135" style="width:340.15pt;height:206.8pt;mso-position-horizontal-relative:char;mso-position-vertical-relative:line" coordorigin="0,0" coordsize="6802,4136" filled="f" stroked="f">
            <v:rect id="_x0000_s1136" style="width:6802;height:10;position:absolute" filled="t" fillcolor="black" stroked="f"/>
            <v:rect id="_x0000_s1137" style="width:6802;height:10;position:absolute;top:4126" filled="t" fillcolor="black" stroked="f"/>
            <w10:wrap type="none"/>
          </v:group>
        </w:pict>
      </w:r>
    </w:p>
    <w:p>
      <w:pPr>
        <w:pStyle w:val="BodyText"/>
        <w:spacing w:before="146" w:line="304" w:lineRule="exact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9"/>
          <w:position w:val="14"/>
          <w:sz w:val="13"/>
          <w:szCs w:val="13"/>
        </w:rPr>
        <w:t>资料来源：各酒企京东旗舰店，长江证券研究所（价格大致位置参考</w:t>
      </w:r>
      <w:r>
        <w:rPr>
          <w:rFonts w:ascii="STXihei" w:eastAsia="STXihei" w:hAnsi="STXihei" w:cs="STXihei"/>
          <w:spacing w:val="8"/>
          <w:position w:val="14"/>
          <w:sz w:val="13"/>
          <w:szCs w:val="13"/>
        </w:rPr>
        <w:t xml:space="preserve"> </w:t>
      </w:r>
      <w:r>
        <w:rPr>
          <w:spacing w:val="8"/>
          <w:position w:val="14"/>
          <w:sz w:val="13"/>
          <w:szCs w:val="13"/>
        </w:rPr>
        <w:t xml:space="preserve">2024 </w:t>
      </w:r>
      <w:r>
        <w:rPr>
          <w:rFonts w:ascii="STXihei" w:eastAsia="STXihei" w:hAnsi="STXihei" w:cs="STXihei"/>
          <w:spacing w:val="8"/>
          <w:position w:val="14"/>
          <w:sz w:val="13"/>
          <w:szCs w:val="13"/>
        </w:rPr>
        <w:t xml:space="preserve">年 </w:t>
      </w:r>
      <w:r>
        <w:rPr>
          <w:spacing w:val="8"/>
          <w:position w:val="14"/>
          <w:sz w:val="13"/>
          <w:szCs w:val="13"/>
        </w:rPr>
        <w:t xml:space="preserve">2 </w:t>
      </w:r>
      <w:r>
        <w:rPr>
          <w:rFonts w:ascii="STXihei" w:eastAsia="STXihei" w:hAnsi="STXihei" w:cs="STXihei"/>
          <w:spacing w:val="8"/>
          <w:position w:val="14"/>
          <w:sz w:val="13"/>
          <w:szCs w:val="13"/>
        </w:rPr>
        <w:t>月京东官方旗舰店单瓶零售</w:t>
      </w:r>
    </w:p>
    <w:p>
      <w:pPr>
        <w:spacing w:line="205" w:lineRule="auto"/>
        <w:ind w:left="14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-4"/>
          <w:sz w:val="13"/>
          <w:szCs w:val="13"/>
        </w:rPr>
        <w:t>价）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spacing w:before="63" w:line="310" w:lineRule="exact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经济发展加速是次高端需求的基础，高端酒的价格增长是次高端成长的号角</w:t>
      </w:r>
      <w:r>
        <w:rPr>
          <w:rFonts w:ascii="STXihei" w:eastAsia="STXihei" w:hAnsi="STXihei" w:cs="STXihei"/>
          <w:spacing w:val="-9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由于其价</w:t>
      </w:r>
    </w:p>
    <w:p>
      <w:pPr>
        <w:spacing w:before="1" w:line="198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格向上承接高端酒和宴请需求的性质，  历史上次高端白</w:t>
      </w:r>
      <w:r>
        <w:rPr>
          <w:rFonts w:ascii="STXihei" w:eastAsia="STXihei" w:hAnsi="STXihei" w:cs="STXihei"/>
          <w:spacing w:val="-4"/>
          <w:sz w:val="18"/>
          <w:szCs w:val="18"/>
        </w:rPr>
        <w:t>酒的景气期之前往往有高端酒价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格上升和经济指标、社零增速明显转好等先行指标。</w:t>
      </w:r>
      <w:r>
        <w:rPr>
          <w:rFonts w:ascii="STXihei" w:eastAsia="STXihei" w:hAnsi="STXihei" w:cs="STXihei"/>
          <w:spacing w:val="14"/>
          <w:sz w:val="18"/>
          <w:szCs w:val="18"/>
        </w:rPr>
        <w:t xml:space="preserve">  </w:t>
      </w:r>
      <w:r>
        <w:rPr>
          <w:spacing w:val="-3"/>
          <w:sz w:val="18"/>
          <w:szCs w:val="18"/>
        </w:rPr>
        <w:t xml:space="preserve">2010  </w:t>
      </w:r>
      <w:r>
        <w:rPr>
          <w:rFonts w:ascii="STXihei" w:eastAsia="STXihei" w:hAnsi="STXihei" w:cs="STXihei"/>
          <w:spacing w:val="-3"/>
          <w:sz w:val="18"/>
          <w:szCs w:val="18"/>
        </w:rPr>
        <w:t>年次高端景气期之前高端酒</w:t>
      </w:r>
    </w:p>
    <w:p>
      <w:pPr>
        <w:pStyle w:val="BodyText"/>
        <w:spacing w:before="105" w:line="197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价格在</w:t>
      </w:r>
      <w:r>
        <w:rPr>
          <w:rFonts w:ascii="STXihei" w:eastAsia="STXihei" w:hAnsi="STXihei" w:cs="STXihei"/>
          <w:spacing w:val="2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2009</w:t>
      </w:r>
      <w:r>
        <w:rPr>
          <w:spacing w:val="2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sz w:val="18"/>
          <w:szCs w:val="18"/>
        </w:rPr>
        <w:t>年明显上升并持续增长，至高峰茅台价格接近</w:t>
      </w:r>
      <w:r>
        <w:rPr>
          <w:rFonts w:ascii="STXihei" w:eastAsia="STXihei" w:hAnsi="STXihei" w:cs="STXihei"/>
          <w:spacing w:val="20"/>
          <w:w w:val="10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2000</w:t>
      </w:r>
      <w:r>
        <w:rPr>
          <w:spacing w:val="20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sz w:val="18"/>
          <w:szCs w:val="18"/>
        </w:rPr>
        <w:t>元，五粮液、国窖价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 xml:space="preserve">格接近  </w:t>
      </w:r>
      <w:r>
        <w:rPr>
          <w:spacing w:val="-4"/>
          <w:sz w:val="18"/>
          <w:szCs w:val="18"/>
        </w:rPr>
        <w:t>1000</w:t>
      </w:r>
      <w:r>
        <w:rPr>
          <w:spacing w:val="36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元，为次高端的发展带来价格提升空间，   </w:t>
      </w:r>
      <w:r>
        <w:rPr>
          <w:spacing w:val="-4"/>
          <w:sz w:val="18"/>
          <w:szCs w:val="18"/>
        </w:rPr>
        <w:t>PPI</w:t>
      </w:r>
      <w:r>
        <w:rPr>
          <w:rFonts w:ascii="STXihei" w:eastAsia="STXihei" w:hAnsi="STXihei" w:cs="STXihei"/>
          <w:spacing w:val="-4"/>
          <w:sz w:val="18"/>
          <w:szCs w:val="18"/>
        </w:rPr>
        <w:t>、</w:t>
      </w:r>
      <w:r>
        <w:rPr>
          <w:spacing w:val="-4"/>
          <w:sz w:val="18"/>
          <w:szCs w:val="18"/>
        </w:rPr>
        <w:t>PMI</w:t>
      </w:r>
      <w:r>
        <w:rPr>
          <w:spacing w:val="29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等经济热度指标也在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spacing w:val="-1"/>
          <w:sz w:val="18"/>
          <w:szCs w:val="18"/>
        </w:rPr>
        <w:t xml:space="preserve">2008-2009 </w:t>
      </w:r>
      <w:r>
        <w:rPr>
          <w:rFonts w:ascii="STXihei" w:eastAsia="STXihei" w:hAnsi="STXihei" w:cs="STXihei"/>
          <w:spacing w:val="-1"/>
          <w:sz w:val="18"/>
          <w:szCs w:val="18"/>
        </w:rPr>
        <w:t>年相继转正进入高峰；</w:t>
      </w:r>
      <w:r>
        <w:rPr>
          <w:rFonts w:ascii="STXihei" w:eastAsia="STXihei" w:hAnsi="STXihei" w:cs="STXihei"/>
          <w:spacing w:val="2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2017-2018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年景气期也是由高端酒价格在 </w:t>
      </w:r>
      <w:r>
        <w:rPr>
          <w:spacing w:val="-2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2"/>
          <w:sz w:val="18"/>
          <w:szCs w:val="18"/>
        </w:rPr>
        <w:t>年明</w:t>
      </w:r>
    </w:p>
    <w:p>
      <w:pPr>
        <w:pStyle w:val="BodyText"/>
        <w:spacing w:before="103" w:line="198" w:lineRule="auto"/>
        <w:ind w:left="2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显上升、</w:t>
      </w:r>
      <w:r>
        <w:rPr>
          <w:spacing w:val="-5"/>
          <w:sz w:val="18"/>
          <w:szCs w:val="18"/>
        </w:rPr>
        <w:t xml:space="preserve">PPI </w:t>
      </w:r>
      <w:r>
        <w:rPr>
          <w:rFonts w:ascii="STXihei" w:eastAsia="STXihei" w:hAnsi="STXihei" w:cs="STXihei"/>
          <w:spacing w:val="-5"/>
          <w:sz w:val="18"/>
          <w:szCs w:val="18"/>
        </w:rPr>
        <w:t xml:space="preserve">指标转正作为先导指标；  </w:t>
      </w:r>
      <w:r>
        <w:rPr>
          <w:spacing w:val="-5"/>
          <w:sz w:val="18"/>
          <w:szCs w:val="18"/>
        </w:rPr>
        <w:t xml:space="preserve">2020 </w:t>
      </w:r>
      <w:r>
        <w:rPr>
          <w:rFonts w:ascii="STXihei" w:eastAsia="STXihei" w:hAnsi="STXihei" w:cs="STXihei"/>
          <w:spacing w:val="-6"/>
          <w:sz w:val="18"/>
          <w:szCs w:val="18"/>
        </w:rPr>
        <w:t>年景气期中茅台价格向上突破至历史高点，</w:t>
      </w:r>
    </w:p>
    <w:p>
      <w:pPr>
        <w:spacing w:line="71" w:lineRule="exact"/>
      </w:pPr>
    </w:p>
    <w:p>
      <w:pPr>
        <w:spacing w:line="71" w:lineRule="exact"/>
        <w:sectPr>
          <w:headerReference w:type="default" r:id="rId145"/>
          <w:footerReference w:type="default" r:id="rId146"/>
          <w:pgSz w:w="11907" w:h="16839"/>
          <w:pgMar w:top="1350" w:right="749" w:bottom="970" w:left="842" w:header="851" w:footer="713" w:gutter="0"/>
          <w:pgNumType w:start="26"/>
          <w:cols w:num="1" w:space="708" w:equalWidth="0">
            <w:col w:w="10315" w:space="0"/>
          </w:cols>
        </w:sectPr>
      </w:pPr>
    </w:p>
    <w:p>
      <w:pPr>
        <w:spacing w:before="34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经济指标也逐步修复。</w:t>
      </w:r>
    </w:p>
    <w:p>
      <w:pPr>
        <w:pStyle w:val="BodyText"/>
        <w:spacing w:before="96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8</w:t>
      </w:r>
      <w:r>
        <w:rPr>
          <w:rFonts w:ascii="STXihei" w:eastAsia="STXihei" w:hAnsi="STXihei" w:cs="STXihei"/>
          <w:spacing w:val="-2"/>
          <w:sz w:val="16"/>
          <w:szCs w:val="16"/>
        </w:rPr>
        <w:t>：高端酒的价格增长拉动次高端景气期（单位：元）</w:t>
      </w:r>
    </w:p>
    <w:p>
      <w:pPr>
        <w:spacing w:line="137" w:lineRule="exact"/>
      </w:pPr>
    </w:p>
    <w:tbl>
      <w:tblPr>
        <w:tblStyle w:val="TableNormal5"/>
        <w:tblW w:w="4346" w:type="dxa"/>
        <w:tblInd w:w="3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5"/>
        <w:gridCol w:w="3686"/>
        <w:gridCol w:w="335"/>
      </w:tblGrid>
      <w:tr>
        <w:tblPrEx>
          <w:tblW w:w="4346" w:type="dxa"/>
          <w:tblInd w:w="3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2"/>
        </w:trPr>
        <w:tc>
          <w:tcPr>
            <w:tcW w:w="325" w:type="dxa"/>
            <w:vAlign w:val="top"/>
          </w:tcPr>
          <w:p>
            <w:pPr>
              <w:spacing w:before="94" w:line="199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450</w:t>
            </w:r>
            <w:r>
              <w:rPr>
                <w:rFonts w:ascii="Arial" w:eastAsia="Arial" w:hAnsi="Arial" w:cs="Arial"/>
                <w:spacing w:val="-13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5" w:line="199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400</w:t>
            </w:r>
            <w:r>
              <w:rPr>
                <w:rFonts w:ascii="Arial" w:eastAsia="Arial" w:hAnsi="Arial" w:cs="Arial"/>
                <w:spacing w:val="-13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6" w:line="198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350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6" w:line="198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300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6" w:line="199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250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6" w:line="199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200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0</w:t>
            </w:r>
          </w:p>
          <w:p>
            <w:pPr>
              <w:spacing w:before="105" w:line="199" w:lineRule="auto"/>
              <w:ind w:left="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3"/>
                <w:sz w:val="12"/>
                <w:szCs w:val="12"/>
              </w:rPr>
              <w:t>150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2"/>
                <w:szCs w:val="12"/>
              </w:rPr>
              <w:t>0</w:t>
            </w:r>
          </w:p>
          <w:p>
            <w:pPr>
              <w:spacing w:before="106" w:line="199" w:lineRule="auto"/>
              <w:ind w:left="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3"/>
                <w:sz w:val="12"/>
                <w:szCs w:val="12"/>
              </w:rPr>
              <w:t>100</w:t>
            </w:r>
            <w:r>
              <w:rPr>
                <w:rFonts w:ascii="Arial" w:eastAsia="Arial" w:hAnsi="Arial" w:cs="Arial"/>
                <w:spacing w:val="-14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2"/>
                <w:szCs w:val="12"/>
              </w:rPr>
              <w:t>0</w:t>
            </w:r>
          </w:p>
          <w:p>
            <w:pPr>
              <w:spacing w:before="106" w:line="199" w:lineRule="auto"/>
              <w:ind w:left="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500</w:t>
            </w:r>
          </w:p>
          <w:p>
            <w:pPr>
              <w:spacing w:before="106" w:line="199" w:lineRule="auto"/>
              <w:ind w:left="21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0</w:t>
            </w:r>
          </w:p>
        </w:tc>
        <w:tc>
          <w:tcPr>
            <w:tcW w:w="3686" w:type="dxa"/>
            <w:vAlign w:val="top"/>
          </w:tcPr>
          <w:p>
            <w:pPr>
              <w:spacing w:line="136" w:lineRule="exact"/>
            </w:pPr>
            <w:r>
              <mc:AlternateContent>
                <mc:Choice Requires="wps">
                  <w:drawing>
                    <wp:anchor distT="0" distB="0" distL="0" distR="0" simplePos="0" relativeHeight="251762688" behindDoc="0" locked="0" layoutInCell="1" allowOverlap="1">
                      <wp:simplePos x="0" y="0"/>
                      <wp:positionH relativeFrom="rightMargin">
                        <wp:posOffset>-1294084</wp:posOffset>
                      </wp:positionH>
                      <wp:positionV relativeFrom="topMargin">
                        <wp:posOffset>341249</wp:posOffset>
                      </wp:positionV>
                      <wp:extent cx="202564" cy="2293620"/>
                      <wp:effectExtent l="0" t="0" r="0" b="0"/>
                      <wp:wrapNone/>
                      <wp:docPr id="224" name="TextBox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94084" y="341249"/>
                                <a:ext cx="202564" cy="22936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spacing w:before="13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spacing w:before="13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7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spacing w:before="13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spacing w:before="13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4</w:t>
                                  </w:r>
                                </w:p>
                                <w:p>
                                  <w:pPr>
                                    <w:spacing w:before="13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5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6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7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8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spacing w:before="131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spacing w:before="13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8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spacing w:before="13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spacing w:before="155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4" o:spid="_x0000_s1138" type="#_x0000_t202" style="width:15.95pt;height:180.6pt;margin-top:26.87pt;margin-left:-101.9pt;mso-position-horizontal-relative:right-margin-area;mso-position-vertical-relative:top-margin-area;mso-wrap-distance-bottom:0;mso-wrap-distance-left:0;mso-wrap-distance-right:0;mso-wrap-distance-top:0;position:absolute;rotation:270;v-text-anchor:top;z-index:251761664" filled="f" fillcolor="this" stroked="f">
                      <v:textbox inset="0,0,0,0">
                        <w:txbxContent>
                          <w:p>
                            <w:pPr>
                              <w:spacing w:before="20" w:line="198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  <w:p>
                            <w:pPr>
                              <w:spacing w:before="130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  <w:p>
                            <w:pPr>
                              <w:spacing w:before="130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>
                            <w:pPr>
                              <w:spacing w:before="130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3</w:t>
                            </w:r>
                          </w:p>
                          <w:p>
                            <w:pPr>
                              <w:spacing w:before="132" w:line="198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4</w:t>
                            </w:r>
                          </w:p>
                          <w:p>
                            <w:pPr>
                              <w:spacing w:before="130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5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6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7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8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  <w:p>
                            <w:pPr>
                              <w:spacing w:before="131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  <w:p>
                            <w:pPr>
                              <w:spacing w:before="132" w:line="198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>
                            <w:pPr>
                              <w:spacing w:before="130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  <w:p>
                            <w:pPr>
                              <w:spacing w:before="155" w:line="199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139" type="#_x0000_t202" style="width:45pt;height:11.6pt;margin-top:-1pt;margin-left:-167.56pt;mso-position-horizontal-relative:right-margin-area;mso-position-vertical-relative:top-margin-area;position:absolute;z-index:25176473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  <w:t>2010年-2012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0" type="#_x0000_t202" style="width:45.05pt;height:11.6pt;margin-top:-0.33pt;margin-left:-101.32pt;mso-position-horizontal-relative:right-margin-area;mso-position-vertical-relative:top-margin-area;position:absolute;z-index:25176576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  <w:t>2017年-2018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5"/>
              <w:tblW w:w="3537" w:type="dxa"/>
              <w:tblInd w:w="87" w:type="dxa"/>
              <w:tblBorders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</w:tblPr>
            <w:tblGrid>
              <w:gridCol w:w="3537"/>
            </w:tblGrid>
            <w:tr>
              <w:tblPrEx>
                <w:tblW w:w="3537" w:type="dxa"/>
                <w:tblInd w:w="87" w:type="dxa"/>
                <w:tblBorders>
                  <w:left w:val="single" w:sz="4" w:space="0" w:color="000000"/>
                  <w:bottom w:val="single" w:sz="4" w:space="0" w:color="000000"/>
                  <w:right w:val="single" w:sz="4" w:space="0" w:color="000000"/>
                </w:tblBorders>
                <w:tblLayout w:type="fixed"/>
              </w:tblPrEx>
              <w:trPr>
                <w:trHeight w:val="1986"/>
              </w:trPr>
              <w:tc>
                <w:tcPr>
                  <w:tcW w:w="3537" w:type="dxa"/>
                  <w:vAlign w:val="top"/>
                </w:tcPr>
                <w:tbl>
                  <w:tblPr>
                    <w:tblStyle w:val="TableNormal5"/>
                    <w:tblW w:w="3477" w:type="dxa"/>
                    <w:tblInd w:w="25" w:type="dxa"/>
                    <w:tblBorders>
                      <w:left w:val="single" w:sz="20" w:space="0" w:color="000000"/>
                      <w:right w:val="single" w:sz="20" w:space="0" w:color="000000"/>
                    </w:tblBorders>
                    <w:tblLayout w:type="fixed"/>
                  </w:tblPr>
                  <w:tblGrid>
                    <w:gridCol w:w="3477"/>
                  </w:tblGrid>
                  <w:tr>
                    <w:tblPrEx>
                      <w:tblW w:w="3477" w:type="dxa"/>
                      <w:tblInd w:w="25" w:type="dxa"/>
                      <w:tblBorders>
                        <w:left w:val="single" w:sz="20" w:space="0" w:color="000000"/>
                        <w:right w:val="single" w:sz="20" w:space="0" w:color="000000"/>
                      </w:tblBorders>
                      <w:tblLayout w:type="fixed"/>
                    </w:tblPrEx>
                    <w:trPr>
                      <w:trHeight w:val="1974"/>
                    </w:trPr>
                    <w:tc>
                      <w:tcPr>
                        <w:tcW w:w="3477" w:type="dxa"/>
                        <w:vAlign w:val="top"/>
                      </w:tcPr>
                      <w:p>
                        <w:pPr>
                          <w:spacing w:before="119" w:line="205" w:lineRule="auto"/>
                          <w:ind w:left="341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drawing>
                            <wp:anchor distT="0" distB="0" distL="0" distR="0" simplePos="0" relativeHeight="251763712" behindDoc="0" locked="0" layoutInCell="1" allowOverlap="1">
                              <wp:simplePos x="0" y="0"/>
                              <wp:positionH relativeFrom="column">
                                <wp:posOffset>-38095</wp:posOffset>
                              </wp:positionH>
                              <wp:positionV relativeFrom="paragraph">
                                <wp:posOffset>42234</wp:posOffset>
                              </wp:positionV>
                              <wp:extent cx="2252675" cy="1079935"/>
                              <wp:effectExtent l="0" t="0" r="0" b="0"/>
                              <wp:wrapNone/>
                              <wp:docPr id="226" name="IM 2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6" name="IM 2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52675" cy="10799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mc:AlternateContent>
                            <mc:Choice Requires="wps">
                              <w:drawing>
                                <wp:anchor distT="0" distB="0" distL="0" distR="0" simplePos="0" relativeHeight="251760640" behindDoc="1" locked="0" layoutInCell="1" allowOverlap="1">
                                  <wp:simplePos x="0" y="0"/>
                                  <wp:positionH relativeFrom="rightMargin">
                                    <wp:posOffset>-2214245</wp:posOffset>
                                  </wp:positionH>
                                  <wp:positionV relativeFrom="topMargin">
                                    <wp:posOffset>1233864</wp:posOffset>
                                  </wp:positionV>
                                  <wp:extent cx="2185035" cy="34290"/>
                                  <wp:effectExtent l="0" t="0" r="0" b="0"/>
                                  <wp:wrapNone/>
                                  <wp:docPr id="228" name="Rect 228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 xmlns:wps="http://schemas.microsoft.com/office/word/2010/wordprocessingShape">
                                        <wps:cNvSpPr/>
                                        <wps:spPr>
                                          <a:xfrm>
                                            <a:off x="-2214245" y="1233864"/>
                                            <a:ext cx="2185035" cy="34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0">
                                            <a:noFill/>
                                          </a:ln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      </wps:wsp>
                                    </a:graphicData>
                                  </a:graphic>
                                </wp:anchor>
                              </w:drawing>
                            </mc:Choice>
                            <mc:Fallback>
                              <w:pict>
                                <v:rect id="Rect 228" o:spid="_x0000_s1141" style="width:172.05pt;height:2.7pt;margin-top:97.15pt;margin-left:-174.35pt;mso-position-horizontal-relative:right-margin-area;mso-position-vertical-relative:top-margin-area;mso-wrap-distance-bottom:0;mso-wrap-distance-left:0;mso-wrap-distance-right:0;mso-wrap-distance-top:0;position:absolute;v-text-anchor:top;z-index:-251556864" fillcolor="black" stroked="f"/>
                              </w:pict>
                            </mc:Fallback>
                          </mc:AlternateConten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7"/>
                            <w:sz w:val="14"/>
                            <w:szCs w:val="14"/>
                          </w:rPr>
                          <w:t>年景气期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 xml:space="preserve">               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7"/>
                            <w:sz w:val="14"/>
                            <w:szCs w:val="14"/>
                          </w:rPr>
                          <w:t>年景气期</w:t>
                        </w:r>
                      </w:p>
                      <w:p>
                        <w:pPr>
                          <w:spacing w:line="29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0" w:line="223" w:lineRule="auto"/>
                          <w:ind w:left="2594" w:right="101" w:hanging="129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  <w:t>2020年-2021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7"/>
                            <w:sz w:val="14"/>
                            <w:szCs w:val="14"/>
                          </w:rPr>
                          <w:t>年景气期</w:t>
                        </w:r>
                      </w:p>
                    </w:tc>
                  </w:tr>
                </w:tbl>
                <w:p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Align w:val="top"/>
          </w:tcPr>
          <w:p>
            <w:pPr>
              <w:spacing w:before="94" w:line="199" w:lineRule="auto"/>
              <w:jc w:val="right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4"/>
                <w:sz w:val="12"/>
                <w:szCs w:val="12"/>
              </w:rPr>
              <w:t>120</w:t>
            </w:r>
            <w:r>
              <w:rPr>
                <w:rFonts w:ascii="Arial" w:eastAsia="Arial" w:hAnsi="Arial" w:cs="Arial"/>
                <w:spacing w:val="-16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2"/>
                <w:szCs w:val="12"/>
              </w:rPr>
              <w:t>0</w:t>
            </w:r>
          </w:p>
          <w:p>
            <w:pPr>
              <w:spacing w:before="216" w:line="199" w:lineRule="auto"/>
              <w:jc w:val="right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4"/>
                <w:sz w:val="12"/>
                <w:szCs w:val="12"/>
              </w:rPr>
              <w:t>100</w:t>
            </w:r>
            <w:r>
              <w:rPr>
                <w:rFonts w:ascii="Arial" w:eastAsia="Arial" w:hAnsi="Arial" w:cs="Arial"/>
                <w:spacing w:val="-16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2"/>
                <w:szCs w:val="12"/>
              </w:rPr>
              <w:t>0</w:t>
            </w:r>
          </w:p>
          <w:p>
            <w:pPr>
              <w:spacing w:before="216" w:line="199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800</w:t>
            </w:r>
          </w:p>
          <w:p>
            <w:pPr>
              <w:spacing w:before="216" w:line="199" w:lineRule="auto"/>
              <w:ind w:left="5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600</w:t>
            </w:r>
          </w:p>
          <w:p>
            <w:pPr>
              <w:spacing w:before="215" w:line="199" w:lineRule="auto"/>
              <w:ind w:left="56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400</w:t>
            </w:r>
          </w:p>
          <w:p>
            <w:pPr>
              <w:spacing w:before="216" w:line="199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200</w:t>
            </w:r>
          </w:p>
          <w:p>
            <w:pPr>
              <w:spacing w:before="216" w:line="199" w:lineRule="auto"/>
              <w:ind w:left="5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0</w:t>
            </w:r>
          </w:p>
        </w:tc>
      </w:tr>
    </w:tbl>
    <w:p>
      <w:pPr>
        <w:tabs>
          <w:tab w:val="left" w:pos="849"/>
        </w:tabs>
        <w:spacing w:before="193" w:line="185" w:lineRule="auto"/>
        <w:ind w:left="499"/>
        <w:rPr>
          <w:rFonts w:ascii="Microsoft YaHei" w:eastAsia="Microsoft YaHei" w:hAnsi="Microsoft YaHei" w:cs="Microsoft YaHei"/>
          <w:sz w:val="12"/>
          <w:szCs w:val="12"/>
        </w:rPr>
      </w:pPr>
      <w:r>
        <w:rPr>
          <w:rFonts w:ascii="Microsoft YaHei" w:eastAsia="Microsoft YaHei" w:hAnsi="Microsoft YaHei" w:cs="Microsoft YaHei"/>
          <w:strike/>
          <w:sz w:val="12"/>
          <w:szCs w:val="12"/>
        </w:rPr>
        <w:tab/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 xml:space="preserve"> 飞天茅台批价  </w:t>
      </w:r>
      <w:r>
        <w:rPr>
          <w:rFonts w:ascii="Microsoft YaHei" w:eastAsia="Microsoft YaHei" w:hAnsi="Microsoft YaHei" w:cs="Microsoft YaHei"/>
          <w:strike/>
          <w:spacing w:val="-1"/>
          <w:sz w:val="12"/>
          <w:szCs w:val="12"/>
        </w:rPr>
        <w:t xml:space="preserve">          </w:t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 xml:space="preserve"> 普五批价（右轴）     </w:t>
      </w:r>
      <w:r>
        <w:rPr>
          <w:rFonts w:ascii="Microsoft YaHei" w:eastAsia="Microsoft YaHei" w:hAnsi="Microsoft YaHei" w:cs="Microsoft YaHei"/>
          <w:strike/>
          <w:spacing w:val="-1"/>
          <w:sz w:val="12"/>
          <w:szCs w:val="12"/>
        </w:rPr>
        <w:t xml:space="preserve">          </w:t>
      </w:r>
      <w:r>
        <w:rPr>
          <w:rFonts w:ascii="Microsoft YaHei" w:eastAsia="Microsoft YaHei" w:hAnsi="Microsoft YaHei" w:cs="Microsoft YaHei"/>
          <w:spacing w:val="13"/>
          <w:w w:val="102"/>
          <w:sz w:val="12"/>
          <w:szCs w:val="12"/>
        </w:rPr>
        <w:t xml:space="preserve"> </w:t>
      </w:r>
      <w:r>
        <w:rPr>
          <w:rFonts w:ascii="Calibri" w:eastAsia="Calibri" w:hAnsi="Calibri" w:cs="Calibri"/>
          <w:spacing w:val="-1"/>
          <w:sz w:val="12"/>
          <w:szCs w:val="12"/>
        </w:rPr>
        <w:t>1573</w:t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>批</w:t>
      </w:r>
      <w:r>
        <w:rPr>
          <w:rFonts w:ascii="Microsoft YaHei" w:eastAsia="Microsoft YaHei" w:hAnsi="Microsoft YaHei" w:cs="Microsoft YaHei"/>
          <w:spacing w:val="-2"/>
          <w:sz w:val="12"/>
          <w:szCs w:val="12"/>
        </w:rPr>
        <w:t>价（右轴）</w:t>
      </w:r>
    </w:p>
    <w:p>
      <w:pPr>
        <w:spacing w:before="281" w:line="174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7"/>
          <w:sz w:val="13"/>
          <w:szCs w:val="13"/>
        </w:rPr>
        <w:t>资料来源： 中国酒业协会，酒说，长江证券研究所</w:t>
      </w:r>
    </w:p>
    <w:p>
      <w:pPr>
        <w:pStyle w:val="BodyText"/>
        <w:spacing w:line="14" w:lineRule="auto"/>
        <w:rPr>
          <w:sz w:val="2"/>
        </w:rPr>
        <w:sectPr>
          <w:headerReference w:type="default" r:id="rId148"/>
          <w:footerReference w:type="default" r:id="rId149"/>
          <w:type w:val="continuous"/>
          <w:pgSz w:w="11907" w:h="16839"/>
          <w:pgMar w:top="1350" w:right="749" w:bottom="970" w:left="842" w:header="851" w:footer="713" w:gutter="0"/>
          <w:pgNumType w:start="27"/>
          <w:cols w:num="2" w:space="708" w:equalWidth="0">
            <w:col w:w="5155" w:space="100"/>
            <w:col w:w="5061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77" w:lineRule="auto"/>
      </w:pPr>
    </w:p>
    <w:p>
      <w:pPr>
        <w:pStyle w:val="BodyText"/>
        <w:spacing w:before="57" w:line="198" w:lineRule="auto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9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 xml:space="preserve">PPI </w:t>
      </w:r>
      <w:r>
        <w:rPr>
          <w:rFonts w:ascii="STXihei" w:eastAsia="STXihei" w:hAnsi="STXihei" w:cs="STXihei"/>
          <w:spacing w:val="-1"/>
          <w:sz w:val="16"/>
          <w:szCs w:val="16"/>
        </w:rPr>
        <w:t>和</w:t>
      </w:r>
      <w:r>
        <w:rPr>
          <w:rFonts w:ascii="STXihei" w:eastAsia="STXihei" w:hAnsi="STXihei" w:cs="STXihei"/>
          <w:spacing w:val="15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 xml:space="preserve">PMI </w:t>
      </w:r>
      <w:r>
        <w:rPr>
          <w:rFonts w:ascii="STXihei" w:eastAsia="STXihei" w:hAnsi="STXihei" w:cs="STXihei"/>
          <w:spacing w:val="-1"/>
          <w:sz w:val="16"/>
          <w:szCs w:val="16"/>
        </w:rPr>
        <w:t>等经济指标是次</w:t>
      </w:r>
      <w:r>
        <w:rPr>
          <w:rFonts w:ascii="STXihei" w:eastAsia="STXihei" w:hAnsi="STXihei" w:cs="STXihei"/>
          <w:spacing w:val="-2"/>
          <w:sz w:val="16"/>
          <w:szCs w:val="16"/>
        </w:rPr>
        <w:t>高端景气期的前置指标</w:t>
      </w:r>
    </w:p>
    <w:p>
      <w:pPr>
        <w:spacing w:line="155" w:lineRule="exact"/>
      </w:pPr>
    </w:p>
    <w:tbl>
      <w:tblPr>
        <w:tblStyle w:val="TableNormal6"/>
        <w:tblW w:w="4677" w:type="dxa"/>
        <w:tblInd w:w="1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5"/>
        <w:gridCol w:w="4226"/>
        <w:gridCol w:w="206"/>
      </w:tblGrid>
      <w:tr>
        <w:tblPrEx>
          <w:tblW w:w="4677" w:type="dxa"/>
          <w:tblInd w:w="12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44"/>
        </w:trPr>
        <w:tc>
          <w:tcPr>
            <w:tcW w:w="245" w:type="dxa"/>
            <w:vAlign w:val="top"/>
          </w:tcPr>
          <w:p>
            <w:pPr>
              <w:spacing w:before="32" w:line="199" w:lineRule="auto"/>
              <w:ind w:left="5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15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37" w:line="199" w:lineRule="auto"/>
              <w:ind w:left="5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10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37" w:line="196" w:lineRule="auto"/>
              <w:ind w:left="11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5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38" w:line="199" w:lineRule="auto"/>
              <w:ind w:left="12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0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37" w:line="196" w:lineRule="auto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-5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38" w:line="199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-10</w:t>
            </w:r>
          </w:p>
        </w:tc>
        <w:tc>
          <w:tcPr>
            <w:tcW w:w="4226" w:type="dxa"/>
            <w:vAlign w:val="top"/>
          </w:tcPr>
          <w:p>
            <w:pPr>
              <w:spacing w:line="81" w:lineRule="exact"/>
            </w:pPr>
            <w:r>
              <mc:AlternateContent>
                <mc:Choice Requires="wps">
                  <w:drawing>
                    <wp:anchor distT="0" distB="0" distL="0" distR="0" simplePos="0" relativeHeight="251767808" behindDoc="1" locked="0" layoutInCell="1" allowOverlap="1">
                      <wp:simplePos x="0" y="0"/>
                      <wp:positionH relativeFrom="rightMargin">
                        <wp:posOffset>-2623780</wp:posOffset>
                      </wp:positionH>
                      <wp:positionV relativeFrom="topMargin">
                        <wp:posOffset>51930</wp:posOffset>
                      </wp:positionV>
                      <wp:extent cx="37465" cy="1413510"/>
                      <wp:effectExtent l="0" t="0" r="0" b="0"/>
                      <wp:wrapNone/>
                      <wp:docPr id="230" name="Rect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623780" y="51930"/>
                                <a:ext cx="37465" cy="141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30" o:spid="_x0000_s1142" style="width:2.95pt;height:111.3pt;margin-top:4.09pt;margin-left:-206.6pt;mso-position-horizontal-relative:right-margin-area;mso-position-vertical-relative:top-margin-area;mso-wrap-distance-bottom:0;mso-wrap-distance-left:0;mso-wrap-distance-right:0;mso-wrap-distance-top:0;position:absolute;v-text-anchor:top;z-index:-25154969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1904" behindDoc="1" locked="0" layoutInCell="1" allowOverlap="1">
                      <wp:simplePos x="0" y="0"/>
                      <wp:positionH relativeFrom="rightMargin">
                        <wp:posOffset>-76904</wp:posOffset>
                      </wp:positionH>
                      <wp:positionV relativeFrom="topMargin">
                        <wp:posOffset>51930</wp:posOffset>
                      </wp:positionV>
                      <wp:extent cx="37465" cy="1413510"/>
                      <wp:effectExtent l="0" t="0" r="0" b="0"/>
                      <wp:wrapNone/>
                      <wp:docPr id="232" name="Rect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76904" y="51930"/>
                                <a:ext cx="37465" cy="141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32" o:spid="_x0000_s1143" style="width:2.95pt;height:111.3pt;margin-top:4.09pt;margin-left:-6.06pt;mso-position-horizontal-relative:right-margin-area;mso-position-vertical-relative:top-margin-area;mso-wrap-distance-bottom:0;mso-wrap-distance-left:0;mso-wrap-distance-right:0;mso-wrap-distance-top:0;position:absolute;v-text-anchor:top;z-index:-25154560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8048" behindDoc="0" locked="0" layoutInCell="1" allowOverlap="1">
                      <wp:simplePos x="0" y="0"/>
                      <wp:positionH relativeFrom="rightMargin">
                        <wp:posOffset>-1542112</wp:posOffset>
                      </wp:positionH>
                      <wp:positionV relativeFrom="topMargin">
                        <wp:posOffset>-187878</wp:posOffset>
                      </wp:positionV>
                      <wp:extent cx="338454" cy="2608579"/>
                      <wp:effectExtent l="0" t="0" r="0" b="0"/>
                      <wp:wrapNone/>
                      <wp:docPr id="234" name="TextBox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42112" y="-187878"/>
                                <a:ext cx="338454" cy="260857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5-01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5-11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6-09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7-07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8-05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9-03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0-01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0-11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8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3"/>
                                      <w:szCs w:val="13"/>
                                    </w:rPr>
                                    <w:t>1-09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2-07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3-05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4-03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5-01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5-11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6-09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7-07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8-05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9-03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0-01</w:t>
                                  </w:r>
                                </w:p>
                                <w:p>
                                  <w:pPr>
                                    <w:spacing w:before="63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0-11</w:t>
                                  </w:r>
                                </w:p>
                                <w:p>
                                  <w:pPr>
                                    <w:spacing w:before="62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3"/>
                                      <w:szCs w:val="13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8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3"/>
                                      <w:szCs w:val="13"/>
                                    </w:rPr>
                                    <w:t>1-09</w:t>
                                  </w:r>
                                </w:p>
                                <w:p>
                                  <w:pPr>
                                    <w:spacing w:before="89" w:line="19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3"/>
                                      <w:szCs w:val="13"/>
                                    </w:rPr>
                                    <w:t>2-07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4" o:spid="_x0000_s1144" type="#_x0000_t202" style="width:26.65pt;height:205.4pt;margin-top:-14.79pt;margin-left:-121.43pt;mso-position-horizontal-relative:right-margin-area;mso-position-vertical-relative:top-margin-area;mso-wrap-distance-bottom:0;mso-wrap-distance-left:0;mso-wrap-distance-right:0;mso-wrap-distance-top:0;position:absolute;rotation:270;v-text-anchor:top;z-index:251777024" filled="f" fillcolor="this" stroked="f">
                      <v:textbox inset="0,0,0,0">
                        <w:txbxContent>
                          <w:p>
                            <w:pPr>
                              <w:spacing w:before="20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5-01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5-11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6-09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7-07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8-05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9-03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0-01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0-11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3"/>
                                <w:szCs w:val="13"/>
                              </w:rPr>
                              <w:t>1-09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2-07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3-05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4-03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5-01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5-11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6-09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7-07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8-05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9-03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0-01</w:t>
                            </w:r>
                          </w:p>
                          <w:p>
                            <w:pPr>
                              <w:spacing w:before="63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0-11</w:t>
                            </w:r>
                          </w:p>
                          <w:p>
                            <w:pPr>
                              <w:spacing w:before="62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3"/>
                                <w:szCs w:val="13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3"/>
                                <w:szCs w:val="13"/>
                              </w:rPr>
                              <w:t>1-09</w:t>
                            </w:r>
                          </w:p>
                          <w:p>
                            <w:pPr>
                              <w:spacing w:before="89" w:line="199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3"/>
                                <w:szCs w:val="13"/>
                              </w:rPr>
                              <w:t>2-07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145" type="#_x0000_t202" style="width:48.7pt;height:12.55pt;margin-top:-1pt;margin-left:-68.63pt;mso-position-horizontal-relative:right-margin-area;mso-position-vertical-relative:top-margin-area;position:absolute;z-index:25178419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5"/>
                            <w:sz w:val="16"/>
                            <w:szCs w:val="16"/>
                          </w:rPr>
                          <w:t>2020年-2021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6" type="#_x0000_t202" style="width:48.7pt;height:12.55pt;margin-top:1.62pt;margin-left:-128.42pt;mso-position-horizontal-relative:right-margin-area;mso-position-vertical-relative:top-margin-area;position:absolute;z-index:25177907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5"/>
                            <w:sz w:val="16"/>
                            <w:szCs w:val="16"/>
                          </w:rPr>
                          <w:t>2017年-2018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7" type="#_x0000_t202" style="width:56.4pt;height:12.55pt;margin-top:-1pt;margin-left:-204.7pt;mso-position-horizontal-relative:right-margin-area;mso-position-vertical-relative:top-margin-area;position:absolute;z-index:2517821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5"/>
                            <w:sz w:val="16"/>
                            <w:szCs w:val="16"/>
                          </w:rPr>
                          <w:t>2010年-2012年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8" type="#_x0000_t202" style="width:34.05pt;height:12.55pt;margin-top:12.91pt;margin-left:-68.94pt;mso-position-horizontal-relative:right-margin-area;mso-position-vertical-relative:top-margin-area;position:absolute;z-index:25178009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  <w:t>年景气期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9" type="#_x0000_t202" style="width:25.75pt;height:12.5pt;margin-top:12.93pt;margin-left:-189.38pt;mso-position-horizontal-relative:right-margin-area;mso-position-vertical-relative:top-margin-area;position:absolute;z-index:25178316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2"/>
                            <w:sz w:val="16"/>
                            <w:szCs w:val="16"/>
                          </w:rPr>
                          <w:t>景气期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0" type="#_x0000_t202" style="width:34.05pt;height:12.55pt;margin-top:15.53pt;margin-left:-121.43pt;mso-position-horizontal-relative:right-margin-area;mso-position-vertical-relative:top-margin-area;position:absolute;z-index:25178112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  <w:t>年景气期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72928" behindDoc="0" locked="0" layoutInCell="1" allowOverlap="1">
                  <wp:simplePos x="0" y="0"/>
                  <wp:positionH relativeFrom="rightMargin">
                    <wp:posOffset>-2614510</wp:posOffset>
                  </wp:positionH>
                  <wp:positionV relativeFrom="topMargin">
                    <wp:posOffset>98289</wp:posOffset>
                  </wp:positionV>
                  <wp:extent cx="2565403" cy="1366944"/>
                  <wp:effectExtent l="0" t="0" r="0" b="0"/>
                  <wp:wrapNone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3" cy="1366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3952" behindDoc="0" locked="0" layoutInCell="1" allowOverlap="1">
                  <wp:simplePos x="0" y="0"/>
                  <wp:positionH relativeFrom="rightMargin">
                    <wp:posOffset>-2169880</wp:posOffset>
                  </wp:positionH>
                  <wp:positionV relativeFrom="topMargin">
                    <wp:posOffset>241284</wp:posOffset>
                  </wp:positionV>
                  <wp:extent cx="182778" cy="711580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78" cy="71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4976" behindDoc="0" locked="0" layoutInCell="1" allowOverlap="1">
                  <wp:simplePos x="0" y="0"/>
                  <wp:positionH relativeFrom="rightMargin">
                    <wp:posOffset>-484349</wp:posOffset>
                  </wp:positionH>
                  <wp:positionV relativeFrom="topMargin">
                    <wp:posOffset>158150</wp:posOffset>
                  </wp:positionV>
                  <wp:extent cx="154965" cy="678662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65" cy="678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6000" behindDoc="0" locked="0" layoutInCell="1" allowOverlap="1">
                  <wp:simplePos x="0" y="0"/>
                  <wp:positionH relativeFrom="rightMargin">
                    <wp:posOffset>-1114103</wp:posOffset>
                  </wp:positionH>
                  <wp:positionV relativeFrom="topMargin">
                    <wp:posOffset>259762</wp:posOffset>
                  </wp:positionV>
                  <wp:extent cx="181266" cy="724979"/>
                  <wp:effectExtent l="0" t="0" r="0" b="0"/>
                  <wp:wrapNone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66" cy="724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6"/>
              <w:tblW w:w="4059" w:type="dxa"/>
              <w:tblInd w:w="9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4059"/>
            </w:tblGrid>
            <w:tr>
              <w:tblPrEx>
                <w:tblW w:w="4059" w:type="dxa"/>
                <w:tblInd w:w="9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1331"/>
              </w:trPr>
              <w:tc>
                <w:tcPr>
                  <w:tcW w:w="4059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69856" behindDoc="1" locked="0" layoutInCell="1" allowOverlap="1">
                            <wp:simplePos x="0" y="0"/>
                            <wp:positionH relativeFrom="rightMargin">
                              <wp:posOffset>-2577464</wp:posOffset>
                            </wp:positionH>
                            <wp:positionV relativeFrom="topMargin">
                              <wp:posOffset>822138</wp:posOffset>
                            </wp:positionV>
                            <wp:extent cx="2491739" cy="27940"/>
                            <wp:effectExtent l="0" t="0" r="0" b="0"/>
                            <wp:wrapNone/>
                            <wp:docPr id="244" name="Rect 2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-2577464" y="822138"/>
                                      <a:ext cx="2491739" cy="27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244" o:spid="_x0000_s1151" style="width:196.2pt;height:2.2pt;margin-top:64.74pt;margin-left:-202.95pt;mso-position-horizontal-relative:right-margin-area;mso-position-vertical-relative:top-margin-area;mso-wrap-distance-bottom:0;mso-wrap-distance-left:0;mso-wrap-distance-right:0;mso-wrap-distance-top:0;position:absolute;v-text-anchor:top;z-index:-251547648" fillcolor="black" stroked="f"/>
                        </w:pict>
                      </mc:Fallback>
                    </mc:AlternateContent>
                  </w:r>
                </w:p>
              </w:tc>
            </w:tr>
            <w:tr>
              <w:tblPrEx>
                <w:tblW w:w="4059" w:type="dxa"/>
                <w:tblInd w:w="99" w:type="dxa"/>
                <w:tblLayout w:type="fixed"/>
              </w:tblPrEx>
              <w:trPr>
                <w:trHeight w:val="884"/>
              </w:trPr>
              <w:tc>
                <w:tcPr>
                  <w:tcW w:w="4059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30"/>
              </w:tabs>
              <w:spacing w:before="56" w:line="125" w:lineRule="exact"/>
              <w:ind w:left="15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trike/>
                <w:position w:val="-1"/>
                <w:sz w:val="13"/>
                <w:szCs w:val="13"/>
              </w:rPr>
              <w:tab/>
            </w:r>
            <w:r>
              <w:rPr>
                <w:rFonts w:ascii="Microsoft YaHei" w:eastAsia="Microsoft YaHei" w:hAnsi="Microsoft YaHei" w:cs="Microsoft YaHei"/>
                <w:spacing w:val="14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13"/>
                <w:szCs w:val="13"/>
              </w:rPr>
              <w:t>中国</w:t>
            </w:r>
            <w:r>
              <w:rPr>
                <w:rFonts w:ascii="Calibri" w:eastAsia="Calibri" w:hAnsi="Calibri" w:cs="Calibri"/>
                <w:spacing w:val="-1"/>
                <w:position w:val="-1"/>
                <w:sz w:val="13"/>
                <w:szCs w:val="13"/>
              </w:rPr>
              <w:t>:PPI:</w:t>
            </w:r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13"/>
                <w:szCs w:val="13"/>
              </w:rPr>
              <w:t>全部工业品</w:t>
            </w:r>
            <w:r>
              <w:rPr>
                <w:rFonts w:ascii="Calibri" w:eastAsia="Calibri" w:hAnsi="Calibri" w:cs="Calibri"/>
                <w:spacing w:val="-1"/>
                <w:position w:val="-1"/>
                <w:sz w:val="13"/>
                <w:szCs w:val="13"/>
              </w:rPr>
              <w:t>:</w:t>
            </w:r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13"/>
                <w:szCs w:val="13"/>
              </w:rPr>
              <w:t xml:space="preserve">当月同比         </w:t>
            </w:r>
            <w:r>
              <w:rPr>
                <w:rFonts w:ascii="Microsoft YaHei" w:eastAsia="Microsoft YaHei" w:hAnsi="Microsoft YaHei" w:cs="Microsoft YaHei"/>
                <w:strike/>
                <w:spacing w:val="-1"/>
                <w:position w:val="-1"/>
                <w:sz w:val="13"/>
                <w:szCs w:val="13"/>
              </w:rPr>
              <w:t xml:space="preserve">          </w:t>
            </w:r>
            <w:r>
              <w:rPr>
                <w:rFonts w:ascii="Microsoft YaHei" w:eastAsia="Microsoft YaHei" w:hAnsi="Microsoft YaHei" w:cs="Microsoft YaHei"/>
                <w:spacing w:val="16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13"/>
                <w:szCs w:val="13"/>
              </w:rPr>
              <w:t>中</w:t>
            </w:r>
            <w:r>
              <w:rPr>
                <w:rFonts w:ascii="Microsoft YaHei" w:eastAsia="Microsoft YaHei" w:hAnsi="Microsoft YaHei" w:cs="Microsoft YaHei"/>
                <w:spacing w:val="-2"/>
                <w:position w:val="-1"/>
                <w:sz w:val="13"/>
                <w:szCs w:val="13"/>
              </w:rPr>
              <w:t>国</w:t>
            </w:r>
            <w:r>
              <w:rPr>
                <w:rFonts w:ascii="Calibri" w:eastAsia="Calibri" w:hAnsi="Calibri" w:cs="Calibri"/>
                <w:spacing w:val="-2"/>
                <w:position w:val="-1"/>
                <w:sz w:val="13"/>
                <w:szCs w:val="13"/>
              </w:rPr>
              <w:t xml:space="preserve">:PMI  </w:t>
            </w:r>
            <w:r>
              <w:rPr>
                <w:rFonts w:ascii="Microsoft YaHei" w:eastAsia="Microsoft YaHei" w:hAnsi="Microsoft YaHei" w:cs="Microsoft YaHei"/>
                <w:spacing w:val="-2"/>
                <w:position w:val="-1"/>
                <w:sz w:val="13"/>
                <w:szCs w:val="13"/>
              </w:rPr>
              <w:t>（右轴）</w:t>
            </w:r>
          </w:p>
        </w:tc>
        <w:tc>
          <w:tcPr>
            <w:tcW w:w="206" w:type="dxa"/>
            <w:vAlign w:val="top"/>
          </w:tcPr>
          <w:p>
            <w:pPr>
              <w:spacing w:before="32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60</w:t>
            </w:r>
          </w:p>
          <w:p>
            <w:pPr>
              <w:spacing w:before="98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58</w:t>
            </w:r>
          </w:p>
          <w:p>
            <w:pPr>
              <w:spacing w:before="98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56</w:t>
            </w:r>
          </w:p>
          <w:p>
            <w:pPr>
              <w:spacing w:before="98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54</w:t>
            </w:r>
          </w:p>
          <w:p>
            <w:pPr>
              <w:spacing w:before="98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52</w:t>
            </w:r>
          </w:p>
          <w:p>
            <w:pPr>
              <w:spacing w:before="98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50</w:t>
            </w:r>
          </w:p>
          <w:p>
            <w:pPr>
              <w:spacing w:before="99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48</w:t>
            </w:r>
          </w:p>
          <w:p>
            <w:pPr>
              <w:spacing w:before="99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46</w:t>
            </w:r>
          </w:p>
          <w:p>
            <w:pPr>
              <w:spacing w:before="98" w:line="197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44</w:t>
            </w:r>
          </w:p>
          <w:p>
            <w:pPr>
              <w:spacing w:before="100" w:line="197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42</w:t>
            </w:r>
          </w:p>
          <w:p>
            <w:pPr>
              <w:spacing w:before="99" w:line="199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</w:t>
            </w:r>
          </w:p>
        </w:tc>
      </w:tr>
    </w:tbl>
    <w:p>
      <w:pPr>
        <w:pStyle w:val="BodyText"/>
        <w:spacing w:line="296" w:lineRule="auto"/>
      </w:pPr>
    </w:p>
    <w:p>
      <w:pPr>
        <w:pStyle w:val="BodyText"/>
        <w:spacing w:before="45" w:line="187" w:lineRule="auto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，长江证券研究所</w:t>
      </w:r>
    </w:p>
    <w:p>
      <w:pPr>
        <w:spacing w:line="187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154"/>
          <w:footerReference w:type="default" r:id="rId155"/>
          <w:type w:val="nextPage"/>
          <w:pgSz w:w="11907" w:h="16839"/>
          <w:pgMar w:top="1350" w:right="749" w:bottom="970" w:left="842" w:header="851" w:footer="713" w:gutter="0"/>
          <w:pgNumType w:start="28"/>
          <w:cols w:num="2" w:space="708" w:equalWidth="0">
            <w:col w:w="5155" w:space="100"/>
            <w:col w:w="5061" w:space="0"/>
          </w:cols>
          <w:titlePg w:val="0"/>
        </w:sectPr>
      </w:pPr>
    </w:p>
    <w:p>
      <w:pPr>
        <w:pStyle w:val="BodyText"/>
        <w:spacing w:line="288" w:lineRule="auto"/>
      </w:pPr>
      <w:r>
        <w:pict>
          <v:rect id="_x0000_s1152" style="width:378.7pt;height:0.5pt;margin-top:273.41pt;margin-left:42.6pt;mso-position-horizontal-relative:page;mso-position-vertical-relative:page;position:absolute;z-index:251785216" o:allowincell="f" filled="t" fillcolor="black" stroked="f"/>
        </w:pict>
      </w:r>
      <w:r>
        <w:pict>
          <v:rect id="_x0000_s1153" style="width:378.7pt;height:0.5pt;margin-top:460.03pt;margin-left:42.6pt;mso-position-horizontal-relative:page;mso-position-vertical-relative:page;position:absolute;z-index:251786240" o:allowincell="f" filled="t" fillcolor="black" stroked="f"/>
        </w:pict>
      </w:r>
    </w:p>
    <w:p>
      <w:pPr>
        <w:pStyle w:val="BodyText"/>
        <w:spacing w:line="289" w:lineRule="auto"/>
      </w:pPr>
    </w:p>
    <w:p>
      <w:pPr>
        <w:pStyle w:val="BodyText"/>
        <w:spacing w:before="101" w:line="239" w:lineRule="auto"/>
        <w:ind w:left="20"/>
        <w:rPr>
          <w:rFonts w:ascii="SimHei" w:eastAsia="SimHei" w:hAnsi="SimHei" w:cs="SimHei"/>
          <w:sz w:val="31"/>
          <w:szCs w:val="31"/>
        </w:rPr>
      </w:pPr>
      <w:bookmarkStart w:id="24" w:name="bookmark25"/>
      <w:bookmarkEnd w:id="24"/>
      <w:bookmarkStart w:id="25" w:name="bookmark4"/>
      <w:bookmarkEnd w:id="25"/>
      <w:bookmarkStart w:id="26" w:name="bookmark5"/>
      <w:bookmarkEnd w:id="26"/>
      <w:r>
        <w:rPr>
          <w:rFonts w:ascii="SimHei" w:eastAsia="SimHei" w:hAnsi="SimHei" w:cs="SimHei"/>
          <w:color w:val="E10000"/>
          <w:spacing w:val="1"/>
          <w:sz w:val="31"/>
          <w:szCs w:val="31"/>
        </w:rPr>
        <w:t>看历史：</w:t>
      </w:r>
      <w:r>
        <w:rPr>
          <w:rFonts w:ascii="SimHei" w:eastAsia="SimHei" w:hAnsi="SimHei" w:cs="SimHei"/>
          <w:color w:val="E10000"/>
          <w:spacing w:val="1"/>
          <w:sz w:val="31"/>
          <w:szCs w:val="31"/>
        </w:rPr>
        <w:t xml:space="preserve"> </w:t>
      </w:r>
      <w:r>
        <w:rPr>
          <w:rFonts w:ascii="SimHei" w:eastAsia="SimHei" w:hAnsi="SimHei" w:cs="SimHei"/>
          <w:color w:val="E10000"/>
          <w:spacing w:val="1"/>
          <w:sz w:val="31"/>
          <w:szCs w:val="31"/>
        </w:rPr>
        <w:t>景气上行价格带扩充</w:t>
      </w:r>
      <w:r>
        <w:rPr>
          <w:color w:val="E10000"/>
          <w:spacing w:val="1"/>
          <w:sz w:val="31"/>
          <w:szCs w:val="31"/>
        </w:rPr>
        <w:t>+</w:t>
      </w:r>
      <w:r>
        <w:rPr>
          <w:rFonts w:ascii="SimHei" w:eastAsia="SimHei" w:hAnsi="SimHei" w:cs="SimHei"/>
          <w:color w:val="E10000"/>
          <w:spacing w:val="1"/>
          <w:sz w:val="31"/>
          <w:szCs w:val="31"/>
        </w:rPr>
        <w:t>渠道扩张带来快</w:t>
      </w:r>
    </w:p>
    <w:p>
      <w:pPr>
        <w:spacing w:before="1" w:line="227" w:lineRule="auto"/>
        <w:ind w:left="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E10000"/>
          <w:spacing w:val="5"/>
          <w:sz w:val="31"/>
          <w:szCs w:val="31"/>
        </w:rPr>
        <w:t>速成长</w:t>
      </w:r>
    </w:p>
    <w:p>
      <w:pPr>
        <w:pStyle w:val="BodyText"/>
        <w:spacing w:before="163" w:line="312" w:lineRule="exact"/>
        <w:ind w:left="14"/>
        <w:rPr>
          <w:rFonts w:ascii="STXihei" w:eastAsia="STXihei" w:hAnsi="STXihei" w:cs="STXihei"/>
          <w:sz w:val="18"/>
          <w:szCs w:val="18"/>
        </w:rPr>
      </w:pPr>
      <w:r>
        <w:rPr>
          <w:b/>
          <w:bCs/>
          <w:position w:val="11"/>
          <w:sz w:val="18"/>
          <w:szCs w:val="18"/>
        </w:rPr>
        <w:t xml:space="preserve">2012-2014 </w:t>
      </w: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年白酒行业大调整后次高端酒主要经历了</w:t>
      </w:r>
      <w:r>
        <w:rPr>
          <w:rFonts w:ascii="STXihei" w:eastAsia="STXihei" w:hAnsi="STXihei" w:cs="STXihei"/>
          <w:spacing w:val="13"/>
          <w:w w:val="101"/>
          <w:position w:val="11"/>
          <w:sz w:val="18"/>
          <w:szCs w:val="18"/>
        </w:rPr>
        <w:t xml:space="preserve"> </w:t>
      </w:r>
      <w:r>
        <w:rPr>
          <w:b/>
          <w:bCs/>
          <w:position w:val="11"/>
          <w:sz w:val="18"/>
          <w:szCs w:val="18"/>
        </w:rPr>
        <w:t xml:space="preserve">2017-2018 </w:t>
      </w: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年和</w:t>
      </w:r>
      <w:r>
        <w:rPr>
          <w:rFonts w:ascii="STXihei" w:eastAsia="STXihei" w:hAnsi="STXihei" w:cs="STXihei"/>
          <w:spacing w:val="13"/>
          <w:position w:val="11"/>
          <w:sz w:val="18"/>
          <w:szCs w:val="18"/>
        </w:rPr>
        <w:t xml:space="preserve"> </w:t>
      </w:r>
      <w:r>
        <w:rPr>
          <w:b/>
          <w:bCs/>
          <w:position w:val="11"/>
          <w:sz w:val="18"/>
          <w:szCs w:val="18"/>
        </w:rPr>
        <w:t>202</w:t>
      </w:r>
      <w:r>
        <w:rPr>
          <w:b/>
          <w:bCs/>
          <w:spacing w:val="-1"/>
          <w:position w:val="11"/>
          <w:sz w:val="18"/>
          <w:szCs w:val="18"/>
        </w:rPr>
        <w:t xml:space="preserve">0-2021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年两</w:t>
      </w:r>
    </w:p>
    <w:p>
      <w:pPr>
        <w:pStyle w:val="BodyText"/>
        <w:spacing w:line="197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次景气期。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白酒行业从 </w:t>
      </w:r>
      <w:r>
        <w:rPr>
          <w:spacing w:val="-4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年开始重新进入新的快速发展期，  </w:t>
      </w:r>
      <w:r>
        <w:rPr>
          <w:spacing w:val="-4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4"/>
          <w:sz w:val="18"/>
          <w:szCs w:val="18"/>
        </w:rPr>
        <w:t>年开始高端白酒实</w:t>
      </w:r>
    </w:p>
    <w:p>
      <w:pPr>
        <w:pStyle w:val="BodyText"/>
        <w:spacing w:before="104" w:line="197" w:lineRule="auto"/>
        <w:ind w:left="18"/>
        <w:rPr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现量价齐升，叠加经济环境转好次高端白酒在</w:t>
      </w:r>
      <w:r>
        <w:rPr>
          <w:rFonts w:ascii="STXihei" w:eastAsia="STXihei" w:hAnsi="STXihei" w:cs="STXihei"/>
          <w:spacing w:val="12"/>
          <w:w w:val="10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2017</w:t>
      </w:r>
      <w:r>
        <w:rPr>
          <w:spacing w:val="14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至 </w:t>
      </w:r>
      <w:r>
        <w:rPr>
          <w:spacing w:val="-3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年实现了快速增长。   </w:t>
      </w:r>
      <w:r>
        <w:rPr>
          <w:spacing w:val="-4"/>
          <w:sz w:val="18"/>
          <w:szCs w:val="18"/>
        </w:rPr>
        <w:t>2019</w:t>
      </w:r>
    </w:p>
    <w:p>
      <w:pPr>
        <w:pStyle w:val="BodyText"/>
        <w:spacing w:before="104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 xml:space="preserve">年至 </w:t>
      </w:r>
      <w:r>
        <w:rPr>
          <w:spacing w:val="-6"/>
          <w:sz w:val="18"/>
          <w:szCs w:val="18"/>
        </w:rPr>
        <w:t xml:space="preserve">2020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年高端酒价格上行带来价格红利，   次高端酒 </w:t>
      </w:r>
      <w:r>
        <w:rPr>
          <w:spacing w:val="-6"/>
          <w:sz w:val="18"/>
          <w:szCs w:val="18"/>
        </w:rPr>
        <w:t xml:space="preserve">500-800 </w:t>
      </w:r>
      <w:r>
        <w:rPr>
          <w:rFonts w:ascii="STXihei" w:eastAsia="STXihei" w:hAnsi="STXihei" w:cs="STXihei"/>
          <w:spacing w:val="-6"/>
          <w:sz w:val="18"/>
          <w:szCs w:val="18"/>
        </w:rPr>
        <w:t>元价格带得以诞生，   部</w:t>
      </w:r>
    </w:p>
    <w:p>
      <w:pPr>
        <w:pStyle w:val="BodyText"/>
        <w:spacing w:before="104" w:line="198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分全国次高端借助渠道推力实现快速扩张，在</w:t>
      </w:r>
      <w:r>
        <w:rPr>
          <w:rFonts w:ascii="STXihei" w:eastAsia="STXihei" w:hAnsi="STXihei" w:cs="STXihei"/>
          <w:spacing w:val="3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2021 </w:t>
      </w:r>
      <w:r>
        <w:rPr>
          <w:rFonts w:ascii="STXihei" w:eastAsia="STXihei" w:hAnsi="STXihei" w:cs="STXihei"/>
          <w:spacing w:val="-1"/>
          <w:sz w:val="18"/>
          <w:szCs w:val="18"/>
        </w:rPr>
        <w:t>年实现高速成长。下文将详细对两</w:t>
      </w:r>
    </w:p>
    <w:p>
      <w:pPr>
        <w:spacing w:before="103" w:line="198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轮次高端景气期进行复盘，</w:t>
      </w:r>
      <w:r>
        <w:rPr>
          <w:rFonts w:ascii="STXihei" w:eastAsia="STXihei" w:hAnsi="STXihei" w:cs="STXihei"/>
          <w:spacing w:val="25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为分辨本轮正处于周期的什么位置、应如何寻找有机会的次</w:t>
      </w:r>
    </w:p>
    <w:p>
      <w:pPr>
        <w:spacing w:before="105" w:line="197" w:lineRule="auto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高端酒企总结历史经验。</w:t>
      </w:r>
    </w:p>
    <w:p>
      <w:pPr>
        <w:pStyle w:val="BodyText"/>
        <w:spacing w:before="216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10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 xml:space="preserve">2016 </w:t>
      </w:r>
      <w:r>
        <w:rPr>
          <w:rFonts w:ascii="STXihei" w:eastAsia="STXihei" w:hAnsi="STXihei" w:cs="STXihei"/>
          <w:spacing w:val="-1"/>
          <w:sz w:val="16"/>
          <w:szCs w:val="16"/>
        </w:rPr>
        <w:t xml:space="preserve">年以来各价格带白酒市值相对于 </w:t>
      </w:r>
      <w:r>
        <w:rPr>
          <w:spacing w:val="-1"/>
          <w:sz w:val="16"/>
          <w:szCs w:val="16"/>
        </w:rPr>
        <w:t xml:space="preserve">2016 </w:t>
      </w:r>
      <w:r>
        <w:rPr>
          <w:rFonts w:ascii="STXihei" w:eastAsia="STXihei" w:hAnsi="STXihei" w:cs="STXihei"/>
          <w:spacing w:val="-1"/>
          <w:sz w:val="16"/>
          <w:szCs w:val="16"/>
        </w:rPr>
        <w:t>年初的比例</w:t>
      </w:r>
    </w:p>
    <w:p>
      <w:pPr>
        <w:spacing w:before="139" w:line="3457" w:lineRule="exact"/>
        <w:ind w:firstLine="236"/>
      </w:pPr>
      <w:r>
        <w:rPr>
          <w:position w:val="-69"/>
        </w:rPr>
        <w:drawing>
          <wp:inline distT="0" distB="0" distL="0" distR="0">
            <wp:extent cx="4416270" cy="2195328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4416270" cy="219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before="46" w:line="300" w:lineRule="exact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position w:val="13"/>
          <w:sz w:val="13"/>
          <w:szCs w:val="13"/>
        </w:rPr>
        <w:t>资料来源：</w:t>
      </w:r>
      <w:r>
        <w:rPr>
          <w:position w:val="13"/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position w:val="13"/>
          <w:sz w:val="13"/>
          <w:szCs w:val="13"/>
        </w:rPr>
        <w:t>，长江证券研究所（注：高端包括贵州茅台、五粮液、泸州老窖，全国化次高端包括</w:t>
      </w:r>
      <w:r>
        <w:rPr>
          <w:rFonts w:ascii="STXihei" w:eastAsia="STXihei" w:hAnsi="STXihei" w:cs="STXihei"/>
          <w:spacing w:val="9"/>
          <w:position w:val="13"/>
          <w:sz w:val="13"/>
          <w:szCs w:val="13"/>
        </w:rPr>
        <w:t>舍得酒业、酒鬼酒、</w:t>
      </w:r>
    </w:p>
    <w:p>
      <w:pPr>
        <w:pStyle w:val="BodyText"/>
        <w:spacing w:line="209" w:lineRule="auto"/>
        <w:ind w:left="13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3"/>
          <w:sz w:val="13"/>
          <w:szCs w:val="13"/>
        </w:rPr>
        <w:t>水井坊，   区域次高端包括洋河股份、山西汾酒、古井贡酒、今世缘；   市值计算以</w:t>
      </w:r>
      <w:r>
        <w:rPr>
          <w:rFonts w:ascii="STXihei" w:eastAsia="STXihei" w:hAnsi="STXihei" w:cs="STXihei"/>
          <w:spacing w:val="25"/>
          <w:w w:val="102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 xml:space="preserve">2016 </w:t>
      </w:r>
      <w:r>
        <w:rPr>
          <w:rFonts w:ascii="STXihei" w:eastAsia="STXihei" w:hAnsi="STXihei" w:cs="STXihei"/>
          <w:spacing w:val="3"/>
          <w:sz w:val="13"/>
          <w:szCs w:val="13"/>
        </w:rPr>
        <w:t>年</w:t>
      </w:r>
      <w:r>
        <w:rPr>
          <w:rFonts w:ascii="STXihei" w:eastAsia="STXihei" w:hAnsi="STXihei" w:cs="STXihei"/>
          <w:spacing w:val="18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 xml:space="preserve">1 </w:t>
      </w:r>
      <w:r>
        <w:rPr>
          <w:rFonts w:ascii="STXihei" w:eastAsia="STXihei" w:hAnsi="STXihei" w:cs="STXihei"/>
          <w:spacing w:val="3"/>
          <w:sz w:val="13"/>
          <w:szCs w:val="13"/>
        </w:rPr>
        <w:t xml:space="preserve">月 </w:t>
      </w:r>
      <w:r>
        <w:rPr>
          <w:spacing w:val="3"/>
          <w:sz w:val="13"/>
          <w:szCs w:val="13"/>
        </w:rPr>
        <w:t xml:space="preserve">4  </w:t>
      </w:r>
      <w:r>
        <w:rPr>
          <w:rFonts w:ascii="STXihei" w:eastAsia="STXihei" w:hAnsi="STXihei" w:cs="STXihei"/>
          <w:spacing w:val="3"/>
          <w:sz w:val="13"/>
          <w:szCs w:val="13"/>
        </w:rPr>
        <w:t>日为基准计算倍数）</w:t>
      </w: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pStyle w:val="BodyText"/>
        <w:spacing w:before="92" w:line="237" w:lineRule="auto"/>
        <w:ind w:left="17"/>
        <w:rPr>
          <w:rFonts w:ascii="SimHei" w:eastAsia="SimHei" w:hAnsi="SimHei" w:cs="SimHei"/>
          <w:sz w:val="28"/>
          <w:szCs w:val="28"/>
        </w:rPr>
      </w:pPr>
      <w:r>
        <w:rPr>
          <w:color w:val="E10000"/>
          <w:spacing w:val="-1"/>
          <w:sz w:val="28"/>
          <w:szCs w:val="28"/>
        </w:rPr>
        <w:t xml:space="preserve">2015-2016 </w:t>
      </w:r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年：高端酒整体复苏和经济发展为次高端提</w:t>
      </w:r>
    </w:p>
    <w:p>
      <w:pPr>
        <w:spacing w:before="1" w:line="222" w:lineRule="auto"/>
        <w:ind w:left="1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供了不同的土壤</w:t>
      </w:r>
    </w:p>
    <w:p>
      <w:pPr>
        <w:pStyle w:val="BodyText"/>
        <w:spacing w:before="171" w:line="311" w:lineRule="exact"/>
        <w:ind w:left="22"/>
        <w:rPr>
          <w:sz w:val="18"/>
          <w:szCs w:val="18"/>
        </w:rPr>
      </w:pPr>
      <w:r>
        <w:rPr>
          <w:rFonts w:ascii="STXihei" w:eastAsia="STXihei" w:hAnsi="STXihei" w:cs="STXihei"/>
          <w:spacing w:val="-6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宏观环境转好，通胀型资产价格普遍上升，居民</w:t>
      </w:r>
      <w:r>
        <w:rPr>
          <w:rFonts w:ascii="STXihei" w:eastAsia="STXihei" w:hAnsi="STXihei" w:cs="STXihei"/>
          <w:spacing w:val="-7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消费力提升明显。</w:t>
      </w:r>
      <w:r>
        <w:rPr>
          <w:rFonts w:ascii="STXihei" w:eastAsia="STXihei" w:hAnsi="STXihei" w:cs="STXihei"/>
          <w:spacing w:val="-7"/>
          <w:position w:val="11"/>
          <w:sz w:val="18"/>
          <w:szCs w:val="18"/>
        </w:rPr>
        <w:t>随经济环境转暖，</w:t>
      </w:r>
      <w:r>
        <w:rPr>
          <w:spacing w:val="-7"/>
          <w:position w:val="11"/>
          <w:sz w:val="18"/>
          <w:szCs w:val="18"/>
        </w:rPr>
        <w:t>2015</w:t>
      </w:r>
    </w:p>
    <w:p>
      <w:pPr>
        <w:pStyle w:val="BodyText"/>
        <w:spacing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z w:val="18"/>
          <w:szCs w:val="18"/>
        </w:rPr>
        <w:t xml:space="preserve">年底至 </w:t>
      </w:r>
      <w:r>
        <w:rPr>
          <w:sz w:val="18"/>
          <w:szCs w:val="18"/>
        </w:rPr>
        <w:t xml:space="preserve">2016 </w:t>
      </w:r>
      <w:r>
        <w:rPr>
          <w:rFonts w:ascii="STXihei" w:eastAsia="STXihei" w:hAnsi="STXihei" w:cs="STXihei"/>
          <w:sz w:val="18"/>
          <w:szCs w:val="18"/>
        </w:rPr>
        <w:t>年，房价、高端白酒等通胀型资产价格开始提升，标志着社会</w:t>
      </w:r>
      <w:r>
        <w:rPr>
          <w:rFonts w:ascii="STXihei" w:eastAsia="STXihei" w:hAnsi="STXihei" w:cs="STXihei"/>
          <w:spacing w:val="-1"/>
          <w:sz w:val="18"/>
          <w:szCs w:val="18"/>
        </w:rPr>
        <w:t>消费能力开</w:t>
      </w:r>
    </w:p>
    <w:p>
      <w:pPr>
        <w:pStyle w:val="BodyText"/>
        <w:spacing w:before="104" w:line="198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 xml:space="preserve">始回升；  </w:t>
      </w:r>
      <w:r>
        <w:rPr>
          <w:spacing w:val="-8"/>
          <w:sz w:val="18"/>
          <w:szCs w:val="18"/>
        </w:rPr>
        <w:t xml:space="preserve">PPI </w:t>
      </w:r>
      <w:r>
        <w:rPr>
          <w:rFonts w:ascii="STXihei" w:eastAsia="STXihei" w:hAnsi="STXihei" w:cs="STXihei"/>
          <w:spacing w:val="-8"/>
          <w:sz w:val="18"/>
          <w:szCs w:val="18"/>
        </w:rPr>
        <w:t>从下降中逐步走向回升，   制造业热度上升，   为次高端的景气发展打下良好</w:t>
      </w:r>
    </w:p>
    <w:p>
      <w:pPr>
        <w:pStyle w:val="BodyText"/>
        <w:spacing w:before="105" w:line="197" w:lineRule="auto"/>
        <w:ind w:left="14"/>
        <w:rPr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基础。政商务需求外，</w:t>
      </w:r>
      <w:r>
        <w:rPr>
          <w:rFonts w:ascii="STXihei" w:eastAsia="STXihei" w:hAnsi="STXihei" w:cs="STXihei"/>
          <w:spacing w:val="26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7"/>
          <w:sz w:val="18"/>
          <w:szCs w:val="18"/>
        </w:rPr>
        <w:t>我国居民收入水平经过长期发展达到较高水平，</w:t>
      </w:r>
      <w:r>
        <w:rPr>
          <w:rFonts w:ascii="STXihei" w:eastAsia="STXihei" w:hAnsi="STXihei" w:cs="STXihei"/>
          <w:spacing w:val="16"/>
          <w:sz w:val="18"/>
          <w:szCs w:val="18"/>
        </w:rPr>
        <w:t xml:space="preserve">  </w:t>
      </w:r>
      <w:r>
        <w:rPr>
          <w:spacing w:val="-7"/>
          <w:sz w:val="18"/>
          <w:szCs w:val="18"/>
        </w:rPr>
        <w:t xml:space="preserve">2010 </w:t>
      </w:r>
      <w:r>
        <w:rPr>
          <w:rFonts w:ascii="STXihei" w:eastAsia="STXihei" w:hAnsi="STXihei" w:cs="STXihei"/>
          <w:spacing w:val="-7"/>
          <w:sz w:val="18"/>
          <w:szCs w:val="18"/>
        </w:rPr>
        <w:t xml:space="preserve">年至 </w:t>
      </w:r>
      <w:r>
        <w:rPr>
          <w:spacing w:val="-7"/>
          <w:sz w:val="18"/>
          <w:szCs w:val="18"/>
        </w:rPr>
        <w:t>2020</w:t>
      </w:r>
    </w:p>
    <w:p>
      <w:pPr>
        <w:pStyle w:val="BodyText"/>
        <w:spacing w:before="105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年城镇居民可支配收入增速始终快于</w:t>
      </w:r>
      <w:r>
        <w:rPr>
          <w:rFonts w:ascii="STXihei" w:eastAsia="STXihei" w:hAnsi="STXihei" w:cs="STXihei"/>
          <w:spacing w:val="32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 xml:space="preserve">GDP 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增速，  </w:t>
      </w:r>
      <w:r>
        <w:rPr>
          <w:spacing w:val="-3"/>
          <w:sz w:val="18"/>
          <w:szCs w:val="18"/>
        </w:rPr>
        <w:t>2010-2020</w:t>
      </w:r>
      <w:r>
        <w:rPr>
          <w:spacing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年城镇居民可支配收入提</w:t>
      </w:r>
    </w:p>
    <w:p>
      <w:pPr>
        <w:pStyle w:val="BodyText"/>
        <w:spacing w:before="59" w:line="281" w:lineRule="exact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position w:val="3"/>
          <w:sz w:val="18"/>
          <w:szCs w:val="18"/>
        </w:rPr>
        <w:t>升幅度达</w:t>
      </w:r>
      <w:r>
        <w:rPr>
          <w:rFonts w:ascii="STXihei" w:eastAsia="STXihei" w:hAnsi="STXihei" w:cs="STXihei"/>
          <w:spacing w:val="33"/>
          <w:w w:val="101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18"/>
          <w:szCs w:val="18"/>
        </w:rPr>
        <w:t>129%</w:t>
      </w:r>
      <w:r>
        <w:rPr>
          <w:rFonts w:ascii="STXihei" w:eastAsia="STXihei" w:hAnsi="STXihei" w:cs="STXihei"/>
          <w:spacing w:val="-2"/>
          <w:position w:val="3"/>
          <w:sz w:val="18"/>
          <w:szCs w:val="18"/>
        </w:rPr>
        <w:t>，较快的收入增长为大众消费升级打下坚实的物质基础。</w:t>
      </w:r>
    </w:p>
    <w:p>
      <w:pPr>
        <w:spacing w:line="281" w:lineRule="exact"/>
        <w:rPr>
          <w:rFonts w:ascii="STXihei" w:eastAsia="STXihei" w:hAnsi="STXihei" w:cs="STXihei"/>
          <w:sz w:val="18"/>
          <w:szCs w:val="18"/>
        </w:rPr>
        <w:sectPr>
          <w:headerReference w:type="default" r:id="rId157"/>
          <w:footerReference w:type="default" r:id="rId158"/>
          <w:pgSz w:w="11907" w:h="16839"/>
          <w:pgMar w:top="1350" w:right="749" w:bottom="970" w:left="842" w:header="851" w:footer="713" w:gutter="0"/>
          <w:pgNumType w:start="29"/>
          <w:cols w:space="708"/>
        </w:sectPr>
      </w:pPr>
    </w:p>
    <w:p>
      <w:pPr>
        <w:spacing w:before="64"/>
      </w:pPr>
      <w:r>
        <mc:AlternateContent>
          <mc:Choice Requires="wps">
            <w:drawing>
              <wp:anchor distT="0" distB="0" distL="0" distR="0" simplePos="0" relativeHeight="251792384" behindDoc="0" locked="0" layoutInCell="0" allowOverlap="1">
                <wp:simplePos x="0" y="0"/>
                <wp:positionH relativeFrom="page">
                  <wp:posOffset>1981408</wp:posOffset>
                </wp:positionH>
                <wp:positionV relativeFrom="page">
                  <wp:posOffset>1139695</wp:posOffset>
                </wp:positionV>
                <wp:extent cx="340359" cy="2656839"/>
                <wp:effectExtent l="0" t="0" r="0" b="0"/>
                <wp:wrapNone/>
                <wp:docPr id="248" name="TextBox 2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81408" y="1139695"/>
                          <a:ext cx="340359" cy="265683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0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4-01</w:t>
                            </w:r>
                          </w:p>
                          <w:p>
                            <w:pPr>
                              <w:pStyle w:val="BodyText"/>
                              <w:spacing w:before="111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4-04</w:t>
                            </w:r>
                          </w:p>
                          <w:p>
                            <w:pPr>
                              <w:pStyle w:val="BodyText"/>
                              <w:spacing w:before="112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4-07</w:t>
                            </w:r>
                          </w:p>
                          <w:p>
                            <w:pPr>
                              <w:pStyle w:val="BodyText"/>
                              <w:spacing w:before="111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4-10</w:t>
                            </w:r>
                          </w:p>
                          <w:p>
                            <w:pPr>
                              <w:pStyle w:val="BodyText"/>
                              <w:spacing w:before="113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5-01</w:t>
                            </w:r>
                          </w:p>
                          <w:p>
                            <w:pPr>
                              <w:pStyle w:val="BodyText"/>
                              <w:spacing w:before="112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5-04</w:t>
                            </w:r>
                          </w:p>
                          <w:p>
                            <w:pPr>
                              <w:pStyle w:val="BodyText"/>
                              <w:spacing w:before="112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5-07</w:t>
                            </w:r>
                          </w:p>
                          <w:p>
                            <w:pPr>
                              <w:pStyle w:val="BodyText"/>
                              <w:spacing w:before="112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5-10</w:t>
                            </w:r>
                          </w:p>
                          <w:p>
                            <w:pPr>
                              <w:pStyle w:val="BodyText"/>
                              <w:spacing w:before="113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6-01</w:t>
                            </w:r>
                          </w:p>
                          <w:p>
                            <w:pPr>
                              <w:pStyle w:val="BodyText"/>
                              <w:spacing w:before="112" w:line="210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spacing w:val="-9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6-04</w:t>
                            </w:r>
                          </w:p>
                          <w:p>
                            <w:pPr>
                              <w:pStyle w:val="BodyText"/>
                              <w:spacing w:before="114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6-07</w:t>
                            </w:r>
                          </w:p>
                          <w:p>
                            <w:pPr>
                              <w:pStyle w:val="BodyText"/>
                              <w:spacing w:before="112" w:line="210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spacing w:val="-9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6-10</w:t>
                            </w:r>
                          </w:p>
                          <w:p>
                            <w:pPr>
                              <w:pStyle w:val="BodyText"/>
                              <w:spacing w:before="115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7-01</w:t>
                            </w:r>
                          </w:p>
                          <w:p>
                            <w:pPr>
                              <w:pStyle w:val="BodyText"/>
                              <w:spacing w:before="112" w:line="210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spacing w:val="-9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7-04</w:t>
                            </w:r>
                          </w:p>
                          <w:p>
                            <w:pPr>
                              <w:pStyle w:val="BodyText"/>
                              <w:spacing w:before="114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7-07</w:t>
                            </w:r>
                          </w:p>
                          <w:p>
                            <w:pPr>
                              <w:pStyle w:val="BodyText"/>
                              <w:spacing w:before="113" w:line="210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spacing w:val="-9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4"/>
                                <w:sz w:val="12"/>
                                <w:szCs w:val="12"/>
                              </w:rPr>
                              <w:t>7-10</w:t>
                            </w:r>
                          </w:p>
                          <w:p>
                            <w:pPr>
                              <w:pStyle w:val="BodyText"/>
                              <w:spacing w:before="113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8-01</w:t>
                            </w:r>
                          </w:p>
                          <w:p>
                            <w:pPr>
                              <w:pStyle w:val="BodyText"/>
                              <w:spacing w:before="139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</w:t>
                            </w:r>
                            <w:r>
                              <w:rPr>
                                <w:spacing w:val="-1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8-04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8" o:spid="_x0000_s1154" type="#_x0000_t202" style="width:26.8pt;height:209.2pt;margin-top:89.74pt;margin-left:156.02pt;mso-position-horizontal-relative:page;mso-position-vertical-relative:page;mso-wrap-distance-bottom:0;mso-wrap-distance-left:0;mso-wrap-distance-right:0;mso-wrap-distance-top:0;position:absolute;rotation:270;v-text-anchor:top;z-index:2517913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20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4-01</w:t>
                      </w:r>
                    </w:p>
                    <w:p>
                      <w:pPr>
                        <w:pStyle w:val="BodyText"/>
                        <w:spacing w:before="111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4-04</w:t>
                      </w:r>
                    </w:p>
                    <w:p>
                      <w:pPr>
                        <w:pStyle w:val="BodyText"/>
                        <w:spacing w:before="112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4-07</w:t>
                      </w:r>
                    </w:p>
                    <w:p>
                      <w:pPr>
                        <w:pStyle w:val="BodyText"/>
                        <w:spacing w:before="111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4-10</w:t>
                      </w:r>
                    </w:p>
                    <w:p>
                      <w:pPr>
                        <w:pStyle w:val="BodyText"/>
                        <w:spacing w:before="113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5-01</w:t>
                      </w:r>
                    </w:p>
                    <w:p>
                      <w:pPr>
                        <w:pStyle w:val="BodyText"/>
                        <w:spacing w:before="112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5-04</w:t>
                      </w:r>
                    </w:p>
                    <w:p>
                      <w:pPr>
                        <w:pStyle w:val="BodyText"/>
                        <w:spacing w:before="112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5-07</w:t>
                      </w:r>
                    </w:p>
                    <w:p>
                      <w:pPr>
                        <w:pStyle w:val="BodyText"/>
                        <w:spacing w:before="112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5-10</w:t>
                      </w:r>
                    </w:p>
                    <w:p>
                      <w:pPr>
                        <w:pStyle w:val="BodyText"/>
                        <w:spacing w:before="113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6-01</w:t>
                      </w:r>
                    </w:p>
                    <w:p>
                      <w:pPr>
                        <w:pStyle w:val="BodyText"/>
                        <w:spacing w:before="112" w:line="210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4"/>
                          <w:sz w:val="12"/>
                          <w:szCs w:val="12"/>
                        </w:rPr>
                        <w:t>201</w:t>
                      </w:r>
                      <w:r>
                        <w:rPr>
                          <w:spacing w:val="-9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4"/>
                          <w:sz w:val="12"/>
                          <w:szCs w:val="12"/>
                        </w:rPr>
                        <w:t>6-04</w:t>
                      </w:r>
                    </w:p>
                    <w:p>
                      <w:pPr>
                        <w:pStyle w:val="BodyText"/>
                        <w:spacing w:before="114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6-07</w:t>
                      </w:r>
                    </w:p>
                    <w:p>
                      <w:pPr>
                        <w:pStyle w:val="BodyText"/>
                        <w:spacing w:before="112" w:line="210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4"/>
                          <w:sz w:val="12"/>
                          <w:szCs w:val="12"/>
                        </w:rPr>
                        <w:t>201</w:t>
                      </w:r>
                      <w:r>
                        <w:rPr>
                          <w:spacing w:val="-9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4"/>
                          <w:sz w:val="12"/>
                          <w:szCs w:val="12"/>
                        </w:rPr>
                        <w:t>6-10</w:t>
                      </w:r>
                    </w:p>
                    <w:p>
                      <w:pPr>
                        <w:pStyle w:val="BodyText"/>
                        <w:spacing w:before="115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7-01</w:t>
                      </w:r>
                    </w:p>
                    <w:p>
                      <w:pPr>
                        <w:pStyle w:val="BodyText"/>
                        <w:spacing w:before="112" w:line="210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4"/>
                          <w:sz w:val="12"/>
                          <w:szCs w:val="12"/>
                        </w:rPr>
                        <w:t>201</w:t>
                      </w:r>
                      <w:r>
                        <w:rPr>
                          <w:spacing w:val="-9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4"/>
                          <w:sz w:val="12"/>
                          <w:szCs w:val="12"/>
                        </w:rPr>
                        <w:t>7-04</w:t>
                      </w:r>
                    </w:p>
                    <w:p>
                      <w:pPr>
                        <w:pStyle w:val="BodyText"/>
                        <w:spacing w:before="114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7-07</w:t>
                      </w:r>
                    </w:p>
                    <w:p>
                      <w:pPr>
                        <w:pStyle w:val="BodyText"/>
                        <w:spacing w:before="113" w:line="210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4"/>
                          <w:sz w:val="12"/>
                          <w:szCs w:val="12"/>
                        </w:rPr>
                        <w:t>201</w:t>
                      </w:r>
                      <w:r>
                        <w:rPr>
                          <w:spacing w:val="-9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4"/>
                          <w:sz w:val="12"/>
                          <w:szCs w:val="12"/>
                        </w:rPr>
                        <w:t>7-10</w:t>
                      </w:r>
                    </w:p>
                    <w:p>
                      <w:pPr>
                        <w:pStyle w:val="BodyText"/>
                        <w:spacing w:before="113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8-01</w:t>
                      </w:r>
                    </w:p>
                    <w:p>
                      <w:pPr>
                        <w:pStyle w:val="BodyText"/>
                        <w:spacing w:before="139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</w:t>
                      </w:r>
                      <w:r>
                        <w:rPr>
                          <w:spacing w:val="-1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-1"/>
                          <w:sz w:val="13"/>
                          <w:szCs w:val="13"/>
                        </w:rPr>
                        <w:t>8-04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9248" behindDoc="0" locked="0" layoutInCell="0" allowOverlap="1">
                <wp:simplePos x="0" y="0"/>
                <wp:positionH relativeFrom="page">
                  <wp:posOffset>4284179</wp:posOffset>
                </wp:positionH>
                <wp:positionV relativeFrom="page">
                  <wp:posOffset>2613232</wp:posOffset>
                </wp:positionV>
                <wp:extent cx="207645" cy="120650"/>
                <wp:effectExtent l="0" t="0" r="0" b="0"/>
                <wp:wrapNone/>
                <wp:docPr id="250" name="TextBox 2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284179" y="2613232"/>
                          <a:ext cx="207645" cy="1206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5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0" o:spid="_x0000_s1155" type="#_x0000_t202" style="width:16.35pt;height:9.5pt;margin-top:205.77pt;margin-left:337.34pt;mso-position-horizontal-relative:page;mso-position-vertical-relative:page;mso-wrap-distance-bottom:0;mso-wrap-distance-left:0;mso-wrap-distance-right:0;mso-wrap-distance-top:0;position:absolute;rotation:90;v-text-anchor:top;z-index:25182822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5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4672" behindDoc="0" locked="0" layoutInCell="0" allowOverlap="1">
                <wp:simplePos x="0" y="0"/>
                <wp:positionH relativeFrom="page">
                  <wp:posOffset>4654963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52" name="TextBox 2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654963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2" o:spid="_x0000_s1156" type="#_x0000_t202" style="width:16.35pt;height:9.55pt;margin-top:205.76pt;margin-left:366.53pt;mso-position-horizontal-relative:page;mso-position-vertical-relative:page;mso-wrap-distance-bottom:0;mso-wrap-distance-left:0;mso-wrap-distance-right:0;mso-wrap-distance-top:0;position:absolute;rotation:90;v-text-anchor:top;z-index:25180364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6720" behindDoc="0" locked="0" layoutInCell="0" allowOverlap="1">
                <wp:simplePos x="0" y="0"/>
                <wp:positionH relativeFrom="page">
                  <wp:posOffset>4469741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54" name="TextBox 2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469741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4" o:spid="_x0000_s1157" type="#_x0000_t202" style="width:16.35pt;height:9.55pt;margin-top:205.76pt;margin-left:351.95pt;mso-position-horizontal-relative:page;mso-position-vertical-relative:page;mso-wrap-distance-bottom:0;mso-wrap-distance-left:0;mso-wrap-distance-right:0;mso-wrap-distance-top:0;position:absolute;rotation:90;v-text-anchor:top;z-index:25180569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0816" behindDoc="0" locked="0" layoutInCell="0" allowOverlap="1">
                <wp:simplePos x="0" y="0"/>
                <wp:positionH relativeFrom="page">
                  <wp:posOffset>4840185</wp:posOffset>
                </wp:positionH>
                <wp:positionV relativeFrom="page">
                  <wp:posOffset>2613247</wp:posOffset>
                </wp:positionV>
                <wp:extent cx="207645" cy="120650"/>
                <wp:effectExtent l="0" t="0" r="0" b="0"/>
                <wp:wrapNone/>
                <wp:docPr id="256" name="TextBox 2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40185" y="2613247"/>
                          <a:ext cx="207645" cy="1206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5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6" o:spid="_x0000_s1158" type="#_x0000_t202" style="width:16.35pt;height:9.5pt;margin-top:205.77pt;margin-left:381.12pt;mso-position-horizontal-relative:page;mso-position-vertical-relative:page;mso-wrap-distance-bottom:0;mso-wrap-distance-left:0;mso-wrap-distance-right:0;mso-wrap-distance-top:0;position:absolute;rotation:90;v-text-anchor:top;z-index:25180979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5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7200" behindDoc="0" locked="0" layoutInCell="0" allowOverlap="1">
                <wp:simplePos x="0" y="0"/>
                <wp:positionH relativeFrom="page">
                  <wp:posOffset>5025389</wp:posOffset>
                </wp:positionH>
                <wp:positionV relativeFrom="page">
                  <wp:posOffset>2613232</wp:posOffset>
                </wp:positionV>
                <wp:extent cx="207645" cy="120650"/>
                <wp:effectExtent l="0" t="0" r="0" b="0"/>
                <wp:wrapNone/>
                <wp:docPr id="258" name="TextBox 2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025389" y="2613232"/>
                          <a:ext cx="207645" cy="1206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5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8" o:spid="_x0000_s1159" type="#_x0000_t202" style="width:16.35pt;height:9.5pt;margin-top:205.77pt;margin-left:395.7pt;mso-position-horizontal-relative:page;mso-position-vertical-relative:page;mso-wrap-distance-bottom:0;mso-wrap-distance-left:0;mso-wrap-distance-right:0;mso-wrap-distance-top:0;position:absolute;rotation:90;v-text-anchor:top;z-index:25182617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5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6960" behindDoc="0" locked="0" layoutInCell="0" allowOverlap="1">
                <wp:simplePos x="0" y="0"/>
                <wp:positionH relativeFrom="page">
                  <wp:posOffset>5396166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60" name="TextBox 2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396166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0" o:spid="_x0000_s1160" type="#_x0000_t202" style="width:16.35pt;height:9.55pt;margin-top:205.76pt;margin-left:424.89pt;mso-position-horizontal-relative:page;mso-position-vertical-relative:page;mso-wrap-distance-bottom:0;mso-wrap-distance-left:0;mso-wrap-distance-right:0;mso-wrap-distance-top:0;position:absolute;rotation:90;v-text-anchor:top;z-index:25181593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9008" behindDoc="0" locked="0" layoutInCell="0" allowOverlap="1">
                <wp:simplePos x="0" y="0"/>
                <wp:positionH relativeFrom="page">
                  <wp:posOffset>5210939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62" name="TextBox 2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210939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2" o:spid="_x0000_s1161" type="#_x0000_t202" style="width:16.35pt;height:9.55pt;margin-top:205.76pt;margin-left:410.31pt;mso-position-horizontal-relative:page;mso-position-vertical-relative:page;mso-wrap-distance-bottom:0;mso-wrap-distance-left:0;mso-wrap-distance-right:0;mso-wrap-distance-top:0;position:absolute;rotation:90;v-text-anchor:top;z-index:25181798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4912" behindDoc="0" locked="0" layoutInCell="0" allowOverlap="1">
                <wp:simplePos x="0" y="0"/>
                <wp:positionH relativeFrom="page">
                  <wp:posOffset>5581388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64" name="TextBox 2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581388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4" o:spid="_x0000_s1162" type="#_x0000_t202" style="width:16.35pt;height:9.55pt;margin-top:205.76pt;margin-left:439.48pt;mso-position-horizontal-relative:page;mso-position-vertical-relative:page;mso-wrap-distance-bottom:0;mso-wrap-distance-left:0;mso-wrap-distance-right:0;mso-wrap-distance-top:0;position:absolute;rotation:90;v-text-anchor:top;z-index:25181388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5152" behindDoc="0" locked="0" layoutInCell="0" allowOverlap="1">
                <wp:simplePos x="0" y="0"/>
                <wp:positionH relativeFrom="page">
                  <wp:posOffset>5951803</wp:posOffset>
                </wp:positionH>
                <wp:positionV relativeFrom="page">
                  <wp:posOffset>2613231</wp:posOffset>
                </wp:positionV>
                <wp:extent cx="207645" cy="120650"/>
                <wp:effectExtent l="0" t="0" r="0" b="0"/>
                <wp:wrapNone/>
                <wp:docPr id="266" name="TextBox 2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951803" y="2613231"/>
                          <a:ext cx="207645" cy="1206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5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6" o:spid="_x0000_s1163" type="#_x0000_t202" style="width:16.35pt;height:9.5pt;margin-top:205.77pt;margin-left:468.65pt;mso-position-horizontal-relative:page;mso-position-vertical-relative:page;mso-wrap-distance-bottom:0;mso-wrap-distance-left:0;mso-wrap-distance-right:0;mso-wrap-distance-top:0;position:absolute;rotation:90;v-text-anchor:top;z-index:25182412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5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3104" behindDoc="0" locked="0" layoutInCell="0" allowOverlap="1">
                <wp:simplePos x="0" y="0"/>
                <wp:positionH relativeFrom="page">
                  <wp:posOffset>5766610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68" name="TextBox 2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766610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8" o:spid="_x0000_s1164" type="#_x0000_t202" style="width:16.35pt;height:9.55pt;margin-top:205.76pt;margin-left:454.06pt;mso-position-horizontal-relative:page;mso-position-vertical-relative:page;mso-wrap-distance-bottom:0;mso-wrap-distance-left:0;mso-wrap-distance-right:0;mso-wrap-distance-top:0;position:absolute;rotation:90;v-text-anchor:top;z-index:25182208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2018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2864" behindDoc="0" locked="0" layoutInCell="0" allowOverlap="1">
                <wp:simplePos x="0" y="0"/>
                <wp:positionH relativeFrom="page">
                  <wp:posOffset>6137429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70" name="TextBox 2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137429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70" o:spid="_x0000_s1165" type="#_x0000_t202" style="width:16.35pt;height:9.55pt;margin-top:205.76pt;margin-left:483.26pt;mso-position-horizontal-relative:page;mso-position-vertical-relative:page;mso-wrap-distance-bottom:0;mso-wrap-distance-left:0;mso-wrap-distance-right:0;mso-wrap-distance-top:0;position:absolute;rotation:90;v-text-anchor:top;z-index:2518118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1056" behindDoc="0" locked="0" layoutInCell="0" allowOverlap="1">
                <wp:simplePos x="0" y="0"/>
                <wp:positionH relativeFrom="page">
                  <wp:posOffset>6507874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72" name="TextBox 2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507874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72" o:spid="_x0000_s1166" type="#_x0000_t202" style="width:16.35pt;height:9.55pt;margin-top:205.76pt;margin-left:512.43pt;mso-position-horizontal-relative:page;mso-position-vertical-relative:page;mso-wrap-distance-bottom:0;mso-wrap-distance-left:0;mso-wrap-distance-right:0;mso-wrap-distance-top:0;position:absolute;rotation:90;v-text-anchor:top;z-index:25182003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8768" behindDoc="0" locked="0" layoutInCell="0" allowOverlap="1">
                <wp:simplePos x="0" y="0"/>
                <wp:positionH relativeFrom="page">
                  <wp:posOffset>6322651</wp:posOffset>
                </wp:positionH>
                <wp:positionV relativeFrom="page">
                  <wp:posOffset>2613207</wp:posOffset>
                </wp:positionV>
                <wp:extent cx="207645" cy="121285"/>
                <wp:effectExtent l="0" t="0" r="0" b="0"/>
                <wp:wrapNone/>
                <wp:docPr id="274" name="TextBox 2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322651" y="2613207"/>
                          <a:ext cx="207645" cy="1212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9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-1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74" o:spid="_x0000_s1167" type="#_x0000_t202" style="width:16.35pt;height:9.55pt;margin-top:205.76pt;margin-left:497.85pt;mso-position-horizontal-relative:page;mso-position-vertical-relative:page;mso-wrap-distance-bottom:0;mso-wrap-distance-left:0;mso-wrap-distance-right:0;mso-wrap-distance-top:0;position:absolute;rotation:90;v-text-anchor:top;z-index:2518077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9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-1"/>
                          <w:sz w:val="13"/>
                          <w:szCs w:val="13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95456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1425066</wp:posOffset>
            </wp:positionV>
            <wp:extent cx="3150742" cy="6350"/>
            <wp:effectExtent l="0" t="0" r="0" b="0"/>
            <wp:wrapNone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3263010</wp:posOffset>
            </wp:positionV>
            <wp:extent cx="3150742" cy="6350"/>
            <wp:effectExtent l="0" t="0" r="0" b="0"/>
            <wp:wrapNone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8" style="width:2.9pt;height:90.65pt;margin-top:122.99pt;margin-left:67.21pt;mso-position-horizontal-relative:page;mso-position-vertical-relative:page;position:absolute;z-index:251788288" coordorigin="0,0" coordsize="58,1813" o:allowincell="f" path="m7,1805l7,7m7,1805l50,1805m7,1440l50,1440m7,1089l50,1089m7,723l50,723m7,372l50,372m7,7l50,7e" filled="f" strokecolor="black" strokeweight="0.73pt"/>
        </w:pict>
      </w:r>
      <w:r>
        <w:pict>
          <v:group id="_x0000_s1169" style="width:207.4pt;height:63.45pt;margin-top:137.72pt;margin-left:69.37pt;mso-position-horizontal-relative:page;mso-position-vertical-relative:page;position:absolute;z-index:251790336" coordorigin="0,0" coordsize="4147,1269" o:allowincell="f" filled="f" stroked="f">
            <v:shape id="_x0000_s1170" style="width:4147;height:1269;position:absolute" coordorigin="0,0" coordsize="4147,1269" path="m7,103c33,124,59,146,85,167c111,189,137,211,163,232c189,254,215,272,241,297c267,322,293,353,319,383c345,413,371,441,397,477c423,513,449,553,475,599c501,644,527,704,553,750c579,796,605,835,631,872c656,909,682,943,708,973c734,1003,760,1029,786,1052c812,1075,838,1090,864,1110c890,1129,916,1149,942,1167c968,1185,994,1204,1020,1217c1046,1231,1072,1239,1098,1246c1124,1253,1150,1262,1176,1261c1202,1259,1228,1250,1254,1239c1280,1228,1306,1216,1332,1196c1358,1175,1384,1146,1410,1117c1436,1088,1462,1053,1488,1023c1514,993,1540,962,1566,937c1592,912,1618,893,1644,872c1670,852,1696,833,1722,815c1748,797,1774,782,1800,764c1826,746,1852,727,1878,707c1904,686,1930,666,1956,642c1982,618,2008,591,2034,563c2060,535,2086,502,2112,477c2138,452,2164,429,2190,412c2216,395,2242,389,2268,376c2294,363,2320,354,2346,333c2372,311,2398,282,2424,247c2450,211,2476,152,2502,117c2528,82,2554,56,2580,38c2606,20,2632,14,2658,9c2684,5,2710,8,2736,9c2762,10,2788,14,2814,16c2840,19,2866,19,2892,24c2918,28,2944,37,2970,45c2996,54,3022,67,3048,74c3074,81,3100,85,3126,88c3152,92,3178,91,3204,96c3230,100,3256,100,3282,117c3308,134,3334,163,3360,196c3386,230,3412,289,3437,319c3464,348,3490,364,3515,376c3542,388,3567,392,3594,390c3619,389,3645,368,3672,369c3697,370,3723,398,3749,398c3775,398,3801,370,3827,369c3853,368,3879,384,3905,390c3931,396,3957,404,3983,405c4009,406,4035,404,4061,398c4087,392,4113,378,4139,369e" filled="f" strokecolor="#e10000" strokeweight="0.73pt">
              <v:stroke endcap="round"/>
            </v:shape>
            <v:shape id="_x0000_s1171" style="width:4147;height:1000;position:absolute;top:221" coordorigin="0,0" coordsize="4147,1000" path="m7,684c33,693,59,702,85,710c111,718,137,731,163,731c189,731,215,720,241,710c267,700,293,681,319,670c345,660,371,653,397,646c423,639,449,628,475,629c501,630,527,642,553,653c579,664,605,683,631,695c656,708,682,716,708,727c734,738,760,746,786,759c812,772,838,784,864,804c890,823,916,858,942,875c968,893,994,906,1020,909c1046,912,1072,895,1098,892c1124,890,1150,893,1176,893c1202,894,1228,893,1254,896c1280,899,1306,901,1332,910c1358,919,1384,937,1410,950c1436,963,1462,983,1488,990c1514,996,1540,991,1566,991c1592,991,1618,988,1644,988c1670,987,1696,988,1722,988c1748,988,1774,995,1800,988c1826,981,1852,957,1878,945c1904,933,1930,928,1956,917c1982,905,2008,892,2034,874c2060,856,2086,827,2112,810c2138,792,2164,776,2190,767c2216,757,2242,766,2268,753c2294,739,2320,710,2346,688c2372,667,2398,646,2424,624c2450,603,2476,584,2502,560c2528,536,2554,519,2580,481c2606,443,2632,383,2658,332c2684,280,2710,217,2736,175c2762,132,2788,102,2814,75c2840,47,2866,19,2892,10c2918,2,2944,8,2970,25c2996,41,3022,86,3048,110c3074,135,3100,164,3126,175c3152,185,3178,175,3204,175c3230,175,3256,184,3282,175c3308,165,3334,134,3360,118c3386,101,3412,82,3437,75c3464,68,3490,62,3515,75c3542,88,3567,129,3594,153c3619,177,3645,200,3672,217c3697,235,3723,246,3749,260c3775,275,3801,289,3827,303c3853,317,3879,342,3905,346c3931,349,3957,336,3983,324c4009,313,4035,290,4061,275c4087,259,4113,246,4139,232e" filled="f" strokecolor="#c8c8c8" strokeweight="0.73pt">
              <v:stroke endcap="round"/>
            </v:shape>
          </v:group>
        </w:pict>
      </w:r>
      <w:r>
        <w:pict>
          <v:shape id="_x0000_s1172" style="width:211.7pt;height:2.95pt;margin-top:174.89pt;margin-left:67.21pt;mso-position-horizontal-relative:page;mso-position-vertical-relative:page;position:absolute;z-index:251789312" coordorigin="0,0" coordsize="4233,59" o:allowincell="f" path="m7,51l4226,51m7,7l7,51m251,7l251,51m482,7l482,51m712,7l712,51m943,7l943,51m1187,7l1187,51m1418,7l1418,51m1648,7l1648,51m1879,7l1879,51m2124,7l2124,51m2354,7l2354,51m2584,7l2584,51m2829,7l2829,51m3059,7l3059,51m3290,7l3290,51m3520,7l3520,51m3765,7l3765,51m3995,7l3995,51m4226,7l4226,51e" filled="f" strokecolor="black" strokeweight="0.73pt"/>
        </w:pict>
      </w:r>
      <w:r>
        <w:drawing>
          <wp:anchor distT="0" distB="0" distL="0" distR="0" simplePos="0" relativeHeight="251794432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1425066</wp:posOffset>
            </wp:positionV>
            <wp:extent cx="3150742" cy="6350"/>
            <wp:effectExtent l="0" t="0" r="0" b="0"/>
            <wp:wrapNone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3205101</wp:posOffset>
            </wp:positionV>
            <wp:extent cx="3150742" cy="6350"/>
            <wp:effectExtent l="0" t="0" r="0" b="0"/>
            <wp:wrapNone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0" allowOverlap="1">
            <wp:simplePos x="0" y="0"/>
            <wp:positionH relativeFrom="page">
              <wp:posOffset>4287725</wp:posOffset>
            </wp:positionH>
            <wp:positionV relativeFrom="page">
              <wp:posOffset>1561327</wp:posOffset>
            </wp:positionV>
            <wp:extent cx="2407959" cy="961273"/>
            <wp:effectExtent l="0" t="0" r="0" b="0"/>
            <wp:wrapNone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407959" cy="96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3" style="width:19.7pt;height:4.4pt;margin-top:224.1pt;margin-left:363.87pt;mso-position-horizontal-relative:page;mso-position-vertical-relative:page;position:absolute;z-index:251802624" coordorigin="0,0" coordsize="394,88" o:allowincell="f" filled="f" stroked="f">
            <v:shape id="_x0000_s1174" style="width:380;height:73;left:7;position:absolute;top:7" coordorigin="0,0" coordsize="380,73" path="m,72l379,72l379,l,l,72xe" filled="t" fillcolor="#e10000" stroked="f"/>
            <v:shape id="_x0000_s1175" style="width:394;height:88;position:absolute" coordorigin="0,0" coordsize="394,88" path="m7,80l386,80l386,7l7,7l7,80xe" filled="f" strokecolor="white" strokeweight="0.73pt"/>
          </v:group>
        </w:pict>
      </w:r>
      <w:r>
        <w:drawing>
          <wp:anchor distT="0" distB="0" distL="0" distR="0" simplePos="0" relativeHeight="251830272" behindDoc="0" locked="0" layoutInCell="0" allowOverlap="1">
            <wp:simplePos x="0" y="0"/>
            <wp:positionH relativeFrom="page">
              <wp:posOffset>4621115</wp:posOffset>
            </wp:positionH>
            <wp:positionV relativeFrom="page">
              <wp:posOffset>2984751</wp:posOffset>
            </wp:positionV>
            <wp:extent cx="250064" cy="27752"/>
            <wp:effectExtent l="0" t="0" r="0" b="0"/>
            <wp:wrapNone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50064" cy="27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0" allowOverlap="1">
            <wp:simplePos x="0" y="0"/>
            <wp:positionH relativeFrom="page">
              <wp:posOffset>4621115</wp:posOffset>
            </wp:positionH>
            <wp:positionV relativeFrom="page">
              <wp:posOffset>3114168</wp:posOffset>
            </wp:positionV>
            <wp:extent cx="250064" cy="27726"/>
            <wp:effectExtent l="0" t="0" r="0" b="0"/>
            <wp:wrapNone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50064" cy="27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5273547</wp:posOffset>
            </wp:positionV>
            <wp:extent cx="3150742" cy="6350"/>
            <wp:effectExtent l="0" t="0" r="0" b="0"/>
            <wp:wrapNone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7041642</wp:posOffset>
            </wp:positionV>
            <wp:extent cx="3150742" cy="6350"/>
            <wp:effectExtent l="0" t="0" r="0" b="0"/>
            <wp:wrapNone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5273547</wp:posOffset>
            </wp:positionV>
            <wp:extent cx="3150742" cy="6350"/>
            <wp:effectExtent l="0" t="0" r="0" b="0"/>
            <wp:wrapNone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7035545</wp:posOffset>
            </wp:positionV>
            <wp:extent cx="3150742" cy="6350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6" type="#_x0000_t202" style="width:12.6pt;height:105.85pt;margin-top:422.56pt;margin-left:310.45pt;mso-position-horizontal-relative:page;mso-position-vertical-relative:page;position:absolute;z-index:251793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9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3"/>
                      <w:sz w:val="13"/>
                      <w:szCs w:val="13"/>
                    </w:rPr>
                    <w:t>100</w:t>
                  </w:r>
                </w:p>
                <w:p>
                  <w:pPr>
                    <w:pStyle w:val="BodyText"/>
                    <w:spacing w:before="154" w:line="199" w:lineRule="auto"/>
                    <w:ind w:left="87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80</w:t>
                  </w:r>
                </w:p>
                <w:p>
                  <w:pPr>
                    <w:pStyle w:val="BodyText"/>
                    <w:spacing w:before="154" w:line="199" w:lineRule="auto"/>
                    <w:ind w:left="88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60</w:t>
                  </w:r>
                </w:p>
                <w:p>
                  <w:pPr>
                    <w:pStyle w:val="BodyText"/>
                    <w:spacing w:before="154" w:line="199" w:lineRule="auto"/>
                    <w:ind w:left="86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40</w:t>
                  </w:r>
                </w:p>
                <w:p>
                  <w:pPr>
                    <w:pStyle w:val="BodyText"/>
                    <w:spacing w:before="155" w:line="199" w:lineRule="auto"/>
                    <w:ind w:left="87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20</w:t>
                  </w:r>
                </w:p>
                <w:p>
                  <w:pPr>
                    <w:pStyle w:val="BodyText"/>
                    <w:spacing w:before="155" w:line="199" w:lineRule="auto"/>
                    <w:ind w:left="164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  <w:p>
                  <w:pPr>
                    <w:pStyle w:val="BodyText"/>
                    <w:spacing w:before="155" w:line="199" w:lineRule="auto"/>
                    <w:ind w:left="43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-20</w:t>
                  </w:r>
                </w:p>
                <w:p>
                  <w:pPr>
                    <w:pStyle w:val="BodyText"/>
                    <w:spacing w:before="155" w:line="199" w:lineRule="auto"/>
                    <w:ind w:left="43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-40</w:t>
                  </w:r>
                </w:p>
              </w:txbxContent>
            </v:textbox>
          </v:shape>
        </w:pict>
      </w:r>
    </w:p>
    <w:p>
      <w:pPr>
        <w:spacing w:before="63"/>
      </w:pPr>
    </w:p>
    <w:p>
      <w:pPr>
        <w:sectPr>
          <w:headerReference w:type="default" r:id="rId162"/>
          <w:footerReference w:type="default" r:id="rId163"/>
          <w:pgSz w:w="11907" w:h="16839"/>
          <w:pgMar w:top="1350" w:right="749" w:bottom="970" w:left="842" w:header="851" w:footer="713" w:gutter="0"/>
          <w:pgNumType w:start="30"/>
          <w:cols w:num="1" w:space="708" w:equalWidth="0">
            <w:col w:w="10315" w:space="0"/>
          </w:cols>
        </w:sectPr>
      </w:pPr>
    </w:p>
    <w:p>
      <w:pPr>
        <w:pStyle w:val="BodyText"/>
        <w:spacing w:before="44" w:line="254" w:lineRule="exact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 xml:space="preserve">图  </w:t>
      </w:r>
      <w:r>
        <w:rPr>
          <w:spacing w:val="-1"/>
          <w:position w:val="3"/>
          <w:sz w:val="16"/>
          <w:szCs w:val="16"/>
        </w:rPr>
        <w:t>11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：</w:t>
      </w:r>
      <w:r>
        <w:rPr>
          <w:spacing w:val="-1"/>
          <w:position w:val="3"/>
          <w:sz w:val="16"/>
          <w:szCs w:val="16"/>
        </w:rPr>
        <w:t xml:space="preserve">2015-2016 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 xml:space="preserve">年 </w:t>
      </w:r>
      <w:r>
        <w:rPr>
          <w:spacing w:val="-1"/>
          <w:position w:val="3"/>
          <w:sz w:val="16"/>
          <w:szCs w:val="16"/>
        </w:rPr>
        <w:t>CPI</w:t>
      </w:r>
      <w:r>
        <w:rPr>
          <w:spacing w:val="-27"/>
          <w:position w:val="3"/>
          <w:sz w:val="16"/>
          <w:szCs w:val="16"/>
        </w:rPr>
        <w:t xml:space="preserve"> 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、</w:t>
      </w:r>
      <w:r>
        <w:rPr>
          <w:spacing w:val="-1"/>
          <w:position w:val="3"/>
          <w:sz w:val="16"/>
          <w:szCs w:val="16"/>
        </w:rPr>
        <w:t>PPI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、房价等指标率先高升（</w:t>
      </w:r>
      <w:r>
        <w:rPr>
          <w:spacing w:val="-1"/>
          <w:position w:val="3"/>
          <w:sz w:val="16"/>
          <w:szCs w:val="16"/>
        </w:rPr>
        <w:t>%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）</w:t>
      </w:r>
    </w:p>
    <w:p>
      <w:pPr>
        <w:pStyle w:val="BodyText"/>
        <w:spacing w:before="152" w:line="200" w:lineRule="auto"/>
        <w:ind w:left="224"/>
        <w:rPr>
          <w:sz w:val="13"/>
          <w:szCs w:val="13"/>
        </w:rPr>
      </w:pPr>
      <w:r>
        <w:rPr>
          <w:spacing w:val="-4"/>
          <w:sz w:val="13"/>
          <w:szCs w:val="13"/>
        </w:rPr>
        <w:t>15</w:t>
      </w:r>
    </w:p>
    <w:p>
      <w:pPr>
        <w:pStyle w:val="BodyText"/>
        <w:spacing w:before="236" w:line="200" w:lineRule="auto"/>
        <w:ind w:left="224"/>
        <w:rPr>
          <w:sz w:val="13"/>
          <w:szCs w:val="13"/>
        </w:rPr>
      </w:pPr>
      <w:r>
        <w:rPr>
          <w:spacing w:val="-4"/>
          <w:sz w:val="13"/>
          <w:szCs w:val="13"/>
        </w:rPr>
        <w:t>10</w:t>
      </w:r>
    </w:p>
    <w:p>
      <w:pPr>
        <w:pStyle w:val="BodyText"/>
        <w:spacing w:before="237" w:line="197" w:lineRule="auto"/>
        <w:ind w:left="290"/>
        <w:rPr>
          <w:sz w:val="13"/>
          <w:szCs w:val="13"/>
        </w:rPr>
      </w:pPr>
      <w:r>
        <w:rPr>
          <w:sz w:val="13"/>
          <w:szCs w:val="13"/>
        </w:rPr>
        <w:t>5</w:t>
      </w:r>
    </w:p>
    <w:p>
      <w:pPr>
        <w:pStyle w:val="BodyText"/>
        <w:spacing w:before="235" w:line="200" w:lineRule="auto"/>
        <w:ind w:left="291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238" w:line="197" w:lineRule="auto"/>
        <w:ind w:left="247"/>
        <w:rPr>
          <w:sz w:val="13"/>
          <w:szCs w:val="13"/>
        </w:rPr>
      </w:pPr>
      <w:r>
        <w:rPr>
          <w:spacing w:val="-2"/>
          <w:sz w:val="13"/>
          <w:szCs w:val="13"/>
        </w:rPr>
        <w:t>-5</w:t>
      </w:r>
    </w:p>
    <w:p>
      <w:pPr>
        <w:pStyle w:val="BodyText"/>
        <w:spacing w:before="236" w:line="200" w:lineRule="auto"/>
        <w:ind w:left="172"/>
        <w:rPr>
          <w:sz w:val="13"/>
          <w:szCs w:val="13"/>
        </w:rPr>
      </w:pPr>
      <w:r>
        <w:rPr>
          <w:spacing w:val="-2"/>
          <w:sz w:val="13"/>
          <w:szCs w:val="13"/>
        </w:rPr>
        <w:t>-10</w:t>
      </w:r>
    </w:p>
    <w:p>
      <w:pPr>
        <w:tabs>
          <w:tab w:val="left" w:pos="1336"/>
        </w:tabs>
        <w:spacing w:before="230" w:line="284" w:lineRule="exact"/>
        <w:ind w:left="948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Calibri" w:eastAsia="Calibri" w:hAnsi="Calibri" w:cs="Calibri"/>
          <w:strike/>
          <w:position w:val="11"/>
          <w:sz w:val="13"/>
          <w:szCs w:val="13"/>
        </w:rPr>
        <w:tab/>
      </w:r>
      <w:r>
        <w:rPr>
          <w:rFonts w:ascii="Calibri" w:eastAsia="Calibri" w:hAnsi="Calibri" w:cs="Calibri"/>
          <w:spacing w:val="23"/>
          <w:w w:val="102"/>
          <w:position w:val="11"/>
          <w:sz w:val="13"/>
          <w:szCs w:val="13"/>
        </w:rPr>
        <w:t xml:space="preserve"> </w:t>
      </w:r>
      <w:r>
        <w:rPr>
          <w:rFonts w:ascii="Calibri" w:eastAsia="Calibri" w:hAnsi="Calibri" w:cs="Calibri"/>
          <w:position w:val="11"/>
          <w:sz w:val="13"/>
          <w:szCs w:val="13"/>
        </w:rPr>
        <w:t>70</w:t>
      </w:r>
      <w:r>
        <w:rPr>
          <w:rFonts w:ascii="Microsoft YaHei" w:eastAsia="Microsoft YaHei" w:hAnsi="Microsoft YaHei" w:cs="Microsoft YaHei"/>
          <w:position w:val="11"/>
          <w:sz w:val="13"/>
          <w:szCs w:val="13"/>
        </w:rPr>
        <w:t>个大中城市新建商品住宅价格指数</w:t>
      </w:r>
      <w:r>
        <w:rPr>
          <w:rFonts w:ascii="Calibri" w:eastAsia="Calibri" w:hAnsi="Calibri" w:cs="Calibri"/>
          <w:position w:val="11"/>
          <w:sz w:val="13"/>
          <w:szCs w:val="13"/>
        </w:rPr>
        <w:t>:</w:t>
      </w:r>
      <w:r>
        <w:rPr>
          <w:rFonts w:ascii="Microsoft YaHei" w:eastAsia="Microsoft YaHei" w:hAnsi="Microsoft YaHei" w:cs="Microsoft YaHei"/>
          <w:position w:val="11"/>
          <w:sz w:val="13"/>
          <w:szCs w:val="13"/>
        </w:rPr>
        <w:t>当月同比</w:t>
      </w:r>
    </w:p>
    <w:p>
      <w:pPr>
        <w:tabs>
          <w:tab w:val="left" w:pos="1336"/>
        </w:tabs>
        <w:spacing w:before="1" w:line="190" w:lineRule="auto"/>
        <w:ind w:left="948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trike/>
          <w:sz w:val="13"/>
          <w:szCs w:val="13"/>
        </w:rPr>
        <w:tab/>
      </w:r>
      <w:r>
        <w:rPr>
          <w:rFonts w:ascii="Microsoft YaHei" w:eastAsia="Microsoft YaHei" w:hAnsi="Microsoft YaHei" w:cs="Microsoft YaHei"/>
          <w:spacing w:val="17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>中国</w:t>
      </w:r>
      <w:r>
        <w:rPr>
          <w:rFonts w:ascii="Calibri" w:eastAsia="Calibri" w:hAnsi="Calibri" w:cs="Calibri"/>
          <w:spacing w:val="-2"/>
          <w:sz w:val="13"/>
          <w:szCs w:val="13"/>
        </w:rPr>
        <w:t>:PPI: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>全部工业品</w:t>
      </w:r>
      <w:r>
        <w:rPr>
          <w:rFonts w:ascii="Calibri" w:eastAsia="Calibri" w:hAnsi="Calibri" w:cs="Calibri"/>
          <w:spacing w:val="-2"/>
          <w:sz w:val="13"/>
          <w:szCs w:val="13"/>
        </w:rPr>
        <w:t>: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>当月同比</w:t>
      </w:r>
    </w:p>
    <w:p>
      <w:pPr>
        <w:pStyle w:val="BodyText"/>
        <w:spacing w:before="269" w:line="173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，长江证券研究所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88" w:line="198" w:lineRule="auto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12</w:t>
      </w:r>
      <w:r>
        <w:rPr>
          <w:rFonts w:ascii="STXihei" w:eastAsia="STXihei" w:hAnsi="STXihei" w:cs="STXihei"/>
          <w:spacing w:val="-2"/>
          <w:sz w:val="16"/>
          <w:szCs w:val="16"/>
        </w:rPr>
        <w:t>：居民消费支出多年稳健增长（元）</w:t>
      </w:r>
    </w:p>
    <w:p>
      <w:pPr>
        <w:pStyle w:val="BodyText"/>
        <w:spacing w:before="167" w:line="200" w:lineRule="auto"/>
        <w:ind w:left="130"/>
        <w:rPr>
          <w:sz w:val="13"/>
          <w:szCs w:val="13"/>
        </w:rPr>
      </w:pPr>
      <w:r>
        <w:pict>
          <v:shape id="_x0000_s1177" type="#_x0000_t202" style="width:14.5pt;height:8.15pt;margin-top:7.35pt;margin-left:228.21pt;position:absolute;z-index:2518323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7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15%</w:t>
                  </w:r>
                </w:p>
              </w:txbxContent>
            </v:textbox>
          </v:shape>
        </w:pict>
      </w:r>
      <w:r>
        <w:rPr>
          <w:spacing w:val="-2"/>
          <w:sz w:val="13"/>
          <w:szCs w:val="13"/>
        </w:rPr>
        <w:t>600</w:t>
      </w:r>
      <w:r>
        <w:rPr>
          <w:spacing w:val="-15"/>
          <w:sz w:val="13"/>
          <w:szCs w:val="13"/>
        </w:rPr>
        <w:t xml:space="preserve"> </w:t>
      </w:r>
      <w:r>
        <w:rPr>
          <w:spacing w:val="-2"/>
          <w:sz w:val="13"/>
          <w:szCs w:val="13"/>
        </w:rPr>
        <w:t>00</w:t>
      </w:r>
    </w:p>
    <w:p>
      <w:pPr>
        <w:pStyle w:val="BodyText"/>
        <w:spacing w:before="129" w:line="199" w:lineRule="auto"/>
        <w:ind w:left="129"/>
        <w:rPr>
          <w:sz w:val="13"/>
          <w:szCs w:val="13"/>
        </w:rPr>
      </w:pPr>
      <w:r>
        <w:rPr>
          <w:spacing w:val="-1"/>
          <w:sz w:val="13"/>
          <w:szCs w:val="13"/>
        </w:rPr>
        <w:t>500</w:t>
      </w:r>
      <w:r>
        <w:rPr>
          <w:spacing w:val="-17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00</w:t>
      </w:r>
    </w:p>
    <w:p>
      <w:pPr>
        <w:pStyle w:val="BodyText"/>
        <w:spacing w:before="129" w:line="199" w:lineRule="auto"/>
        <w:ind w:left="128"/>
        <w:rPr>
          <w:sz w:val="13"/>
          <w:szCs w:val="13"/>
        </w:rPr>
      </w:pPr>
      <w:r>
        <w:pict>
          <v:shape id="_x0000_s1178" type="#_x0000_t202" style="width:14.5pt;height:8.15pt;margin-top:5.47pt;margin-left:228.21pt;position:absolute;z-index:2518333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10%</w:t>
                  </w:r>
                </w:p>
              </w:txbxContent>
            </v:textbox>
          </v:shape>
        </w:pict>
      </w:r>
      <w:r>
        <w:rPr>
          <w:spacing w:val="-1"/>
          <w:sz w:val="13"/>
          <w:szCs w:val="13"/>
        </w:rPr>
        <w:t>400</w:t>
      </w:r>
      <w:r>
        <w:rPr>
          <w:spacing w:val="-16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00</w:t>
      </w:r>
    </w:p>
    <w:p>
      <w:pPr>
        <w:pStyle w:val="BodyText"/>
        <w:spacing w:before="128" w:line="199" w:lineRule="auto"/>
        <w:ind w:left="129"/>
        <w:rPr>
          <w:sz w:val="13"/>
          <w:szCs w:val="13"/>
        </w:rPr>
      </w:pPr>
      <w:r>
        <w:rPr>
          <w:spacing w:val="-2"/>
          <w:sz w:val="13"/>
          <w:szCs w:val="13"/>
        </w:rPr>
        <w:t>300</w:t>
      </w:r>
      <w:r>
        <w:rPr>
          <w:spacing w:val="-14"/>
          <w:sz w:val="13"/>
          <w:szCs w:val="13"/>
        </w:rPr>
        <w:t xml:space="preserve"> </w:t>
      </w:r>
      <w:r>
        <w:rPr>
          <w:spacing w:val="-2"/>
          <w:sz w:val="13"/>
          <w:szCs w:val="13"/>
        </w:rPr>
        <w:t>00</w:t>
      </w:r>
    </w:p>
    <w:p>
      <w:pPr>
        <w:pStyle w:val="BodyText"/>
        <w:spacing w:before="129" w:line="200" w:lineRule="auto"/>
        <w:ind w:left="129"/>
        <w:rPr>
          <w:sz w:val="13"/>
          <w:szCs w:val="13"/>
        </w:rPr>
      </w:pPr>
      <w:r>
        <w:pict>
          <v:shape id="_x0000_s1179" type="#_x0000_t202" style="width:11.3pt;height:8.05pt;margin-top:5.53pt;margin-left:227.77pt;position:absolute;z-index:2518353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5%</w:t>
                  </w:r>
                </w:p>
              </w:txbxContent>
            </v:textbox>
          </v:shape>
        </w:pict>
      </w:r>
      <w:r>
        <w:rPr>
          <w:spacing w:val="-2"/>
          <w:sz w:val="13"/>
          <w:szCs w:val="13"/>
        </w:rPr>
        <w:t>200</w:t>
      </w:r>
      <w:r>
        <w:rPr>
          <w:spacing w:val="-14"/>
          <w:sz w:val="13"/>
          <w:szCs w:val="13"/>
        </w:rPr>
        <w:t xml:space="preserve"> </w:t>
      </w:r>
      <w:r>
        <w:rPr>
          <w:spacing w:val="-2"/>
          <w:sz w:val="13"/>
          <w:szCs w:val="13"/>
        </w:rPr>
        <w:t>00</w:t>
      </w:r>
    </w:p>
    <w:p>
      <w:pPr>
        <w:pStyle w:val="BodyText"/>
        <w:spacing w:before="129" w:line="199" w:lineRule="auto"/>
        <w:ind w:left="138"/>
        <w:rPr>
          <w:sz w:val="13"/>
          <w:szCs w:val="13"/>
        </w:rPr>
      </w:pPr>
      <w:r>
        <w:rPr>
          <w:spacing w:val="-3"/>
          <w:sz w:val="13"/>
          <w:szCs w:val="13"/>
        </w:rPr>
        <w:t>100</w:t>
      </w:r>
      <w:r>
        <w:rPr>
          <w:spacing w:val="-16"/>
          <w:sz w:val="13"/>
          <w:szCs w:val="13"/>
        </w:rPr>
        <w:t xml:space="preserve"> </w:t>
      </w:r>
      <w:r>
        <w:rPr>
          <w:spacing w:val="-3"/>
          <w:sz w:val="13"/>
          <w:szCs w:val="13"/>
        </w:rPr>
        <w:t>00</w:t>
      </w:r>
    </w:p>
    <w:p>
      <w:pPr>
        <w:pStyle w:val="BodyText"/>
        <w:spacing w:before="130" w:line="199" w:lineRule="auto"/>
        <w:ind w:left="434"/>
        <w:rPr>
          <w:sz w:val="13"/>
          <w:szCs w:val="13"/>
        </w:rPr>
      </w:pPr>
      <w:r>
        <w:pict>
          <v:shape id="_x0000_s1180" type="#_x0000_t202" style="width:11.25pt;height:8.15pt;margin-top:5.47pt;margin-left:227.82pt;position:absolute;z-index:2518343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  <w:r>
        <w:rPr>
          <w:sz w:val="13"/>
          <w:szCs w:val="13"/>
        </w:rPr>
        <w:t>0</w:t>
      </w:r>
    </w:p>
    <w:p>
      <w:pPr>
        <w:pStyle w:val="BodyText"/>
        <w:spacing w:line="375" w:lineRule="auto"/>
      </w:pPr>
    </w:p>
    <w:p>
      <w:pPr>
        <w:spacing w:before="56" w:line="184" w:lineRule="auto"/>
        <w:ind w:left="1610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"/>
          <w:sz w:val="13"/>
          <w:szCs w:val="13"/>
        </w:rPr>
        <w:t>城镇居民人均可支配收入</w:t>
      </w:r>
    </w:p>
    <w:p>
      <w:pPr>
        <w:spacing w:before="5" w:line="223" w:lineRule="auto"/>
        <w:ind w:left="1610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"/>
          <w:sz w:val="13"/>
          <w:szCs w:val="13"/>
        </w:rPr>
        <w:t>城镇居民人均可支配收入同比（右轴）</w:t>
      </w:r>
    </w:p>
    <w:p>
      <w:pPr>
        <w:spacing w:before="18" w:line="185" w:lineRule="auto"/>
        <w:ind w:left="1614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Calibri" w:eastAsia="Calibri" w:hAnsi="Calibri" w:cs="Calibri"/>
          <w:sz w:val="13"/>
          <w:szCs w:val="13"/>
        </w:rPr>
        <w:t>GDP</w:t>
      </w:r>
      <w:r>
        <w:rPr>
          <w:rFonts w:ascii="Microsoft YaHei" w:eastAsia="Microsoft YaHei" w:hAnsi="Microsoft YaHei" w:cs="Microsoft YaHei"/>
          <w:sz w:val="13"/>
          <w:szCs w:val="13"/>
        </w:rPr>
        <w:t>不变价同比（右轴）</w:t>
      </w:r>
    </w:p>
    <w:p>
      <w:pPr>
        <w:pStyle w:val="BodyText"/>
        <w:spacing w:before="154" w:line="209" w:lineRule="auto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，长江证券研究所</w:t>
      </w:r>
    </w:p>
    <w:p>
      <w:pPr>
        <w:spacing w:line="209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164"/>
          <w:footerReference w:type="default" r:id="rId165"/>
          <w:type w:val="continuous"/>
          <w:pgSz w:w="11907" w:h="16839"/>
          <w:pgMar w:top="1350" w:right="749" w:bottom="970" w:left="842" w:header="851" w:footer="713" w:gutter="0"/>
          <w:pgNumType w:start="31"/>
          <w:cols w:num="2" w:space="708" w:equalWidth="0">
            <w:col w:w="5155" w:space="100"/>
            <w:col w:w="5061" w:space="0"/>
          </w:cols>
        </w:sectPr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before="63" w:line="313" w:lineRule="exact"/>
        <w:ind w:left="14"/>
        <w:rPr>
          <w:rFonts w:ascii="STXihei" w:eastAsia="STXihei" w:hAnsi="STXihei" w:cs="STXihei"/>
          <w:sz w:val="18"/>
          <w:szCs w:val="18"/>
        </w:rPr>
      </w:pPr>
      <w:r>
        <w:rPr>
          <w:b/>
          <w:bCs/>
          <w:spacing w:val="-1"/>
          <w:position w:val="11"/>
          <w:sz w:val="18"/>
          <w:szCs w:val="18"/>
        </w:rPr>
        <w:t xml:space="preserve">2015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年行业调整触底后，高端酒率先进入反弹，并逐步向下带动次高端。</w:t>
      </w:r>
      <w:r>
        <w:rPr>
          <w:spacing w:val="-1"/>
          <w:position w:val="11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年茅五</w:t>
      </w:r>
    </w:p>
    <w:p>
      <w:pPr>
        <w:pStyle w:val="BodyText"/>
        <w:spacing w:line="197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 xml:space="preserve">泸销量均从之前的微增或减少转正，其后直至 </w:t>
      </w:r>
      <w:r>
        <w:rPr>
          <w:spacing w:val="-3"/>
          <w:sz w:val="18"/>
          <w:szCs w:val="18"/>
        </w:rPr>
        <w:t xml:space="preserve">2020 </w:t>
      </w:r>
      <w:r>
        <w:rPr>
          <w:rFonts w:ascii="STXihei" w:eastAsia="STXihei" w:hAnsi="STXihei" w:cs="STXihei"/>
          <w:spacing w:val="-3"/>
          <w:sz w:val="18"/>
          <w:szCs w:val="18"/>
        </w:rPr>
        <w:t>年特殊事件扰动持续实现稳健增长，</w:t>
      </w:r>
    </w:p>
    <w:p>
      <w:pPr>
        <w:pStyle w:val="BodyText"/>
        <w:spacing w:before="105" w:line="197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茅台、五粮液</w:t>
      </w:r>
      <w:r>
        <w:rPr>
          <w:rFonts w:ascii="STXihei" w:eastAsia="STXihei" w:hAnsi="STXihei" w:cs="STXihei"/>
          <w:spacing w:val="13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2015-2019</w:t>
      </w:r>
      <w:r>
        <w:rPr>
          <w:spacing w:val="14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年销量</w:t>
      </w:r>
      <w:r>
        <w:rPr>
          <w:rFonts w:ascii="STXihei" w:eastAsia="STXihei" w:hAnsi="STXihei" w:cs="STXihei"/>
          <w:spacing w:val="17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CAGR</w:t>
      </w:r>
      <w:r>
        <w:rPr>
          <w:spacing w:val="13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分别为</w:t>
      </w:r>
      <w:r>
        <w:rPr>
          <w:rFonts w:ascii="STXihei" w:eastAsia="STXihei" w:hAnsi="STXihei" w:cs="STXihei"/>
          <w:spacing w:val="27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14.9%</w:t>
      </w:r>
      <w:r>
        <w:rPr>
          <w:spacing w:val="-30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、</w:t>
      </w:r>
      <w:r>
        <w:rPr>
          <w:spacing w:val="-2"/>
          <w:sz w:val="18"/>
          <w:szCs w:val="18"/>
        </w:rPr>
        <w:t>19.7%</w:t>
      </w:r>
      <w:r>
        <w:rPr>
          <w:rFonts w:ascii="STXihei" w:eastAsia="STXihei" w:hAnsi="STXihei" w:cs="STXihei"/>
          <w:spacing w:val="-2"/>
          <w:sz w:val="18"/>
          <w:szCs w:val="18"/>
        </w:rPr>
        <w:t>。公司预</w:t>
      </w:r>
      <w:r>
        <w:rPr>
          <w:rFonts w:ascii="STXihei" w:eastAsia="STXihei" w:hAnsi="STXihei" w:cs="STXihei"/>
          <w:spacing w:val="-3"/>
          <w:sz w:val="18"/>
          <w:szCs w:val="18"/>
        </w:rPr>
        <w:t>收账款的变化</w:t>
      </w:r>
    </w:p>
    <w:p>
      <w:pPr>
        <w:pStyle w:val="BodyText"/>
        <w:spacing w:before="105" w:line="197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 xml:space="preserve">也可以体现出高端白酒行业的需求复苏，  茅五预收账款于 </w:t>
      </w:r>
      <w:r>
        <w:rPr>
          <w:spacing w:val="-5"/>
          <w:sz w:val="18"/>
          <w:szCs w:val="18"/>
        </w:rPr>
        <w:t>201</w:t>
      </w:r>
      <w:r>
        <w:rPr>
          <w:spacing w:val="-6"/>
          <w:sz w:val="18"/>
          <w:szCs w:val="18"/>
        </w:rPr>
        <w:t xml:space="preserve">5 </w:t>
      </w:r>
      <w:r>
        <w:rPr>
          <w:rFonts w:ascii="STXihei" w:eastAsia="STXihei" w:hAnsi="STXihei" w:cs="STXihei"/>
          <w:spacing w:val="-6"/>
          <w:sz w:val="18"/>
          <w:szCs w:val="18"/>
        </w:rPr>
        <w:t>年均转正，</w:t>
      </w:r>
      <w:r>
        <w:rPr>
          <w:rFonts w:ascii="STXihei" w:eastAsia="STXihei" w:hAnsi="STXihei" w:cs="STXihei"/>
          <w:spacing w:val="22"/>
          <w:w w:val="101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6"/>
          <w:sz w:val="18"/>
          <w:szCs w:val="18"/>
        </w:rPr>
        <w:t>年维持</w:t>
      </w:r>
    </w:p>
    <w:p>
      <w:pPr>
        <w:spacing w:before="104" w:line="198" w:lineRule="auto"/>
        <w:ind w:left="3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1"/>
          <w:sz w:val="18"/>
          <w:szCs w:val="18"/>
        </w:rPr>
        <w:t>了高速增长，</w:t>
      </w:r>
      <w:r>
        <w:rPr>
          <w:rFonts w:ascii="STXihei" w:eastAsia="STXihei" w:hAnsi="STXihei" w:cs="STXihei"/>
          <w:spacing w:val="15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渠道端信心充沛，</w:t>
      </w:r>
      <w:r>
        <w:rPr>
          <w:rFonts w:ascii="STXihei" w:eastAsia="STXihei" w:hAnsi="STXihei" w:cs="STXihei"/>
          <w:spacing w:val="18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高端酒的复苏为次高端的景气期开启吹响</w:t>
      </w:r>
      <w:r>
        <w:rPr>
          <w:rFonts w:ascii="STXihei" w:eastAsia="STXihei" w:hAnsi="STXihei" w:cs="STXihei"/>
          <w:spacing w:val="-12"/>
          <w:sz w:val="18"/>
          <w:szCs w:val="18"/>
        </w:rPr>
        <w:t>了号角，</w:t>
      </w:r>
      <w:r>
        <w:rPr>
          <w:rFonts w:ascii="STXihei" w:eastAsia="STXihei" w:hAnsi="STXihei" w:cs="STXihei"/>
          <w:spacing w:val="14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2"/>
          <w:sz w:val="18"/>
          <w:szCs w:val="18"/>
        </w:rPr>
        <w:t>行业</w:t>
      </w:r>
    </w:p>
    <w:p>
      <w:pPr>
        <w:spacing w:before="103" w:line="198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复苏逐步向下扩散。</w:t>
      </w:r>
    </w:p>
    <w:p>
      <w:pPr>
        <w:spacing w:line="126" w:lineRule="exact"/>
      </w:pPr>
    </w:p>
    <w:p>
      <w:pPr>
        <w:spacing w:line="126" w:lineRule="exact"/>
        <w:sectPr>
          <w:headerReference w:type="default" r:id="rId166"/>
          <w:footerReference w:type="default" r:id="rId167"/>
          <w:type w:val="continuous"/>
          <w:pgSz w:w="11907" w:h="16839"/>
          <w:pgMar w:top="1350" w:right="749" w:bottom="970" w:left="842" w:header="851" w:footer="713" w:gutter="0"/>
          <w:pgNumType w:start="32"/>
          <w:cols w:num="1" w:space="708" w:equalWidth="0">
            <w:col w:w="10315" w:space="0"/>
          </w:cols>
        </w:sectPr>
      </w:pPr>
    </w:p>
    <w:p>
      <w:pPr>
        <w:pStyle w:val="BodyText"/>
        <w:spacing w:before="90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13</w:t>
      </w:r>
      <w:r>
        <w:rPr>
          <w:rFonts w:ascii="STXihei" w:eastAsia="STXihei" w:hAnsi="STXihei" w:cs="STXihei"/>
          <w:spacing w:val="-2"/>
          <w:sz w:val="16"/>
          <w:szCs w:val="16"/>
        </w:rPr>
        <w:t>：茅台、五粮液销量增加明显（万千升）</w:t>
      </w:r>
    </w:p>
    <w:p>
      <w:pPr>
        <w:spacing w:line="167" w:lineRule="exact"/>
      </w:pPr>
    </w:p>
    <w:tbl>
      <w:tblPr>
        <w:tblStyle w:val="TableNormal7"/>
        <w:tblW w:w="4717" w:type="dxa"/>
        <w:tblInd w:w="1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7"/>
        <w:gridCol w:w="3858"/>
        <w:gridCol w:w="372"/>
      </w:tblGrid>
      <w:tr>
        <w:tblPrEx>
          <w:tblW w:w="4717" w:type="dxa"/>
          <w:tblInd w:w="1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00"/>
        </w:trPr>
        <w:tc>
          <w:tcPr>
            <w:tcW w:w="487" w:type="dxa"/>
            <w:vAlign w:val="top"/>
          </w:tcPr>
          <w:p>
            <w:pPr>
              <w:spacing w:line="216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40,000</w:t>
            </w:r>
          </w:p>
          <w:p>
            <w:pPr>
              <w:spacing w:before="94" w:line="217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35,000</w:t>
            </w:r>
          </w:p>
          <w:p>
            <w:pPr>
              <w:spacing w:before="95" w:line="216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30,000</w:t>
            </w:r>
          </w:p>
          <w:p>
            <w:pPr>
              <w:spacing w:before="94" w:line="217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25,000</w:t>
            </w:r>
          </w:p>
          <w:p>
            <w:pPr>
              <w:spacing w:before="95" w:line="216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20,000</w:t>
            </w:r>
          </w:p>
          <w:p>
            <w:pPr>
              <w:spacing w:before="94" w:line="217" w:lineRule="auto"/>
              <w:ind w:left="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15,000</w:t>
            </w:r>
          </w:p>
          <w:p>
            <w:pPr>
              <w:spacing w:before="95" w:line="216" w:lineRule="auto"/>
              <w:ind w:left="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10,000</w:t>
            </w:r>
          </w:p>
          <w:p>
            <w:pPr>
              <w:spacing w:before="96" w:line="200" w:lineRule="auto"/>
              <w:ind w:left="7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5,000</w:t>
            </w:r>
          </w:p>
          <w:p>
            <w:pPr>
              <w:spacing w:before="106" w:line="199" w:lineRule="auto"/>
              <w:ind w:left="3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0</w:t>
            </w:r>
          </w:p>
        </w:tc>
        <w:tc>
          <w:tcPr>
            <w:tcW w:w="3858" w:type="dxa"/>
            <w:vAlign w:val="top"/>
          </w:tcPr>
          <w:p>
            <w:pPr>
              <w:spacing w:before="54" w:line="1837" w:lineRule="exact"/>
              <w:ind w:firstLine="75"/>
            </w:pPr>
            <w:r>
              <w:rPr>
                <w:position w:val="-36"/>
              </w:rPr>
              <w:drawing>
                <wp:inline distT="0" distB="0" distL="0" distR="0">
                  <wp:extent cx="2360045" cy="1166392"/>
                  <wp:effectExtent l="0" t="0" r="0" b="0"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045" cy="1166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10" w:line="88" w:lineRule="exact"/>
              <w:ind w:left="18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5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3      201</w:t>
            </w:r>
            <w:r>
              <w:rPr>
                <w:rFonts w:ascii="Arial" w:eastAsia="Arial" w:hAnsi="Arial" w:cs="Arial"/>
                <w:spacing w:val="-17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4</w:t>
            </w:r>
            <w:r>
              <w:rPr>
                <w:rFonts w:ascii="Arial" w:eastAsia="Arial" w:hAnsi="Arial" w:cs="Arial"/>
                <w:spacing w:val="1"/>
                <w:position w:val="-2"/>
                <w:sz w:val="13"/>
                <w:szCs w:val="13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3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5</w:t>
            </w:r>
            <w:r>
              <w:rPr>
                <w:rFonts w:ascii="Arial" w:eastAsia="Arial" w:hAnsi="Arial" w:cs="Arial"/>
                <w:spacing w:val="1"/>
                <w:position w:val="-2"/>
                <w:sz w:val="13"/>
                <w:szCs w:val="13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0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6</w:t>
            </w:r>
            <w:r>
              <w:rPr>
                <w:rFonts w:ascii="Arial" w:eastAsia="Arial" w:hAnsi="Arial" w:cs="Arial"/>
                <w:spacing w:val="1"/>
                <w:position w:val="-2"/>
                <w:sz w:val="13"/>
                <w:szCs w:val="13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2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7</w:t>
            </w:r>
            <w:r>
              <w:rPr>
                <w:rFonts w:ascii="Arial" w:eastAsia="Arial" w:hAnsi="Arial" w:cs="Arial"/>
                <w:spacing w:val="2"/>
                <w:position w:val="-2"/>
                <w:sz w:val="13"/>
                <w:szCs w:val="13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7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8</w:t>
            </w:r>
            <w:r>
              <w:rPr>
                <w:rFonts w:ascii="Arial" w:eastAsia="Arial" w:hAnsi="Arial" w:cs="Arial"/>
                <w:spacing w:val="2"/>
                <w:position w:val="-2"/>
                <w:sz w:val="13"/>
                <w:szCs w:val="13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6"/>
                <w:position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2"/>
                <w:sz w:val="13"/>
                <w:szCs w:val="13"/>
              </w:rPr>
              <w:t>9</w:t>
            </w:r>
          </w:p>
        </w:tc>
        <w:tc>
          <w:tcPr>
            <w:tcW w:w="372" w:type="dxa"/>
            <w:vAlign w:val="top"/>
          </w:tcPr>
          <w:p>
            <w:pPr>
              <w:spacing w:line="436" w:lineRule="auto"/>
              <w:ind w:left="67" w:right="4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40%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30%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20%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10%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0%</w:t>
            </w:r>
          </w:p>
          <w:p>
            <w:pPr>
              <w:spacing w:before="174" w:line="306" w:lineRule="exact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position w:val="15"/>
                <w:sz w:val="13"/>
                <w:szCs w:val="13"/>
              </w:rPr>
              <w:t>-10%</w:t>
            </w:r>
          </w:p>
          <w:p>
            <w:pPr>
              <w:spacing w:line="196" w:lineRule="auto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-20%</w:t>
            </w:r>
          </w:p>
        </w:tc>
      </w:tr>
    </w:tbl>
    <w:p>
      <w:pPr>
        <w:spacing w:before="229" w:line="186" w:lineRule="auto"/>
        <w:ind w:left="140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2"/>
          <w:sz w:val="13"/>
          <w:szCs w:val="13"/>
        </w:rPr>
        <w:drawing>
          <wp:inline distT="0" distB="0" distL="0" distR="0">
            <wp:extent cx="232280" cy="46290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32280" cy="4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4"/>
          <w:w w:val="10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>贵州茅台销量</w:t>
      </w:r>
      <w:r>
        <w:rPr>
          <w:rFonts w:ascii="Microsoft YaHei" w:eastAsia="Microsoft YaHei" w:hAnsi="Microsoft YaHei" w:cs="Microsoft YaHei"/>
          <w:spacing w:val="12"/>
          <w:w w:val="101"/>
          <w:sz w:val="13"/>
          <w:szCs w:val="13"/>
        </w:rPr>
        <w:t xml:space="preserve">   </w:t>
      </w:r>
      <w:r>
        <w:rPr>
          <w:position w:val="2"/>
          <w:sz w:val="13"/>
          <w:szCs w:val="13"/>
        </w:rPr>
        <w:drawing>
          <wp:inline distT="0" distB="0" distL="0" distR="0">
            <wp:extent cx="241572" cy="46290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41572" cy="4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 xml:space="preserve">五粮液销量   </w:t>
      </w:r>
      <w:r>
        <w:rPr>
          <w:rFonts w:ascii="Microsoft YaHei" w:eastAsia="Microsoft YaHei" w:hAnsi="Microsoft YaHei" w:cs="Microsoft YaHei"/>
          <w:strike/>
          <w:spacing w:val="5"/>
          <w:sz w:val="13"/>
          <w:szCs w:val="13"/>
        </w:rPr>
        <w:t xml:space="preserve">    </w:t>
      </w:r>
      <w:r>
        <w:rPr>
          <w:position w:val="3"/>
          <w:sz w:val="13"/>
          <w:szCs w:val="13"/>
        </w:rPr>
        <w:drawing>
          <wp:inline distT="0" distB="0" distL="0" distR="0">
            <wp:extent cx="27889" cy="27775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7889" cy="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5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 xml:space="preserve">茅台同比   </w:t>
      </w:r>
      <w:r>
        <w:rPr>
          <w:rFonts w:ascii="Microsoft YaHei" w:eastAsia="Microsoft YaHei" w:hAnsi="Microsoft YaHei" w:cs="Microsoft YaHei"/>
          <w:strike/>
          <w:spacing w:val="1"/>
          <w:sz w:val="13"/>
          <w:szCs w:val="13"/>
        </w:rPr>
        <w:t xml:space="preserve">     </w:t>
      </w:r>
      <w:r>
        <w:rPr>
          <w:position w:val="3"/>
          <w:sz w:val="13"/>
          <w:szCs w:val="13"/>
        </w:rPr>
        <w:drawing>
          <wp:inline distT="0" distB="0" distL="0" distR="0">
            <wp:extent cx="27876" cy="27775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7876" cy="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5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spacing w:val="12"/>
          <w:w w:val="10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>五粮液同比</w:t>
      </w:r>
    </w:p>
    <w:p>
      <w:pPr>
        <w:spacing w:before="283" w:line="173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2"/>
          <w:sz w:val="13"/>
          <w:szCs w:val="13"/>
        </w:rPr>
        <w:t>资料来源：</w:t>
      </w:r>
      <w:r>
        <w:rPr>
          <w:rFonts w:ascii="STXihei" w:eastAsia="STXihei" w:hAnsi="STXihei" w:cs="STXihei"/>
          <w:spacing w:val="3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2"/>
          <w:sz w:val="13"/>
          <w:szCs w:val="13"/>
        </w:rPr>
        <w:t>公司公告，</w:t>
      </w:r>
      <w:r>
        <w:rPr>
          <w:rFonts w:ascii="STXihei" w:eastAsia="STXihei" w:hAnsi="STXihei" w:cs="STXihei"/>
          <w:spacing w:val="10"/>
          <w:w w:val="102"/>
          <w:sz w:val="13"/>
          <w:szCs w:val="13"/>
        </w:rPr>
        <w:t xml:space="preserve">  </w:t>
      </w:r>
      <w:r>
        <w:rPr>
          <w:rFonts w:ascii="STXihei" w:eastAsia="STXihei" w:hAnsi="STXihei" w:cs="STXihei"/>
          <w:spacing w:val="2"/>
          <w:sz w:val="13"/>
          <w:szCs w:val="13"/>
        </w:rPr>
        <w:t>长江证券研究所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2" w:line="255" w:lineRule="exact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 xml:space="preserve">图  </w:t>
      </w:r>
      <w:r>
        <w:rPr>
          <w:spacing w:val="-1"/>
          <w:position w:val="3"/>
          <w:sz w:val="16"/>
          <w:szCs w:val="16"/>
        </w:rPr>
        <w:t>14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：高端白酒预收账款明显增加（亿元）</w:t>
      </w:r>
    </w:p>
    <w:p>
      <w:pPr>
        <w:pStyle w:val="BodyText"/>
        <w:spacing w:before="198" w:line="1961" w:lineRule="exact"/>
        <w:ind w:firstLine="494"/>
      </w:pPr>
      <w:r>
        <w:rPr>
          <w:position w:val="-39"/>
        </w:rPr>
        <w:pict>
          <v:group id="_x0000_i1181" style="width:212.3pt;height:98.05pt;mso-position-horizontal-relative:char;mso-position-vertical-relative:line" coordorigin="0,0" coordsize="4246,1961" filled="f" stroked="f">
            <v:shape id="_x0000_s1182" type="#_x0000_t75" style="width:3895;height:1715;left:182;position:absolute;top:108" filled="f" stroked="f">
              <v:imagedata r:id="rId173" o:title=""/>
            </v:shape>
            <v:shape id="_x0000_s1183" style="width:875;height:422;left:2290;position:absolute;top:1401" coordorigin="0,0" coordsize="875,422" path="m167,421l167,m7,l7,421m867,116l867,m722,l722,116e" filled="f" strokecolor="white" strokeweight="0.73pt"/>
            <v:shape id="_x0000_s1184" style="width:146;height:15;left:3012;position:absolute;top:1510" coordorigin="0,0" coordsize="146,15" path="m,7l145,7e" filled="f" strokecolor="white" strokeweight="0.73pt"/>
            <v:shape id="_x0000_s1185" type="#_x0000_t202" style="width:3917;height:1806;left:162;position:absolute;top:81" filled="f" stroked="f">
              <o:lock v:ext="edit" aspectratio="f"/>
              <v:textbox inset="0,0,0,0">
                <w:txbxContent>
                  <w:p>
                    <w:pPr>
                      <w:spacing w:before="20" w:line="1307" w:lineRule="exact"/>
                      <w:ind w:firstLine="20"/>
                    </w:pPr>
                    <w:r>
                      <w:rPr>
                        <w:position w:val="-26"/>
                      </w:rPr>
                      <w:drawing>
                        <wp:inline distT="0" distB="0" distL="0" distR="0">
                          <wp:extent cx="2348229" cy="830129"/>
                          <wp:effectExtent l="0" t="0" r="0" b="0"/>
                          <wp:docPr id="308" name="IM 30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8" name="IM 30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48229" cy="83012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00" w:line="158" w:lineRule="auto"/>
                      <w:ind w:left="52"/>
                      <w:rPr>
                        <w:rFonts w:ascii="Arial" w:eastAsia="Arial" w:hAnsi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201 4           201</w:t>
                    </w:r>
                    <w:r>
                      <w:rPr>
                        <w:rFonts w:ascii="Arial" w:eastAsia="Arial" w:hAnsi="Arial" w:cs="Arial"/>
                        <w:spacing w:val="-1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5</w:t>
                    </w:r>
                    <w:r>
                      <w:rPr>
                        <w:rFonts w:ascii="Arial" w:eastAsia="Arial" w:hAnsi="Arial" w:cs="Arial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rFonts w:ascii="Arial" w:eastAsia="Arial" w:hAnsi="Arial" w:cs="Arial"/>
                        <w:spacing w:val="-9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6</w:t>
                    </w:r>
                    <w:r>
                      <w:rPr>
                        <w:rFonts w:ascii="Arial" w:eastAsia="Arial" w:hAnsi="Arial" w:cs="Arial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rFonts w:ascii="Arial" w:eastAsia="Arial" w:hAnsi="Arial" w:cs="Arial"/>
                        <w:spacing w:val="-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7</w:t>
                    </w:r>
                    <w:r>
                      <w:rPr>
                        <w:rFonts w:ascii="Arial" w:eastAsia="Arial" w:hAnsi="Arial" w:cs="Arial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20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0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8</w:t>
                    </w:r>
                    <w:r>
                      <w:rPr>
                        <w:rFonts w:ascii="Arial" w:eastAsia="Arial" w:hAnsi="Arial" w:cs="Arial"/>
                        <w:sz w:val="13"/>
                        <w:szCs w:val="13"/>
                      </w:rPr>
                      <w:t xml:space="preserve">  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rFonts w:ascii="Arial" w:eastAsia="Arial" w:hAnsi="Arial" w:cs="Arial"/>
                        <w:spacing w:val="-10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13"/>
                        <w:szCs w:val="13"/>
                      </w:rPr>
                      <w:t>9</w:t>
                    </w:r>
                  </w:p>
                  <w:p>
                    <w:pPr>
                      <w:tabs>
                        <w:tab w:val="left" w:pos="2295"/>
                      </w:tabs>
                      <w:spacing w:before="18" w:line="241" w:lineRule="exact"/>
                      <w:ind w:left="2135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</w:txbxContent>
              </v:textbox>
            </v:shape>
            <v:group id="_x0000_s1186" style="width:4246;height:1961;position:absolute" coordorigin="0,0" coordsize="4246,1961" filled="f" stroked="f">
              <v:shape id="_x0000_s1187" style="width:3706;height:828;left:379;position:absolute;top:581" coordorigin="0,0" coordsize="3706,828" path="m7,806l153,806l153,820l7,820l7,806xm707,660l867,660l867,820l707,820l707,660xm1407,225l1568,225l1568,820l1407,820l1407,225m2283,820l2122,820m2822,530l2983,530l2983,820l2822,820l2822,530xm3537,7l3697,7l3697,820l3537,820l3537,7e" filled="f" strokecolor="white" strokeweight="0.73pt"/>
              <v:shape id="_x0000_s1188" style="width:4246;height:1961;position:absolute" coordorigin="0,0" coordsize="4246,1961" path="m7,1953l7,7m7,1953l51,1953m7,1677l51,1677m7,1401l51,1401m7,1125l51,1125m7,835l51,835m7,559l51,559m7,283l51,283m7,7l51,7m7,1401l4237,1401m7,1358l7,1401m707,1358l707,1401m1422,1358l1422,1401m2122,1358l2122,1401m2837,1358l2837,1401m3537,1358l3537,1401m4237,1358l4237,1401e" filled="f" strokecolor="black" strokeweight="0.73pt"/>
            </v:group>
            <w10:wrap type="none"/>
          </v:group>
        </w:pict>
      </w:r>
    </w:p>
    <w:p>
      <w:pPr>
        <w:spacing w:before="296" w:line="185" w:lineRule="auto"/>
        <w:ind w:left="1850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1"/>
          <w:sz w:val="13"/>
          <w:szCs w:val="13"/>
        </w:rPr>
        <w:drawing>
          <wp:inline distT="0" distB="0" distL="0" distR="0">
            <wp:extent cx="55596" cy="55352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5596" cy="5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z w:val="13"/>
          <w:szCs w:val="13"/>
        </w:rPr>
        <w:t>贵州茅台</w:t>
      </w:r>
      <w:r>
        <w:rPr>
          <w:rFonts w:ascii="Microsoft YaHei" w:eastAsia="Microsoft YaHei" w:hAnsi="Microsoft YaHei" w:cs="Microsoft YaHei"/>
          <w:spacing w:val="5"/>
          <w:sz w:val="13"/>
          <w:szCs w:val="13"/>
        </w:rPr>
        <w:t xml:space="preserve">   </w:t>
      </w:r>
      <w:r>
        <w:rPr>
          <w:position w:val="1"/>
          <w:sz w:val="13"/>
          <w:szCs w:val="13"/>
        </w:rPr>
        <w:drawing>
          <wp:inline distT="0" distB="0" distL="0" distR="0">
            <wp:extent cx="55584" cy="55352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5584" cy="5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z w:val="13"/>
          <w:szCs w:val="13"/>
        </w:rPr>
        <w:t>五粮液</w:t>
      </w:r>
    </w:p>
    <w:p>
      <w:pPr>
        <w:pStyle w:val="BodyText"/>
        <w:spacing w:line="244" w:lineRule="auto"/>
      </w:pPr>
    </w:p>
    <w:p>
      <w:pPr>
        <w:spacing w:before="47" w:line="186" w:lineRule="auto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2"/>
          <w:sz w:val="13"/>
          <w:szCs w:val="13"/>
        </w:rPr>
        <w:t>资料来源：</w:t>
      </w:r>
      <w:r>
        <w:rPr>
          <w:rFonts w:ascii="STXihei" w:eastAsia="STXihei" w:hAnsi="STXihei" w:cs="STXihei"/>
          <w:spacing w:val="3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2"/>
          <w:sz w:val="13"/>
          <w:szCs w:val="13"/>
        </w:rPr>
        <w:t>公司公告，</w:t>
      </w:r>
      <w:r>
        <w:rPr>
          <w:rFonts w:ascii="STXihei" w:eastAsia="STXihei" w:hAnsi="STXihei" w:cs="STXihei"/>
          <w:spacing w:val="10"/>
          <w:w w:val="102"/>
          <w:sz w:val="13"/>
          <w:szCs w:val="13"/>
        </w:rPr>
        <w:t xml:space="preserve">  </w:t>
      </w:r>
      <w:r>
        <w:rPr>
          <w:rFonts w:ascii="STXihei" w:eastAsia="STXihei" w:hAnsi="STXihei" w:cs="STXihei"/>
          <w:spacing w:val="2"/>
          <w:sz w:val="13"/>
          <w:szCs w:val="13"/>
        </w:rPr>
        <w:t>长江证券研究所</w:t>
      </w:r>
    </w:p>
    <w:p>
      <w:pPr>
        <w:spacing w:line="186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177"/>
          <w:footerReference w:type="default" r:id="rId178"/>
          <w:type w:val="continuous"/>
          <w:pgSz w:w="11907" w:h="16839"/>
          <w:pgMar w:top="1350" w:right="749" w:bottom="970" w:left="842" w:header="851" w:footer="713" w:gutter="0"/>
          <w:pgNumType w:start="33"/>
          <w:cols w:num="2" w:space="708" w:equalWidth="0">
            <w:col w:w="5155" w:space="100"/>
            <w:col w:w="5061" w:space="0"/>
          </w:cols>
        </w:sectPr>
      </w:pPr>
    </w:p>
    <w:p>
      <w:pPr>
        <w:pStyle w:val="BodyText"/>
        <w:spacing w:line="315" w:lineRule="auto"/>
      </w:pPr>
    </w:p>
    <w:p>
      <w:pPr>
        <w:pStyle w:val="BodyText"/>
        <w:spacing w:line="316" w:lineRule="auto"/>
        <w:sectPr>
          <w:headerReference w:type="default" r:id="rId179"/>
          <w:footerReference w:type="default" r:id="rId180"/>
          <w:type w:val="continuous"/>
          <w:pgSz w:w="11907" w:h="16839"/>
          <w:pgMar w:top="1350" w:right="749" w:bottom="970" w:left="842" w:header="851" w:footer="713" w:gutter="0"/>
          <w:pgNumType w:start="34"/>
          <w:cols w:num="1" w:space="708" w:equalWidth="0">
            <w:col w:w="10315" w:space="0"/>
          </w:cols>
        </w:sectPr>
      </w:pPr>
    </w:p>
    <w:p>
      <w:pPr>
        <w:spacing w:before="63" w:line="313" w:lineRule="exact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高端酒批价明显上涨，为次高端发展打开天花板</w:t>
      </w:r>
      <w:r>
        <w:rPr>
          <w:rFonts w:ascii="STXihei" w:eastAsia="STXihei" w:hAnsi="STXihei" w:cs="STXihei"/>
          <w:spacing w:val="-18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5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白酒是社交活动中的重要催化剂，</w:t>
      </w:r>
      <w:r>
        <w:rPr>
          <w:rFonts w:ascii="STXihei" w:eastAsia="STXihei" w:hAnsi="STXihei" w:cs="STXihei"/>
          <w:spacing w:val="13"/>
          <w:position w:val="1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在</w:t>
      </w:r>
    </w:p>
    <w:p>
      <w:pPr>
        <w:spacing w:line="197" w:lineRule="auto"/>
        <w:ind w:left="2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限制“三公”消费政策带来行业的深度调整期后，</w:t>
      </w:r>
      <w:r>
        <w:rPr>
          <w:rFonts w:ascii="STXihei" w:eastAsia="STXihei" w:hAnsi="STXihei" w:cs="STXihei"/>
          <w:spacing w:val="2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经济活动的发展、社会财富的累积为</w:t>
      </w:r>
    </w:p>
    <w:p>
      <w:pPr>
        <w:spacing w:before="103" w:line="198" w:lineRule="auto"/>
        <w:ind w:left="3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白酒行业的复苏打下了基础，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高端和次高端酒的需求逐步从政商务向大众消费转移，</w:t>
      </w:r>
      <w:r>
        <w:rPr>
          <w:rFonts w:ascii="STXihei" w:eastAsia="STXihei" w:hAnsi="STXihei" w:cs="STXihei"/>
          <w:spacing w:val="12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茅</w:t>
      </w:r>
    </w:p>
    <w:p>
      <w:pPr>
        <w:pStyle w:val="BodyText"/>
        <w:spacing w:before="105" w:line="197" w:lineRule="auto"/>
        <w:ind w:left="2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台批价于</w:t>
      </w:r>
      <w:r>
        <w:rPr>
          <w:rFonts w:ascii="STXihei" w:eastAsia="STXihei" w:hAnsi="STXihei" w:cs="STXihei"/>
          <w:spacing w:val="28"/>
          <w:w w:val="102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16 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年下半年开始进入快速上涨通道，   </w:t>
      </w:r>
      <w:r>
        <w:rPr>
          <w:spacing w:val="-4"/>
          <w:sz w:val="18"/>
          <w:szCs w:val="18"/>
        </w:rPr>
        <w:t xml:space="preserve">19 </w:t>
      </w:r>
      <w:r>
        <w:rPr>
          <w:rFonts w:ascii="STXihei" w:eastAsia="STXihei" w:hAnsi="STXihei" w:cs="STXihei"/>
          <w:spacing w:val="-4"/>
          <w:sz w:val="18"/>
          <w:szCs w:val="18"/>
        </w:rPr>
        <w:t>年中突破</w:t>
      </w:r>
      <w:r>
        <w:rPr>
          <w:rFonts w:ascii="STXihei" w:eastAsia="STXihei" w:hAnsi="STXihei" w:cs="STXihei"/>
          <w:spacing w:val="8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2000 </w:t>
      </w:r>
      <w:r>
        <w:rPr>
          <w:rFonts w:ascii="STXihei" w:eastAsia="STXihei" w:hAnsi="STXihei" w:cs="STXihei"/>
          <w:spacing w:val="-4"/>
          <w:sz w:val="18"/>
          <w:szCs w:val="18"/>
        </w:rPr>
        <w:t>元，五粮液、国窖价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格也从</w:t>
      </w:r>
      <w:r>
        <w:rPr>
          <w:rFonts w:ascii="STXihei" w:eastAsia="STXihei" w:hAnsi="STXihei" w:cs="STXihei"/>
          <w:spacing w:val="2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16 </w:t>
      </w:r>
      <w:r>
        <w:rPr>
          <w:rFonts w:ascii="STXihei" w:eastAsia="STXihei" w:hAnsi="STXihei" w:cs="STXihei"/>
          <w:spacing w:val="-1"/>
          <w:sz w:val="18"/>
          <w:szCs w:val="18"/>
        </w:rPr>
        <w:t>年上半年的</w:t>
      </w:r>
      <w:r>
        <w:rPr>
          <w:rFonts w:ascii="STXihei" w:eastAsia="STXihei" w:hAnsi="STXihei" w:cs="STXihei"/>
          <w:spacing w:val="12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600 </w:t>
      </w:r>
      <w:r>
        <w:rPr>
          <w:rFonts w:ascii="STXihei" w:eastAsia="STXihei" w:hAnsi="STXihei" w:cs="STXihei"/>
          <w:spacing w:val="-1"/>
          <w:sz w:val="18"/>
          <w:szCs w:val="18"/>
        </w:rPr>
        <w:t>元左右提升至</w:t>
      </w:r>
      <w:r>
        <w:rPr>
          <w:rFonts w:ascii="STXihei" w:eastAsia="STXihei" w:hAnsi="STXihei" w:cs="STXihei"/>
          <w:spacing w:val="2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19 </w:t>
      </w:r>
      <w:r>
        <w:rPr>
          <w:rFonts w:ascii="STXihei" w:eastAsia="STXihei" w:hAnsi="STXihei" w:cs="STXihei"/>
          <w:spacing w:val="-1"/>
          <w:sz w:val="18"/>
          <w:szCs w:val="18"/>
        </w:rPr>
        <w:t>年的</w:t>
      </w:r>
      <w:r>
        <w:rPr>
          <w:rFonts w:ascii="STXihei" w:eastAsia="STXihei" w:hAnsi="STXihei" w:cs="STXihei"/>
          <w:spacing w:val="13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9</w:t>
      </w:r>
      <w:r>
        <w:rPr>
          <w:spacing w:val="-2"/>
          <w:sz w:val="18"/>
          <w:szCs w:val="18"/>
        </w:rPr>
        <w:t xml:space="preserve">00 </w:t>
      </w:r>
      <w:r>
        <w:rPr>
          <w:rFonts w:ascii="STXihei" w:eastAsia="STXihei" w:hAnsi="STXihei" w:cs="STXihei"/>
          <w:spacing w:val="-2"/>
          <w:sz w:val="18"/>
          <w:szCs w:val="18"/>
        </w:rPr>
        <w:t>元左右，为次高端产品打开价格</w:t>
      </w:r>
    </w:p>
    <w:p>
      <w:pPr>
        <w:pStyle w:val="BodyText"/>
        <w:spacing w:before="104" w:line="162" w:lineRule="auto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空间，本轮次高端产品的消费主流价格带从</w:t>
      </w:r>
      <w:r>
        <w:rPr>
          <w:rFonts w:ascii="STXihei" w:eastAsia="STXihei" w:hAnsi="STXihei" w:cs="STXihei"/>
          <w:spacing w:val="21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100-200 </w:t>
      </w:r>
      <w:r>
        <w:rPr>
          <w:rFonts w:ascii="STXihei" w:eastAsia="STXihei" w:hAnsi="STXihei" w:cs="STXihei"/>
          <w:spacing w:val="-1"/>
          <w:sz w:val="18"/>
          <w:szCs w:val="18"/>
        </w:rPr>
        <w:t xml:space="preserve">元提升至 </w:t>
      </w:r>
      <w:r>
        <w:rPr>
          <w:spacing w:val="-1"/>
          <w:sz w:val="18"/>
          <w:szCs w:val="18"/>
        </w:rPr>
        <w:t>300-</w:t>
      </w:r>
      <w:r>
        <w:rPr>
          <w:spacing w:val="-2"/>
          <w:sz w:val="18"/>
          <w:szCs w:val="18"/>
        </w:rPr>
        <w:t xml:space="preserve">400 </w:t>
      </w:r>
      <w:r>
        <w:rPr>
          <w:rFonts w:ascii="STXihei" w:eastAsia="STXihei" w:hAnsi="STXihei" w:cs="STXihei"/>
          <w:spacing w:val="-2"/>
          <w:sz w:val="18"/>
          <w:szCs w:val="18"/>
        </w:rPr>
        <w:t>元。</w:t>
      </w:r>
    </w:p>
    <w:p>
      <w:pPr>
        <w:spacing w:line="162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181"/>
          <w:footerReference w:type="default" r:id="rId182"/>
          <w:type w:val="nextPage"/>
          <w:pgSz w:w="11907" w:h="16839"/>
          <w:pgMar w:top="1350" w:right="749" w:bottom="970" w:left="842" w:header="851" w:footer="713" w:gutter="0"/>
          <w:pgNumType w:start="35"/>
          <w:cols w:num="1" w:space="708" w:equalWidth="0">
            <w:col w:w="10315" w:space="0"/>
          </w:cols>
          <w:titlePg w:val="0"/>
        </w:sectPr>
      </w:pPr>
    </w:p>
    <w:p>
      <w:pPr>
        <w:pStyle w:val="BodyText"/>
        <w:spacing w:line="297" w:lineRule="auto"/>
      </w:pPr>
      <w:r>
        <w:drawing>
          <wp:anchor distT="0" distB="0" distL="0" distR="0" simplePos="0" relativeHeight="251836416" behindDoc="1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1431925</wp:posOffset>
            </wp:positionV>
            <wp:extent cx="4318634" cy="3591560"/>
            <wp:effectExtent l="0" t="0" r="0" b="0"/>
            <wp:wrapNone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4318634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0" allowOverlap="1">
            <wp:simplePos x="0" y="0"/>
            <wp:positionH relativeFrom="page">
              <wp:posOffset>836294</wp:posOffset>
            </wp:positionH>
            <wp:positionV relativeFrom="page">
              <wp:posOffset>7173582</wp:posOffset>
            </wp:positionV>
            <wp:extent cx="3718305" cy="2435858"/>
            <wp:effectExtent l="0" t="0" r="0" b="0"/>
            <wp:wrapNone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3718305" cy="2435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97" w:lineRule="auto"/>
      </w:pPr>
    </w:p>
    <w:p>
      <w:pPr>
        <w:pStyle w:val="BodyText"/>
        <w:spacing w:before="56" w:line="240" w:lineRule="exact"/>
        <w:ind w:left="28"/>
        <w:rPr>
          <w:rFonts w:ascii="STXihei" w:eastAsia="STXihei" w:hAnsi="STXihei" w:cs="STXihei"/>
          <w:sz w:val="16"/>
          <w:szCs w:val="16"/>
        </w:rPr>
      </w:pPr>
      <w:bookmarkStart w:id="27" w:name="bookmark30"/>
      <w:bookmarkEnd w:id="27"/>
      <w:bookmarkStart w:id="28" w:name="bookmark31"/>
      <w:bookmarkEnd w:id="28"/>
      <w:r>
        <w:rPr>
          <w:rFonts w:ascii="STXihei" w:eastAsia="STXihei" w:hAnsi="STXihei" w:cs="STXihei"/>
          <w:spacing w:val="-1"/>
          <w:position w:val="2"/>
          <w:sz w:val="16"/>
          <w:szCs w:val="16"/>
        </w:rPr>
        <w:t xml:space="preserve">图  </w:t>
      </w:r>
      <w:r>
        <w:rPr>
          <w:spacing w:val="-1"/>
          <w:position w:val="2"/>
          <w:sz w:val="16"/>
          <w:szCs w:val="16"/>
        </w:rPr>
        <w:t>15</w:t>
      </w:r>
      <w:r>
        <w:rPr>
          <w:rFonts w:ascii="STXihei" w:eastAsia="STXihei" w:hAnsi="STXihei" w:cs="STXihei"/>
          <w:spacing w:val="-1"/>
          <w:position w:val="2"/>
          <w:sz w:val="16"/>
          <w:szCs w:val="16"/>
        </w:rPr>
        <w:t>：高端酒的价格增长复盘（单位：元）</w:t>
      </w:r>
    </w:p>
    <w:p>
      <w:pPr>
        <w:spacing w:line="5693" w:lineRule="exact"/>
        <w:ind w:firstLine="9"/>
      </w:pPr>
      <w:r>
        <w:rPr>
          <w:position w:val="-113"/>
        </w:rPr>
        <w:pict>
          <v:group id="_x0000_i1189" style="width:340.15pt;height:284.7pt;mso-position-horizontal-relative:char;mso-position-vertical-relative:line" coordorigin="0,0" coordsize="6802,5694" filled="f" stroked="f">
            <v:rect id="_x0000_s1190" style="width:6802;height:10;position:absolute" filled="t" fillcolor="black" stroked="f"/>
            <v:rect id="_x0000_s1191" style="width:6802;height:10;position:absolute;top:5683" filled="t" fillcolor="black" stroked="f"/>
            <w10:wrap type="none"/>
          </v:group>
        </w:pict>
      </w:r>
    </w:p>
    <w:p>
      <w:pPr>
        <w:spacing w:before="149" w:line="209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>资料来源： 中国酒业协会、微酒、酒业家，长江证券</w:t>
      </w:r>
      <w:r>
        <w:rPr>
          <w:rFonts w:ascii="STXihei" w:eastAsia="STXihei" w:hAnsi="STXihei" w:cs="STXihei"/>
          <w:spacing w:val="7"/>
          <w:sz w:val="13"/>
          <w:szCs w:val="13"/>
        </w:rPr>
        <w:t>研究所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spacing w:before="63" w:line="313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本轮周期的需求结构以大众消费为主，价格基础更加扎实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position w:val="11"/>
          <w:sz w:val="18"/>
          <w:szCs w:val="18"/>
        </w:rPr>
        <w:t>伴随大众消费能力的提升，</w:t>
      </w:r>
    </w:p>
    <w:p>
      <w:pPr>
        <w:pStyle w:val="BodyText"/>
        <w:spacing w:line="196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 xml:space="preserve">次高端品牌通过直接降价或者推出性价比更高的新品（如水井坊推出 </w:t>
      </w:r>
      <w:r>
        <w:rPr>
          <w:spacing w:val="-2"/>
          <w:sz w:val="18"/>
          <w:szCs w:val="18"/>
        </w:rPr>
        <w:t xml:space="preserve">300-400 </w:t>
      </w:r>
      <w:r>
        <w:rPr>
          <w:rFonts w:ascii="STXihei" w:eastAsia="STXihei" w:hAnsi="STXihei" w:cs="STXihei"/>
          <w:spacing w:val="-2"/>
          <w:sz w:val="18"/>
          <w:szCs w:val="18"/>
        </w:rPr>
        <w:t>元定位的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臻酿</w:t>
      </w:r>
      <w:r>
        <w:rPr>
          <w:rFonts w:ascii="STXihei" w:eastAsia="STXihei" w:hAnsi="STXihei" w:cs="STXihei"/>
          <w:spacing w:val="9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 xml:space="preserve">8 </w:t>
      </w:r>
      <w:r>
        <w:rPr>
          <w:rFonts w:ascii="STXihei" w:eastAsia="STXihei" w:hAnsi="STXihei" w:cs="STXihei"/>
          <w:spacing w:val="-8"/>
          <w:sz w:val="18"/>
          <w:szCs w:val="18"/>
        </w:rPr>
        <w:t>号） 积极挖掘大众消费潜力，</w:t>
      </w:r>
      <w:r>
        <w:rPr>
          <w:rFonts w:ascii="STXihei" w:eastAsia="STXihei" w:hAnsi="STXihei" w:cs="STXihei"/>
          <w:spacing w:val="13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大众消费已经逐步成为次</w:t>
      </w:r>
      <w:r>
        <w:rPr>
          <w:rFonts w:ascii="STXihei" w:eastAsia="STXihei" w:hAnsi="STXihei" w:cs="STXihei"/>
          <w:spacing w:val="-9"/>
          <w:sz w:val="18"/>
          <w:szCs w:val="18"/>
        </w:rPr>
        <w:t>高端市场的主力，   以其较</w:t>
      </w:r>
    </w:p>
    <w:p>
      <w:pPr>
        <w:spacing w:before="105" w:line="197" w:lineRule="auto"/>
        <w:ind w:left="2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强的消费韧性成就了本轮次高端扩容更强的持续性及稳</w:t>
      </w:r>
      <w:r>
        <w:rPr>
          <w:rFonts w:ascii="STXihei" w:eastAsia="STXihei" w:hAnsi="STXihei" w:cs="STXihei"/>
          <w:spacing w:val="-5"/>
          <w:sz w:val="18"/>
          <w:szCs w:val="18"/>
        </w:rPr>
        <w:t>定性。同时，</w:t>
      </w:r>
      <w:r>
        <w:rPr>
          <w:rFonts w:ascii="STXihei" w:eastAsia="STXihei" w:hAnsi="STXihei" w:cs="STXihei"/>
          <w:spacing w:val="12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大众消费对价格的</w:t>
      </w:r>
    </w:p>
    <w:p>
      <w:pPr>
        <w:spacing w:before="104" w:line="197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3"/>
          <w:sz w:val="18"/>
          <w:szCs w:val="18"/>
        </w:rPr>
        <w:t>敏感度较高，</w:t>
      </w:r>
      <w:r>
        <w:rPr>
          <w:rFonts w:ascii="STXihei" w:eastAsia="STXihei" w:hAnsi="STXihei" w:cs="STXihei"/>
          <w:spacing w:val="23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3"/>
          <w:sz w:val="18"/>
          <w:szCs w:val="18"/>
        </w:rPr>
        <w:t>造成本轮升级节奏更加理性，</w:t>
      </w:r>
      <w:r>
        <w:rPr>
          <w:rFonts w:ascii="STXihei" w:eastAsia="STXihei" w:hAnsi="STXihei" w:cs="STXihei"/>
          <w:spacing w:val="15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3"/>
          <w:sz w:val="18"/>
          <w:szCs w:val="18"/>
        </w:rPr>
        <w:t>基础也更加坚实，   长周期来看，   次高端市场</w:t>
      </w:r>
    </w:p>
    <w:p>
      <w:pPr>
        <w:spacing w:before="105" w:line="197" w:lineRule="auto"/>
        <w:ind w:left="2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>的消费升级速度以消费能力提升速度为“锚”，以高端酒价格升级速度为“帆”，长期稳</w:t>
      </w:r>
    </w:p>
    <w:p>
      <w:pPr>
        <w:spacing w:before="105" w:line="197" w:lineRule="auto"/>
        <w:ind w:left="1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健升级的模式逐渐确立。</w:t>
      </w:r>
    </w:p>
    <w:p>
      <w:pPr>
        <w:pStyle w:val="BodyText"/>
        <w:spacing w:before="215" w:line="198" w:lineRule="auto"/>
        <w:ind w:left="28"/>
        <w:rPr>
          <w:rFonts w:ascii="STXihei" w:eastAsia="STXihei" w:hAnsi="STXihei" w:cs="STXihei"/>
          <w:sz w:val="16"/>
          <w:szCs w:val="16"/>
        </w:rPr>
        <w:sectPr>
          <w:headerReference w:type="default" r:id="rId185"/>
          <w:footerReference w:type="default" r:id="rId186"/>
          <w:pgSz w:w="11907" w:h="16839"/>
          <w:pgMar w:top="1350" w:right="749" w:bottom="970" w:left="842" w:header="851" w:footer="713" w:gutter="0"/>
          <w:pgNumType w:start="36"/>
          <w:cols w:space="708"/>
        </w:sect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16</w:t>
      </w:r>
      <w:r>
        <w:rPr>
          <w:rFonts w:ascii="STXihei" w:eastAsia="STXihei" w:hAnsi="STXihei" w:cs="STXihei"/>
          <w:spacing w:val="-1"/>
          <w:sz w:val="16"/>
          <w:szCs w:val="16"/>
        </w:rPr>
        <w:t>：大众消费相比政商务消费波动更小、对价格更敏感</w:t>
      </w:r>
    </w:p>
    <w:p>
      <w:pPr>
        <w:spacing w:before="6" w:line="3860" w:lineRule="exact"/>
        <w:ind w:firstLine="9"/>
      </w:pPr>
      <w:r>
        <w:rPr>
          <w:position w:val="-77"/>
        </w:rPr>
        <w:pict>
          <v:group id="_x0000_i1192" style="width:339.7pt;height:193pt;mso-position-horizontal-relative:char;mso-position-vertical-relative:line" coordorigin="0,0" coordsize="6794,3860" filled="f" stroked="f">
            <v:rect id="_x0000_s1193" style="width:6794;height:10;position:absolute;top:3850" filled="t" fillcolor="black" stroked="f"/>
            <v:rect id="_x0000_s1194" style="width:6794;height:10;position:absolute" filled="t" fillcolor="black" stroked="f"/>
            <w10:wrap type="none"/>
          </v:group>
        </w:pict>
      </w:r>
    </w:p>
    <w:p>
      <w:pPr>
        <w:spacing w:before="150" w:line="209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>资料来源：长江证券研究所</w:t>
      </w:r>
    </w:p>
    <w:p>
      <w:pPr>
        <w:spacing w:line="209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187"/>
          <w:footerReference w:type="default" r:id="rId188"/>
          <w:type w:val="nextPage"/>
          <w:pgSz w:w="11907" w:h="16839"/>
          <w:pgMar w:top="1350" w:right="749" w:bottom="970" w:left="842" w:header="851" w:footer="713" w:gutter="0"/>
          <w:pgNumType w:start="37"/>
          <w:cols w:space="708"/>
          <w:titlePg w:val="0"/>
        </w:sectPr>
      </w:pPr>
    </w:p>
    <w:p>
      <w:pPr>
        <w:pStyle w:val="BodyText"/>
        <w:spacing w:line="254" w:lineRule="auto"/>
      </w:pPr>
      <w:r>
        <w:drawing>
          <wp:anchor distT="0" distB="0" distL="0" distR="0" simplePos="0" relativeHeight="251838464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4961128</wp:posOffset>
            </wp:positionV>
            <wp:extent cx="3150742" cy="6350"/>
            <wp:effectExtent l="0" t="0" r="0" b="0"/>
            <wp:wrapNone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6761226</wp:posOffset>
            </wp:positionV>
            <wp:extent cx="3150742" cy="6350"/>
            <wp:effectExtent l="0" t="0" r="0" b="0"/>
            <wp:wrapNone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9488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4961128</wp:posOffset>
            </wp:positionV>
            <wp:extent cx="3150742" cy="6350"/>
            <wp:effectExtent l="0" t="0" r="0" b="0"/>
            <wp:wrapNone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6761226</wp:posOffset>
            </wp:positionV>
            <wp:extent cx="3150742" cy="6350"/>
            <wp:effectExtent l="0" t="0" r="0" b="0"/>
            <wp:wrapNone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before="91" w:line="237" w:lineRule="auto"/>
        <w:ind w:left="17"/>
        <w:rPr>
          <w:rFonts w:ascii="SimHei" w:eastAsia="SimHei" w:hAnsi="SimHei" w:cs="SimHei"/>
          <w:sz w:val="28"/>
          <w:szCs w:val="28"/>
        </w:rPr>
      </w:pPr>
      <w:bookmarkStart w:id="29" w:name="bookmark32"/>
      <w:bookmarkEnd w:id="29"/>
      <w:bookmarkStart w:id="30" w:name="bookmark33"/>
      <w:bookmarkEnd w:id="30"/>
      <w:bookmarkStart w:id="31" w:name="bookmark6"/>
      <w:bookmarkEnd w:id="31"/>
      <w:r>
        <w:rPr>
          <w:color w:val="E10000"/>
          <w:spacing w:val="-1"/>
          <w:sz w:val="28"/>
          <w:szCs w:val="28"/>
        </w:rPr>
        <w:t xml:space="preserve">2017-2018 </w:t>
      </w:r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年：经济回暖、高端酒价升吹响号角，企业</w:t>
      </w:r>
    </w:p>
    <w:p>
      <w:pPr>
        <w:spacing w:before="1" w:line="222" w:lineRule="auto"/>
        <w:ind w:left="2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10000"/>
          <w:spacing w:val="-2"/>
          <w:sz w:val="28"/>
          <w:szCs w:val="28"/>
        </w:rPr>
        <w:t>禀赋差异下分化成长</w:t>
      </w:r>
    </w:p>
    <w:p>
      <w:pPr>
        <w:pStyle w:val="BodyText"/>
        <w:spacing w:before="170" w:line="312" w:lineRule="exact"/>
        <w:ind w:left="14"/>
        <w:rPr>
          <w:rFonts w:ascii="STXihei" w:eastAsia="STXihei" w:hAnsi="STXihei" w:cs="STXihei"/>
          <w:sz w:val="18"/>
          <w:szCs w:val="18"/>
        </w:rPr>
      </w:pPr>
      <w:r>
        <w:rPr>
          <w:spacing w:val="-1"/>
          <w:position w:val="11"/>
          <w:sz w:val="18"/>
          <w:szCs w:val="18"/>
        </w:rPr>
        <w:t>2017-2018</w:t>
      </w:r>
      <w:r>
        <w:rPr>
          <w:spacing w:val="16"/>
          <w:w w:val="101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年的景气周期从</w:t>
      </w:r>
      <w:r>
        <w:rPr>
          <w:rFonts w:ascii="STXihei" w:eastAsia="STXihei" w:hAnsi="STXihei" w:cs="STXihei"/>
          <w:spacing w:val="15"/>
          <w:w w:val="101"/>
          <w:position w:val="11"/>
          <w:sz w:val="18"/>
          <w:szCs w:val="18"/>
        </w:rPr>
        <w:t xml:space="preserve"> </w:t>
      </w:r>
      <w:r>
        <w:rPr>
          <w:spacing w:val="-1"/>
          <w:position w:val="11"/>
          <w:sz w:val="18"/>
          <w:szCs w:val="18"/>
        </w:rPr>
        <w:t>2017</w:t>
      </w:r>
      <w:r>
        <w:rPr>
          <w:spacing w:val="16"/>
          <w:w w:val="101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年初开始，至</w:t>
      </w:r>
      <w:r>
        <w:rPr>
          <w:rFonts w:ascii="STXihei" w:eastAsia="STXihei" w:hAnsi="STXihei" w:cs="STXihei"/>
          <w:spacing w:val="16"/>
          <w:position w:val="11"/>
          <w:sz w:val="18"/>
          <w:szCs w:val="18"/>
        </w:rPr>
        <w:t xml:space="preserve"> </w:t>
      </w:r>
      <w:r>
        <w:rPr>
          <w:spacing w:val="-1"/>
          <w:position w:val="11"/>
          <w:sz w:val="18"/>
          <w:szCs w:val="18"/>
        </w:rPr>
        <w:t>2018</w:t>
      </w:r>
      <w:r>
        <w:rPr>
          <w:spacing w:val="16"/>
          <w:w w:val="101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年中“去杠杆”和贸易摩擦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压力</w:t>
      </w:r>
    </w:p>
    <w:p>
      <w:pPr>
        <w:pStyle w:val="BodyText"/>
        <w:spacing w:line="196" w:lineRule="auto"/>
        <w:ind w:left="2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 xml:space="preserve">下结束，次高端公司 </w:t>
      </w:r>
      <w:r>
        <w:rPr>
          <w:spacing w:val="-5"/>
          <w:sz w:val="18"/>
          <w:szCs w:val="18"/>
        </w:rPr>
        <w:t xml:space="preserve">2017 </w:t>
      </w:r>
      <w:r>
        <w:rPr>
          <w:rFonts w:ascii="STXihei" w:eastAsia="STXihei" w:hAnsi="STXihei" w:cs="STXihei"/>
          <w:spacing w:val="-5"/>
          <w:sz w:val="18"/>
          <w:szCs w:val="18"/>
        </w:rPr>
        <w:t xml:space="preserve">年 </w:t>
      </w:r>
      <w:r>
        <w:rPr>
          <w:spacing w:val="-5"/>
          <w:sz w:val="18"/>
          <w:szCs w:val="18"/>
        </w:rPr>
        <w:t xml:space="preserve">1 </w:t>
      </w:r>
      <w:r>
        <w:rPr>
          <w:rFonts w:ascii="STXihei" w:eastAsia="STXihei" w:hAnsi="STXihei" w:cs="STXihei"/>
          <w:spacing w:val="-5"/>
          <w:sz w:val="18"/>
          <w:szCs w:val="18"/>
        </w:rPr>
        <w:t>月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3</w:t>
      </w:r>
      <w:r>
        <w:rPr>
          <w:spacing w:val="18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日至 </w:t>
      </w:r>
      <w:r>
        <w:rPr>
          <w:spacing w:val="-6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年 </w:t>
      </w:r>
      <w:r>
        <w:rPr>
          <w:spacing w:val="-6"/>
          <w:sz w:val="18"/>
          <w:szCs w:val="18"/>
        </w:rPr>
        <w:t xml:space="preserve">6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月 </w:t>
      </w:r>
      <w:r>
        <w:rPr>
          <w:spacing w:val="-6"/>
          <w:sz w:val="18"/>
          <w:szCs w:val="18"/>
        </w:rPr>
        <w:t>12</w:t>
      </w:r>
      <w:r>
        <w:rPr>
          <w:spacing w:val="1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日高点股价累计上涨约 </w:t>
      </w:r>
      <w:r>
        <w:rPr>
          <w:spacing w:val="-6"/>
          <w:sz w:val="18"/>
          <w:szCs w:val="18"/>
        </w:rPr>
        <w:t>132%</w:t>
      </w:r>
      <w:r>
        <w:rPr>
          <w:rFonts w:ascii="STXihei" w:eastAsia="STXihei" w:hAnsi="STXihei" w:cs="STXihei"/>
          <w:spacing w:val="-6"/>
          <w:sz w:val="18"/>
          <w:szCs w:val="18"/>
        </w:rPr>
        <w:t>。</w:t>
      </w:r>
    </w:p>
    <w:p>
      <w:pPr>
        <w:pStyle w:val="BodyText"/>
        <w:spacing w:before="105" w:line="197" w:lineRule="auto"/>
        <w:ind w:left="18"/>
        <w:rPr>
          <w:sz w:val="18"/>
          <w:szCs w:val="18"/>
        </w:rPr>
      </w:pPr>
      <w:r>
        <w:rPr>
          <w:rFonts w:ascii="STXihei" w:eastAsia="STXihei" w:hAnsi="STXihei" w:cs="STXihei"/>
          <w:spacing w:val="3"/>
          <w:sz w:val="18"/>
          <w:szCs w:val="18"/>
        </w:rPr>
        <w:t xml:space="preserve">此轮景气周期的背景是经济复苏下高端白酒率先走出深度调整，股价和批价从  </w:t>
      </w:r>
      <w:r>
        <w:rPr>
          <w:spacing w:val="3"/>
          <w:sz w:val="18"/>
          <w:szCs w:val="18"/>
        </w:rPr>
        <w:t>2015-</w:t>
      </w:r>
    </w:p>
    <w:p>
      <w:pPr>
        <w:pStyle w:val="BodyText"/>
        <w:spacing w:before="103" w:line="198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sz w:val="18"/>
          <w:szCs w:val="18"/>
        </w:rPr>
        <w:t xml:space="preserve">2016  </w:t>
      </w:r>
      <w:r>
        <w:rPr>
          <w:rFonts w:ascii="STXihei" w:eastAsia="STXihei" w:hAnsi="STXihei" w:cs="STXihei"/>
          <w:sz w:val="18"/>
          <w:szCs w:val="18"/>
        </w:rPr>
        <w:t>年开始启动上升，之后复苏向下蔓延至次高端；主要驱动力是在国</w:t>
      </w:r>
      <w:r>
        <w:rPr>
          <w:rFonts w:ascii="STXihei" w:eastAsia="STXihei" w:hAnsi="STXihei" w:cs="STXihei"/>
          <w:spacing w:val="-1"/>
          <w:sz w:val="18"/>
          <w:szCs w:val="18"/>
        </w:rPr>
        <w:t>民收入和消费</w:t>
      </w:r>
    </w:p>
    <w:p>
      <w:pPr>
        <w:spacing w:before="105" w:line="197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水平的提升下，</w:t>
      </w:r>
      <w:r>
        <w:rPr>
          <w:rFonts w:ascii="STXihei" w:eastAsia="STXihei" w:hAnsi="STXihei" w:cs="STXihei"/>
          <w:spacing w:val="11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7"/>
          <w:sz w:val="18"/>
          <w:szCs w:val="18"/>
        </w:rPr>
        <w:t>大众及商务消费崛起带动次</w:t>
      </w:r>
      <w:r>
        <w:rPr>
          <w:rFonts w:ascii="STXihei" w:eastAsia="STXihei" w:hAnsi="STXihei" w:cs="STXihei"/>
          <w:spacing w:val="-8"/>
          <w:sz w:val="18"/>
          <w:szCs w:val="18"/>
        </w:rPr>
        <w:t>高端白酒需求上升；</w:t>
      </w:r>
      <w:r>
        <w:rPr>
          <w:rFonts w:ascii="STXihei" w:eastAsia="STXihei" w:hAnsi="STXihei" w:cs="STXihei"/>
          <w:spacing w:val="19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回调的主要原因是实体</w:t>
      </w:r>
    </w:p>
    <w:p>
      <w:pPr>
        <w:spacing w:before="104" w:line="198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经济受到“去杠杆”和贸易摩擦的影响，白酒需求阶段性受到影</w:t>
      </w:r>
      <w:r>
        <w:rPr>
          <w:rFonts w:ascii="STXihei" w:eastAsia="STXihei" w:hAnsi="STXihei" w:cs="STXihei"/>
          <w:spacing w:val="-2"/>
          <w:sz w:val="18"/>
          <w:szCs w:val="18"/>
        </w:rPr>
        <w:t>响。</w:t>
      </w:r>
    </w:p>
    <w:p>
      <w:pPr>
        <w:spacing w:before="224" w:line="313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本轮周期行业进入强分化状态，行业向头部集中态势明显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position w:val="11"/>
          <w:sz w:val="18"/>
          <w:szCs w:val="18"/>
        </w:rPr>
        <w:t>上一个行业整体扩张期后，</w:t>
      </w:r>
    </w:p>
    <w:p>
      <w:pPr>
        <w:spacing w:line="197" w:lineRule="auto"/>
        <w:ind w:left="2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1"/>
          <w:sz w:val="18"/>
          <w:szCs w:val="18"/>
        </w:rPr>
        <w:t>宏观经济放缓对白酒的压力主要体现在量的层面，</w:t>
      </w:r>
      <w:r>
        <w:rPr>
          <w:rFonts w:ascii="STXihei" w:eastAsia="STXihei" w:hAnsi="STXihei" w:cs="STXihei"/>
          <w:spacing w:val="44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1"/>
          <w:sz w:val="18"/>
          <w:szCs w:val="18"/>
        </w:rPr>
        <w:t>行业的增长模式逐渐从“量价齐升”</w:t>
      </w:r>
    </w:p>
    <w:p>
      <w:pPr>
        <w:pStyle w:val="BodyText"/>
        <w:spacing w:before="105" w:line="197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变为“量减价增”，</w:t>
      </w:r>
      <w:r>
        <w:rPr>
          <w:spacing w:val="-2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年至 </w:t>
      </w:r>
      <w:r>
        <w:rPr>
          <w:spacing w:val="-2"/>
          <w:sz w:val="18"/>
          <w:szCs w:val="18"/>
        </w:rPr>
        <w:t xml:space="preserve">2021 </w:t>
      </w:r>
      <w:r>
        <w:rPr>
          <w:rFonts w:ascii="STXihei" w:eastAsia="STXihei" w:hAnsi="STXihei" w:cs="STXihei"/>
          <w:spacing w:val="-2"/>
          <w:sz w:val="18"/>
          <w:szCs w:val="18"/>
        </w:rPr>
        <w:t>年规模以上白酒</w:t>
      </w:r>
      <w:r>
        <w:rPr>
          <w:rFonts w:ascii="STXihei" w:eastAsia="STXihei" w:hAnsi="STXihei" w:cs="STXihei"/>
          <w:spacing w:val="-3"/>
          <w:sz w:val="18"/>
          <w:szCs w:val="18"/>
        </w:rPr>
        <w:t>企业营业收入基本平稳，产量明显</w:t>
      </w:r>
    </w:p>
    <w:p>
      <w:pPr>
        <w:spacing w:before="105" w:line="197" w:lineRule="auto"/>
        <w:ind w:left="2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下降，行业增长的主要动力变为价增。这样的背景下，</w:t>
      </w:r>
      <w:r>
        <w:rPr>
          <w:rFonts w:ascii="STXihei" w:eastAsia="STXihei" w:hAnsi="STXihei" w:cs="STXihei"/>
          <w:spacing w:val="22"/>
          <w:w w:val="102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依靠贴牌、代工等方式野蛮生长</w:t>
      </w:r>
    </w:p>
    <w:p>
      <w:pPr>
        <w:spacing w:before="103" w:line="198" w:lineRule="auto"/>
        <w:ind w:left="2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的酒企生存压力较大，</w:t>
      </w:r>
      <w:r>
        <w:rPr>
          <w:rFonts w:ascii="STXihei" w:eastAsia="STXihei" w:hAnsi="STXihei" w:cs="STXihei"/>
          <w:spacing w:val="11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4"/>
          <w:sz w:val="18"/>
          <w:szCs w:val="18"/>
        </w:rPr>
        <w:t>企业层面的竞争更加依靠</w:t>
      </w:r>
      <w:r>
        <w:rPr>
          <w:rFonts w:ascii="STXihei" w:eastAsia="STXihei" w:hAnsi="STXihei" w:cs="STXihei"/>
          <w:spacing w:val="-5"/>
          <w:sz w:val="18"/>
          <w:szCs w:val="18"/>
        </w:rPr>
        <w:t>强品牌力、渠道力下的直接提价和结构</w:t>
      </w:r>
    </w:p>
    <w:p>
      <w:pPr>
        <w:spacing w:before="105" w:line="197" w:lineRule="auto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0"/>
          <w:sz w:val="18"/>
          <w:szCs w:val="18"/>
        </w:rPr>
        <w:t>升级，</w:t>
      </w:r>
      <w:r>
        <w:rPr>
          <w:rFonts w:ascii="STXihei" w:eastAsia="STXihei" w:hAnsi="STXihei" w:cs="STXihei"/>
          <w:spacing w:val="41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0"/>
          <w:sz w:val="18"/>
          <w:szCs w:val="18"/>
        </w:rPr>
        <w:t>本轮景气期行业整体并非全面好转，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而是部分头部企业的结构性成长，</w:t>
      </w:r>
      <w:r>
        <w:rPr>
          <w:rFonts w:ascii="STXihei" w:eastAsia="STXihei" w:hAnsi="STXihei" w:cs="STXihei"/>
          <w:spacing w:val="15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挤压式发</w:t>
      </w:r>
    </w:p>
    <w:p>
      <w:pPr>
        <w:spacing w:before="107" w:line="195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展的特征逐渐显现。</w:t>
      </w:r>
    </w:p>
    <w:p>
      <w:pPr>
        <w:spacing w:line="185" w:lineRule="exact"/>
      </w:pPr>
    </w:p>
    <w:p>
      <w:pPr>
        <w:spacing w:line="185" w:lineRule="exact"/>
        <w:sectPr>
          <w:headerReference w:type="default" r:id="rId189"/>
          <w:footerReference w:type="default" r:id="rId190"/>
          <w:pgSz w:w="11907" w:h="16839"/>
          <w:pgMar w:top="1350" w:right="749" w:bottom="970" w:left="842" w:header="851" w:footer="713" w:gutter="0"/>
          <w:pgNumType w:start="38"/>
          <w:cols w:num="1" w:space="708" w:equalWidth="0">
            <w:col w:w="10315" w:space="0"/>
          </w:cols>
        </w:sectPr>
      </w:pPr>
    </w:p>
    <w:p>
      <w:pPr>
        <w:pStyle w:val="BodyText"/>
        <w:spacing w:before="31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2"/>
          <w:sz w:val="16"/>
          <w:szCs w:val="16"/>
        </w:rPr>
        <w:t xml:space="preserve">图  </w:t>
      </w:r>
      <w:r>
        <w:rPr>
          <w:spacing w:val="-2"/>
          <w:sz w:val="16"/>
          <w:szCs w:val="16"/>
        </w:rPr>
        <w:t>17</w:t>
      </w:r>
      <w:r>
        <w:rPr>
          <w:rFonts w:ascii="STXihei" w:eastAsia="STXihei" w:hAnsi="STXihei" w:cs="STXihei"/>
          <w:spacing w:val="-2"/>
          <w:sz w:val="16"/>
          <w:szCs w:val="16"/>
        </w:rPr>
        <w:t>：规模以上白酒企业数量及增速</w:t>
      </w:r>
    </w:p>
    <w:p>
      <w:pPr>
        <w:spacing w:line="175" w:lineRule="exact"/>
      </w:pPr>
    </w:p>
    <w:tbl>
      <w:tblPr>
        <w:tblStyle w:val="TableNormal8"/>
        <w:tblW w:w="4667" w:type="dxa"/>
        <w:tblInd w:w="1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8"/>
        <w:gridCol w:w="3956"/>
        <w:gridCol w:w="363"/>
      </w:tblGrid>
      <w:tr>
        <w:tblPrEx>
          <w:tblW w:w="4667" w:type="dxa"/>
          <w:tblInd w:w="1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9"/>
        </w:trPr>
        <w:tc>
          <w:tcPr>
            <w:tcW w:w="348" w:type="dxa"/>
            <w:vAlign w:val="top"/>
          </w:tcPr>
          <w:p>
            <w:pPr>
              <w:spacing w:line="199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180</w:t>
            </w:r>
            <w:r>
              <w:rPr>
                <w:rFonts w:ascii="Arial" w:eastAsia="Arial" w:hAnsi="Arial" w:cs="Arial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0</w:t>
            </w:r>
          </w:p>
          <w:p>
            <w:pPr>
              <w:spacing w:before="79" w:line="199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160</w:t>
            </w:r>
            <w:r>
              <w:rPr>
                <w:rFonts w:ascii="Arial" w:eastAsia="Arial" w:hAnsi="Arial" w:cs="Arial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0</w:t>
            </w:r>
          </w:p>
          <w:p>
            <w:pPr>
              <w:spacing w:before="78" w:line="200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140</w:t>
            </w:r>
            <w:r>
              <w:rPr>
                <w:rFonts w:ascii="Arial" w:eastAsia="Arial" w:hAnsi="Arial" w:cs="Arial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0</w:t>
            </w:r>
          </w:p>
          <w:p>
            <w:pPr>
              <w:spacing w:before="79" w:line="200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120</w:t>
            </w:r>
            <w:r>
              <w:rPr>
                <w:rFonts w:ascii="Arial" w:eastAsia="Arial" w:hAnsi="Arial" w:cs="Arial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0</w:t>
            </w:r>
          </w:p>
          <w:p>
            <w:pPr>
              <w:spacing w:before="79" w:line="200" w:lineRule="auto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100</w:t>
            </w:r>
            <w:r>
              <w:rPr>
                <w:rFonts w:ascii="Arial" w:eastAsia="Arial" w:hAnsi="Arial" w:cs="Arial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>0</w:t>
            </w:r>
          </w:p>
          <w:p>
            <w:pPr>
              <w:spacing w:before="79" w:line="200" w:lineRule="auto"/>
              <w:ind w:left="6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800</w:t>
            </w:r>
          </w:p>
          <w:p>
            <w:pPr>
              <w:spacing w:before="80" w:line="199" w:lineRule="auto"/>
              <w:ind w:left="6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600</w:t>
            </w:r>
          </w:p>
          <w:p>
            <w:pPr>
              <w:spacing w:before="80" w:line="199" w:lineRule="auto"/>
              <w:ind w:left="6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400</w:t>
            </w:r>
          </w:p>
          <w:p>
            <w:pPr>
              <w:spacing w:before="80" w:line="199" w:lineRule="auto"/>
              <w:ind w:left="6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200</w:t>
            </w:r>
          </w:p>
          <w:p>
            <w:pPr>
              <w:spacing w:before="80" w:line="199" w:lineRule="auto"/>
              <w:ind w:left="22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0</w:t>
            </w:r>
          </w:p>
        </w:tc>
        <w:tc>
          <w:tcPr>
            <w:tcW w:w="3956" w:type="dxa"/>
            <w:vAlign w:val="top"/>
          </w:tcPr>
          <w:p>
            <w:pPr>
              <w:spacing w:before="56" w:line="1830" w:lineRule="exact"/>
              <w:ind w:firstLine="53"/>
            </w:pPr>
            <w:r>
              <w:rPr>
                <w:position w:val="-36"/>
              </w:rPr>
              <w:drawing>
                <wp:inline distT="0" distB="0" distL="0" distR="0">
                  <wp:extent cx="2439687" cy="1162262"/>
                  <wp:effectExtent l="0" t="0" r="0" b="0"/>
                  <wp:docPr id="326" name="IM 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 326"/>
                          <pic:cNvPicPr/>
                        </pic:nvPicPr>
                        <pic:blipFill>
                          <a:blip xmlns:r="http://schemas.openxmlformats.org/officeDocument/2006/relationships"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687" cy="1162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10" w:line="329" w:lineRule="exact"/>
              <w:ind w:left="10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8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3  201</w:t>
            </w:r>
            <w:r>
              <w:rPr>
                <w:rFonts w:ascii="Arial" w:eastAsia="Arial" w:hAnsi="Arial" w:cs="Arial"/>
                <w:spacing w:val="-17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4  201</w:t>
            </w:r>
            <w:r>
              <w:rPr>
                <w:rFonts w:ascii="Arial" w:eastAsia="Arial" w:hAnsi="Arial" w:cs="Arial"/>
                <w:spacing w:val="-18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5</w:t>
            </w:r>
            <w:r>
              <w:rPr>
                <w:rFonts w:ascii="Arial" w:eastAsia="Arial" w:hAnsi="Arial" w:cs="Arial"/>
                <w:spacing w:val="5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6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6</w:t>
            </w:r>
            <w:r>
              <w:rPr>
                <w:rFonts w:ascii="Arial" w:eastAsia="Arial" w:hAnsi="Arial" w:cs="Arial"/>
                <w:spacing w:val="4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4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7</w:t>
            </w:r>
            <w:r>
              <w:rPr>
                <w:rFonts w:ascii="Arial" w:eastAsia="Arial" w:hAnsi="Arial" w:cs="Arial"/>
                <w:spacing w:val="4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6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8</w:t>
            </w:r>
            <w:r>
              <w:rPr>
                <w:rFonts w:ascii="Arial" w:eastAsia="Arial" w:hAnsi="Arial" w:cs="Arial"/>
                <w:spacing w:val="4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201</w:t>
            </w:r>
            <w:r>
              <w:rPr>
                <w:rFonts w:ascii="Arial" w:eastAsia="Arial" w:hAnsi="Arial" w:cs="Arial"/>
                <w:spacing w:val="-17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9</w:t>
            </w:r>
            <w:r>
              <w:rPr>
                <w:rFonts w:ascii="Arial" w:eastAsia="Arial" w:hAnsi="Arial" w:cs="Arial"/>
                <w:spacing w:val="5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202</w:t>
            </w:r>
            <w:r>
              <w:rPr>
                <w:rFonts w:ascii="Arial" w:eastAsia="Arial" w:hAnsi="Arial" w:cs="Arial"/>
                <w:spacing w:val="-16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0</w:t>
            </w:r>
            <w:r>
              <w:rPr>
                <w:rFonts w:ascii="Arial" w:eastAsia="Arial" w:hAnsi="Arial" w:cs="Arial"/>
                <w:spacing w:val="4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7"/>
                <w:sz w:val="13"/>
                <w:szCs w:val="13"/>
              </w:rPr>
              <w:t>2</w:t>
            </w:r>
            <w:r>
              <w:rPr>
                <w:rFonts w:ascii="Arial" w:eastAsia="Arial" w:hAnsi="Arial" w:cs="Arial"/>
                <w:spacing w:val="-2"/>
                <w:position w:val="17"/>
                <w:sz w:val="13"/>
                <w:szCs w:val="13"/>
              </w:rPr>
              <w:t>02</w:t>
            </w:r>
            <w:r>
              <w:rPr>
                <w:rFonts w:ascii="Arial" w:eastAsia="Arial" w:hAnsi="Arial" w:cs="Arial"/>
                <w:spacing w:val="-7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7"/>
                <w:sz w:val="13"/>
                <w:szCs w:val="13"/>
              </w:rPr>
              <w:t>1</w:t>
            </w:r>
            <w:r>
              <w:rPr>
                <w:rFonts w:ascii="Arial" w:eastAsia="Arial" w:hAnsi="Arial" w:cs="Arial"/>
                <w:spacing w:val="4"/>
                <w:position w:val="17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2"/>
                <w:position w:val="17"/>
                <w:sz w:val="13"/>
                <w:szCs w:val="13"/>
              </w:rPr>
              <w:t>202</w:t>
            </w:r>
            <w:r>
              <w:rPr>
                <w:rFonts w:ascii="Arial" w:eastAsia="Arial" w:hAnsi="Arial" w:cs="Arial"/>
                <w:spacing w:val="-16"/>
                <w:position w:val="1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7"/>
                <w:sz w:val="13"/>
                <w:szCs w:val="13"/>
              </w:rPr>
              <w:t>2</w:t>
            </w:r>
          </w:p>
          <w:p>
            <w:pPr>
              <w:spacing w:line="132" w:lineRule="exact"/>
              <w:ind w:left="170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13"/>
                <w:szCs w:val="13"/>
              </w:rPr>
              <w:drawing>
                <wp:inline distT="0" distB="0" distL="0" distR="0">
                  <wp:extent cx="237492" cy="51248"/>
                  <wp:effectExtent l="0" t="0" r="0" b="0"/>
                  <wp:docPr id="328" name="IM 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 328"/>
                          <pic:cNvPicPr/>
                        </pic:nvPicPr>
                        <pic:blipFill>
                          <a:blip xmlns:r="http://schemas.openxmlformats.org/officeDocument/2006/relationships"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92" cy="51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规模以上白酒企业数量（家）           </w:t>
            </w:r>
            <w:r>
              <w:rPr>
                <w:rFonts w:ascii="Microsoft YaHei" w:eastAsia="Microsoft YaHei" w:hAnsi="Microsoft YaHei" w:cs="Microsoft YaHei"/>
                <w:strike/>
                <w:spacing w:val="-3"/>
                <w:sz w:val="13"/>
                <w:szCs w:val="13"/>
              </w:rPr>
              <w:t xml:space="preserve">     </w:t>
            </w:r>
            <w:r>
              <w:rPr>
                <w:position w:val="3"/>
                <w:sz w:val="13"/>
                <w:szCs w:val="13"/>
              </w:rPr>
              <w:drawing>
                <wp:inline distT="0" distB="0" distL="0" distR="0">
                  <wp:extent cx="30845" cy="30148"/>
                  <wp:effectExtent l="0" t="0" r="0" b="0"/>
                  <wp:docPr id="330" name="IM 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 330"/>
                          <pic:cNvPicPr/>
                        </pic:nvPicPr>
                        <pic:blipFill>
                          <a:blip xmlns:r="http://schemas.openxmlformats.org/officeDocument/2006/relationships"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45" cy="30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trike/>
                <w:spacing w:val="5"/>
                <w:sz w:val="13"/>
                <w:szCs w:val="13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>同比（右轴）</w:t>
            </w:r>
          </w:p>
        </w:tc>
        <w:tc>
          <w:tcPr>
            <w:tcW w:w="363" w:type="dxa"/>
            <w:vAlign w:val="top"/>
          </w:tcPr>
          <w:p>
            <w:pPr>
              <w:spacing w:line="306" w:lineRule="exact"/>
              <w:ind w:left="7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3"/>
                <w:position w:val="15"/>
                <w:sz w:val="13"/>
                <w:szCs w:val="13"/>
              </w:rPr>
              <w:t>10%</w:t>
            </w:r>
          </w:p>
          <w:p>
            <w:pPr>
              <w:spacing w:line="193" w:lineRule="auto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5%</w:t>
            </w:r>
          </w:p>
          <w:p>
            <w:pPr>
              <w:spacing w:before="183" w:line="197" w:lineRule="auto"/>
              <w:ind w:left="6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0%</w:t>
            </w:r>
          </w:p>
          <w:p>
            <w:pPr>
              <w:spacing w:before="185" w:line="417" w:lineRule="auto"/>
              <w:ind w:left="6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-5%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-10%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-15%</w:t>
            </w:r>
            <w:r>
              <w:rPr>
                <w:rFonts w:ascii="Arial" w:eastAsia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>-20%</w:t>
            </w:r>
          </w:p>
        </w:tc>
      </w:tr>
    </w:tbl>
    <w:p>
      <w:pPr>
        <w:pStyle w:val="BodyText"/>
        <w:spacing w:line="310" w:lineRule="auto"/>
      </w:pPr>
    </w:p>
    <w:p>
      <w:pPr>
        <w:spacing w:before="46" w:line="174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7"/>
          <w:sz w:val="13"/>
          <w:szCs w:val="13"/>
        </w:rPr>
        <w:t>资料来源： 中国酒业协会，长江证券研究所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9" w:line="198" w:lineRule="auto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18</w:t>
      </w:r>
      <w:r>
        <w:rPr>
          <w:rFonts w:ascii="STXihei" w:eastAsia="STXihei" w:hAnsi="STXihei" w:cs="STXihei"/>
          <w:spacing w:val="-1"/>
          <w:sz w:val="16"/>
          <w:szCs w:val="16"/>
        </w:rPr>
        <w:t>：白酒行业产量进入减少区间</w:t>
      </w:r>
    </w:p>
    <w:p>
      <w:pPr>
        <w:spacing w:line="166" w:lineRule="exact"/>
      </w:pPr>
    </w:p>
    <w:tbl>
      <w:tblPr>
        <w:tblStyle w:val="TableNormal8"/>
        <w:tblW w:w="4549" w:type="dxa"/>
        <w:tblInd w:w="19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2"/>
        <w:gridCol w:w="3804"/>
        <w:gridCol w:w="353"/>
      </w:tblGrid>
      <w:tr>
        <w:tblPrEx>
          <w:tblW w:w="4549" w:type="dxa"/>
          <w:tblInd w:w="19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2"/>
        </w:trPr>
        <w:tc>
          <w:tcPr>
            <w:tcW w:w="392" w:type="dxa"/>
            <w:vAlign w:val="top"/>
          </w:tcPr>
          <w:p>
            <w:pPr>
              <w:spacing w:before="2" w:line="209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1,600</w:t>
            </w:r>
          </w:p>
          <w:p>
            <w:pPr>
              <w:spacing w:before="88" w:line="226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1,400</w:t>
            </w:r>
          </w:p>
          <w:p>
            <w:pPr>
              <w:spacing w:before="80" w:line="226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1,200</w:t>
            </w:r>
          </w:p>
          <w:p>
            <w:pPr>
              <w:spacing w:before="80" w:line="226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1,000</w:t>
            </w:r>
          </w:p>
          <w:p>
            <w:pPr>
              <w:spacing w:before="82" w:line="207" w:lineRule="auto"/>
              <w:ind w:left="10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800</w:t>
            </w:r>
          </w:p>
          <w:p>
            <w:pPr>
              <w:spacing w:before="90" w:line="208" w:lineRule="auto"/>
              <w:ind w:left="10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600</w:t>
            </w:r>
          </w:p>
          <w:p>
            <w:pPr>
              <w:spacing w:before="90" w:line="208" w:lineRule="auto"/>
              <w:ind w:left="10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400</w:t>
            </w:r>
          </w:p>
          <w:p>
            <w:pPr>
              <w:spacing w:before="91" w:line="207" w:lineRule="auto"/>
              <w:ind w:left="10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200</w:t>
            </w:r>
          </w:p>
          <w:p>
            <w:pPr>
              <w:spacing w:before="91" w:line="207" w:lineRule="auto"/>
              <w:ind w:left="25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0</w:t>
            </w:r>
          </w:p>
        </w:tc>
        <w:tc>
          <w:tcPr>
            <w:tcW w:w="3804" w:type="dxa"/>
            <w:vAlign w:val="top"/>
          </w:tcPr>
          <w:p>
            <w:pPr>
              <w:spacing w:before="59" w:line="1676" w:lineRule="exact"/>
              <w:ind w:firstLine="77"/>
            </w:pPr>
            <w:r>
              <mc:AlternateContent>
                <mc:Choice Requires="wps">
                  <w:drawing>
                    <wp:anchor distT="0" distB="0" distL="0" distR="0" simplePos="0" relativeHeight="251843584" behindDoc="0" locked="0" layoutInCell="1" allowOverlap="1">
                      <wp:simplePos x="0" y="0"/>
                      <wp:positionH relativeFrom="rightMargin">
                        <wp:posOffset>-1311313</wp:posOffset>
                      </wp:positionH>
                      <wp:positionV relativeFrom="topMargin">
                        <wp:posOffset>95811</wp:posOffset>
                      </wp:positionV>
                      <wp:extent cx="212090" cy="2348864"/>
                      <wp:effectExtent l="0" t="0" r="0" b="0"/>
                      <wp:wrapNone/>
                      <wp:docPr id="332" name="TextBox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11313" y="95811"/>
                                <a:ext cx="212090" cy="234886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199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2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spacing w:before="35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4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5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6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7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8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spacing w:before="35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7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4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5</w:t>
                                  </w:r>
                                </w:p>
                                <w:p>
                                  <w:pPr>
                                    <w:spacing w:before="35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6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7</w:t>
                                  </w:r>
                                </w:p>
                                <w:p>
                                  <w:pPr>
                                    <w:spacing w:before="35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8</w:t>
                                  </w:r>
                                </w:p>
                                <w:p>
                                  <w:pPr>
                                    <w:spacing w:before="33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spacing w:before="34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6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spacing w:before="58" w:line="207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32" o:spid="_x0000_s1195" type="#_x0000_t202" style="width:16.7pt;height:184.95pt;margin-top:7.54pt;margin-left:-103.25pt;mso-position-horizontal-relative:right-margin-area;mso-position-vertical-relative:top-margin-area;mso-wrap-distance-bottom:0;mso-wrap-distance-left:0;mso-wrap-distance-right:0;mso-wrap-distance-top:0;position:absolute;rotation:270;v-text-anchor:top;z-index:251842560" filled="f" fillcolor="this" stroked="f">
                      <v:textbox inset="0,0,0,0">
                        <w:txbxContent>
                          <w:p>
                            <w:pPr>
                              <w:spacing w:before="20" w:line="206" w:lineRule="auto"/>
                              <w:ind w:left="28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199</w:t>
                            </w:r>
                            <w:r>
                              <w:rPr>
                                <w:rFonts w:ascii="Arial" w:eastAsia="Arial" w:hAnsi="Arial" w:cs="Arial"/>
                                <w:spacing w:val="-12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3</w:t>
                            </w:r>
                          </w:p>
                          <w:p>
                            <w:pPr>
                              <w:spacing w:before="35" w:line="206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4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5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6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7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8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200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  <w:p>
                            <w:pPr>
                              <w:spacing w:before="35" w:line="206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3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4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5</w:t>
                            </w:r>
                          </w:p>
                          <w:p>
                            <w:pPr>
                              <w:spacing w:before="35" w:line="206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6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7</w:t>
                            </w:r>
                          </w:p>
                          <w:p>
                            <w:pPr>
                              <w:spacing w:before="35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8</w:t>
                            </w:r>
                          </w:p>
                          <w:p>
                            <w:pPr>
                              <w:spacing w:before="33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201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  <w:p>
                            <w:pPr>
                              <w:spacing w:before="34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>
                            <w:pPr>
                              <w:spacing w:before="58" w:line="207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202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position w:val="-33"/>
              </w:rPr>
              <w:drawing>
                <wp:inline distT="0" distB="0" distL="0" distR="0">
                  <wp:extent cx="2329652" cy="1064321"/>
                  <wp:effectExtent l="0" t="0" r="0" b="0"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xmlns:r="http://schemas.openxmlformats.org/officeDocument/2006/relationships"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9652" cy="1064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2" w:line="120" w:lineRule="exact"/>
              <w:ind w:left="473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pict>
                <v:rect id="_x0000_s1196" style="width:17.7pt;height:0.5pt;margin-top:3.14pt;margin-left:23.89pt;position:absolute;z-index:251844608" filled="t" fillcolor="white" stroked="f"/>
              </w:pict>
            </w:r>
            <w:r>
              <w:rPr>
                <w:rFonts w:ascii="Microsoft YaHei" w:eastAsia="Microsoft YaHei" w:hAnsi="Microsoft YaHei" w:cs="Microsoft YaHei"/>
                <w:position w:val="1"/>
                <w:sz w:val="12"/>
                <w:szCs w:val="12"/>
              </w:rPr>
              <w:drawing>
                <wp:inline distT="0" distB="0" distL="0" distR="0">
                  <wp:extent cx="230286" cy="44000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xmlns:r="http://schemas.openxmlformats.org/officeDocument/2006/relationships"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86" cy="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6"/>
                <w:w w:val="101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2"/>
                <w:szCs w:val="12"/>
              </w:rPr>
              <w:t>白酒产量（万吨）</w:t>
            </w:r>
            <w:r>
              <w:rPr>
                <w:rFonts w:ascii="Microsoft YaHei" w:eastAsia="Microsoft YaHei" w:hAnsi="Microsoft YaHei" w:cs="Microsoft YaHei"/>
                <w:spacing w:val="2"/>
                <w:sz w:val="12"/>
                <w:szCs w:val="12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trike/>
                <w:spacing w:val="7"/>
                <w:sz w:val="12"/>
                <w:szCs w:val="12"/>
              </w:rPr>
              <w:t xml:space="preserve">    </w:t>
            </w:r>
            <w:r>
              <w:rPr>
                <w:position w:val="2"/>
                <w:sz w:val="12"/>
                <w:szCs w:val="12"/>
              </w:rPr>
              <w:drawing>
                <wp:inline distT="0" distB="0" distL="0" distR="0">
                  <wp:extent cx="29910" cy="27489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10" cy="27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trike/>
                <w:spacing w:val="7"/>
                <w:sz w:val="12"/>
                <w:szCs w:val="12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2"/>
                <w:szCs w:val="12"/>
              </w:rPr>
              <w:t>同比（右轴）</w:t>
            </w:r>
          </w:p>
        </w:tc>
        <w:tc>
          <w:tcPr>
            <w:tcW w:w="353" w:type="dxa"/>
            <w:vAlign w:val="top"/>
          </w:tcPr>
          <w:p>
            <w:pPr>
              <w:spacing w:before="1" w:line="366" w:lineRule="auto"/>
              <w:ind w:left="58" w:right="4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4"/>
                <w:sz w:val="12"/>
                <w:szCs w:val="12"/>
              </w:rPr>
              <w:t>40%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30%</w:t>
            </w:r>
            <w:r>
              <w:rPr>
                <w:rFonts w:ascii="Arial" w:eastAsia="Arial" w:hAnsi="Arial" w:cs="Arial"/>
                <w:spacing w:val="1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20%</w:t>
            </w:r>
            <w:r>
              <w:rPr>
                <w:rFonts w:ascii="Arial" w:eastAsia="Arial" w:hAnsi="Arial" w:cs="Arial"/>
                <w:spacing w:val="1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10%</w:t>
            </w:r>
          </w:p>
          <w:p>
            <w:pPr>
              <w:spacing w:line="204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0%</w:t>
            </w:r>
          </w:p>
          <w:p>
            <w:pPr>
              <w:spacing w:before="91" w:line="366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 xml:space="preserve">-10% </w:t>
            </w: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-20%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-30%</w:t>
            </w:r>
          </w:p>
          <w:p>
            <w:pPr>
              <w:spacing w:line="204" w:lineRule="auto"/>
              <w:jc w:val="right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-40%</w:t>
            </w:r>
          </w:p>
        </w:tc>
      </w:tr>
    </w:tbl>
    <w:p>
      <w:pPr>
        <w:pStyle w:val="BodyText"/>
        <w:spacing w:line="306" w:lineRule="auto"/>
      </w:pPr>
    </w:p>
    <w:p>
      <w:pPr>
        <w:spacing w:before="47" w:line="174" w:lineRule="auto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7"/>
          <w:sz w:val="13"/>
          <w:szCs w:val="13"/>
        </w:rPr>
        <w:t>资料来源： 中国酒业协会，长江证券研究所</w:t>
      </w:r>
    </w:p>
    <w:p>
      <w:pPr>
        <w:spacing w:line="174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197"/>
          <w:footerReference w:type="default" r:id="rId198"/>
          <w:type w:val="continuous"/>
          <w:pgSz w:w="11907" w:h="16839"/>
          <w:pgMar w:top="1350" w:right="749" w:bottom="970" w:left="842" w:header="851" w:footer="713" w:gutter="0"/>
          <w:pgNumType w:start="39"/>
          <w:cols w:num="2" w:space="708" w:equalWidth="0">
            <w:col w:w="5155" w:space="100"/>
            <w:col w:w="5061" w:space="0"/>
          </w:cols>
        </w:sectPr>
      </w:pP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spacing w:before="64" w:line="312" w:lineRule="exact"/>
        <w:ind w:left="16"/>
        <w:rPr>
          <w:rFonts w:ascii="STXihei" w:eastAsia="STXihei" w:hAnsi="STXihei" w:cs="STXihei"/>
          <w:sz w:val="18"/>
          <w:szCs w:val="18"/>
        </w:rPr>
        <w:sectPr>
          <w:headerReference w:type="default" r:id="rId199"/>
          <w:footerReference w:type="default" r:id="rId200"/>
          <w:type w:val="continuous"/>
          <w:pgSz w:w="11907" w:h="16839"/>
          <w:pgMar w:top="1350" w:right="749" w:bottom="970" w:left="842" w:header="851" w:footer="713" w:gutter="0"/>
          <w:pgNumType w:start="40"/>
          <w:cols w:num="1" w:space="708" w:equalWidth="0">
            <w:col w:w="10315" w:space="0"/>
          </w:cols>
        </w:sectPr>
      </w:pP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名优酒企优势进一步显现，上市酒企占比提升</w:t>
      </w:r>
      <w:r>
        <w:rPr>
          <w:rFonts w:ascii="STXihei" w:eastAsia="STXihei" w:hAnsi="STXihei" w:cs="STXihei"/>
          <w:spacing w:val="-15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本轮景气周期以优质淘汰劣质、品牌淘</w:t>
      </w:r>
    </w:p>
    <w:p>
      <w:pPr>
        <w:spacing w:line="197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汰贴牌、价格不断升级为主导，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整体呈现挤出式发展的趋势，</w:t>
      </w:r>
      <w:r>
        <w:rPr>
          <w:rFonts w:ascii="STXihei" w:eastAsia="STXihei" w:hAnsi="STXihei" w:cs="STXihei"/>
          <w:spacing w:val="18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头部企业更加受益。价格</w:t>
      </w:r>
    </w:p>
    <w:p>
      <w:pPr>
        <w:spacing w:before="104" w:line="198" w:lineRule="auto"/>
        <w:ind w:left="3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sz w:val="18"/>
          <w:szCs w:val="18"/>
        </w:rPr>
        <w:t>向上抬升的过程消费者对酒企的产品、品牌提出更高要求，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sz w:val="18"/>
          <w:szCs w:val="18"/>
        </w:rPr>
        <w:t>优质品牌的营销、管理能力</w:t>
      </w:r>
    </w:p>
    <w:p>
      <w:pPr>
        <w:pStyle w:val="BodyText"/>
        <w:spacing w:before="105" w:line="197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也提升明显，集中化是必然趋势。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 </w:t>
      </w:r>
      <w:r>
        <w:rPr>
          <w:spacing w:val="-4"/>
          <w:sz w:val="18"/>
          <w:szCs w:val="18"/>
        </w:rPr>
        <w:t>2016</w:t>
      </w:r>
      <w:r>
        <w:rPr>
          <w:spacing w:val="4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年至</w:t>
      </w:r>
      <w:r>
        <w:rPr>
          <w:rFonts w:ascii="STXihei" w:eastAsia="STXihei" w:hAnsi="STXihei" w:cs="STXihei"/>
          <w:spacing w:val="39"/>
          <w:w w:val="101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2022</w:t>
      </w:r>
      <w:r>
        <w:rPr>
          <w:spacing w:val="40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年，上市公司占白酒行业收入比从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spacing w:val="-3"/>
          <w:sz w:val="18"/>
          <w:szCs w:val="18"/>
        </w:rPr>
        <w:t>21%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提升至 </w:t>
      </w:r>
      <w:r>
        <w:rPr>
          <w:spacing w:val="-3"/>
          <w:sz w:val="18"/>
          <w:szCs w:val="18"/>
        </w:rPr>
        <w:t>53%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，其中 </w:t>
      </w:r>
      <w:r>
        <w:rPr>
          <w:spacing w:val="-3"/>
          <w:sz w:val="18"/>
          <w:szCs w:val="18"/>
        </w:rPr>
        <w:t>CR5</w:t>
      </w:r>
      <w:r>
        <w:rPr>
          <w:spacing w:val="21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占比从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17%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提升至 </w:t>
      </w:r>
      <w:r>
        <w:rPr>
          <w:spacing w:val="-3"/>
          <w:sz w:val="18"/>
          <w:szCs w:val="18"/>
        </w:rPr>
        <w:t>43%</w:t>
      </w:r>
      <w:r>
        <w:rPr>
          <w:rFonts w:ascii="STXihei" w:eastAsia="STXihei" w:hAnsi="STXihei" w:cs="STXihei"/>
          <w:spacing w:val="-3"/>
          <w:sz w:val="18"/>
          <w:szCs w:val="18"/>
        </w:rPr>
        <w:t>；上市公司占白酒</w:t>
      </w:r>
      <w:r>
        <w:rPr>
          <w:rFonts w:ascii="STXihei" w:eastAsia="STXihei" w:hAnsi="STXihei" w:cs="STXihei"/>
          <w:spacing w:val="-4"/>
          <w:sz w:val="18"/>
          <w:szCs w:val="18"/>
        </w:rPr>
        <w:t>行业利润占比从</w:t>
      </w:r>
    </w:p>
    <w:p>
      <w:pPr>
        <w:pStyle w:val="BodyText"/>
        <w:spacing w:before="105" w:line="162" w:lineRule="auto"/>
        <w:ind w:left="11"/>
        <w:rPr>
          <w:rFonts w:ascii="STXihei" w:eastAsia="STXihei" w:hAnsi="STXihei" w:cs="STXihei"/>
          <w:sz w:val="18"/>
          <w:szCs w:val="18"/>
        </w:rPr>
      </w:pPr>
      <w:r>
        <w:rPr>
          <w:spacing w:val="-2"/>
          <w:sz w:val="18"/>
          <w:szCs w:val="18"/>
        </w:rPr>
        <w:t>45%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提升至 </w:t>
      </w:r>
      <w:r>
        <w:rPr>
          <w:spacing w:val="-2"/>
          <w:sz w:val="18"/>
          <w:szCs w:val="18"/>
        </w:rPr>
        <w:t>59%</w:t>
      </w:r>
      <w:r>
        <w:rPr>
          <w:rFonts w:ascii="STXihei" w:eastAsia="STXihei" w:hAnsi="STXihei" w:cs="STXihei"/>
          <w:spacing w:val="-2"/>
          <w:sz w:val="18"/>
          <w:szCs w:val="18"/>
        </w:rPr>
        <w:t>，其中</w:t>
      </w:r>
      <w:r>
        <w:rPr>
          <w:rFonts w:ascii="STXihei" w:eastAsia="STXihei" w:hAnsi="STXihei" w:cs="STXihei"/>
          <w:spacing w:val="3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CR5</w:t>
      </w:r>
      <w:r>
        <w:rPr>
          <w:spacing w:val="19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占比从 </w:t>
      </w:r>
      <w:r>
        <w:rPr>
          <w:spacing w:val="-2"/>
          <w:sz w:val="18"/>
          <w:szCs w:val="18"/>
        </w:rPr>
        <w:t>40%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提升至 </w:t>
      </w:r>
      <w:r>
        <w:rPr>
          <w:spacing w:val="-2"/>
          <w:sz w:val="18"/>
          <w:szCs w:val="18"/>
        </w:rPr>
        <w:t>53%</w:t>
      </w:r>
      <w:r>
        <w:rPr>
          <w:rFonts w:ascii="STXihei" w:eastAsia="STXihei" w:hAnsi="STXihei" w:cs="STXihei"/>
          <w:spacing w:val="-2"/>
          <w:sz w:val="18"/>
          <w:szCs w:val="18"/>
        </w:rPr>
        <w:t>。</w:t>
      </w:r>
    </w:p>
    <w:p>
      <w:pPr>
        <w:spacing w:line="162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201"/>
          <w:footerReference w:type="default" r:id="rId202"/>
          <w:type w:val="nextPage"/>
          <w:pgSz w:w="11907" w:h="16839"/>
          <w:pgMar w:top="1350" w:right="749" w:bottom="970" w:left="842" w:header="851" w:footer="713" w:gutter="0"/>
          <w:pgNumType w:start="41"/>
          <w:cols w:num="1" w:space="708" w:equalWidth="0">
            <w:col w:w="10315" w:space="0"/>
          </w:cols>
          <w:titlePg w:val="0"/>
        </w:sectPr>
      </w:pPr>
    </w:p>
    <w:p>
      <w:pPr>
        <w:spacing w:before="109"/>
      </w:pPr>
      <w:r>
        <w:drawing>
          <wp:anchor distT="0" distB="0" distL="0" distR="0" simplePos="0" relativeHeight="25185280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7274816</wp:posOffset>
            </wp:positionV>
            <wp:extent cx="3150742" cy="6350"/>
            <wp:effectExtent l="0" t="0" r="0" b="0"/>
            <wp:wrapNone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9113141</wp:posOffset>
            </wp:positionV>
            <wp:extent cx="3150742" cy="6350"/>
            <wp:effectExtent l="0" t="0" r="0" b="0"/>
            <wp:wrapNone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7" style="width:207pt;height:103.2pt;margin-top:583.81pt;margin-left:71.53pt;mso-position-horizontal-relative:page;mso-position-vertical-relative:page;position:absolute;z-index:251845632" coordorigin="0,0" coordsize="4140,2063" o:allowincell="f" filled="f" stroked="f">
            <v:shape id="_x0000_s1198" type="#_x0000_t75" style="width:4132;height:2063;position:absolute" filled="f" stroked="f">
              <v:imagedata r:id="rId203" o:title=""/>
            </v:shape>
            <v:shape id="_x0000_s1199" type="#_x0000_t202" style="width:4180;height:213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pStyle w:val="BodyText"/>
                      <w:spacing w:before="37" w:line="207" w:lineRule="auto"/>
                      <w:ind w:left="398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spacing w:val="-1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7</w:t>
                    </w:r>
                    <w:r>
                      <w:rPr>
                        <w:sz w:val="13"/>
                        <w:szCs w:val="13"/>
                      </w:rPr>
                      <w:t xml:space="preserve">                   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spacing w:val="-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8</w:t>
                    </w:r>
                    <w:r>
                      <w:rPr>
                        <w:sz w:val="13"/>
                        <w:szCs w:val="13"/>
                      </w:rPr>
                      <w:t xml:space="preserve">                   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201</w:t>
                    </w:r>
                    <w:r>
                      <w:rPr>
                        <w:spacing w:val="-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9          201</w:t>
                    </w:r>
                    <w:r>
                      <w:rPr>
                        <w:spacing w:val="-1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6-2019</w:t>
                    </w:r>
                    <w:r>
                      <w:rPr>
                        <w:spacing w:val="-1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-1"/>
                        <w:sz w:val="13"/>
                        <w:szCs w:val="13"/>
                      </w:rPr>
                      <w:t>CAGR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53824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7274816</wp:posOffset>
            </wp:positionV>
            <wp:extent cx="3150742" cy="6350"/>
            <wp:effectExtent l="0" t="0" r="0" b="0"/>
            <wp:wrapNone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0" locked="0" layoutInCell="0" allowOverlap="1">
            <wp:simplePos x="0" y="0"/>
            <wp:positionH relativeFrom="page">
              <wp:posOffset>3871595</wp:posOffset>
            </wp:positionH>
            <wp:positionV relativeFrom="page">
              <wp:posOffset>9113141</wp:posOffset>
            </wp:positionV>
            <wp:extent cx="3150742" cy="6350"/>
            <wp:effectExtent l="0" t="0" r="0" b="0"/>
            <wp:wrapNone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0" locked="0" layoutInCell="0" allowOverlap="1">
            <wp:simplePos x="0" y="0"/>
            <wp:positionH relativeFrom="page">
              <wp:posOffset>4997108</wp:posOffset>
            </wp:positionH>
            <wp:positionV relativeFrom="page">
              <wp:posOffset>8324458</wp:posOffset>
            </wp:positionV>
            <wp:extent cx="704386" cy="123353"/>
            <wp:effectExtent l="0" t="0" r="0" b="0"/>
            <wp:wrapNone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704386" cy="12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0" locked="0" layoutInCell="0" allowOverlap="1">
            <wp:simplePos x="0" y="0"/>
            <wp:positionH relativeFrom="page">
              <wp:posOffset>4805261</wp:posOffset>
            </wp:positionH>
            <wp:positionV relativeFrom="page">
              <wp:posOffset>8324458</wp:posOffset>
            </wp:positionV>
            <wp:extent cx="704211" cy="123353"/>
            <wp:effectExtent l="0" t="0" r="0" b="0"/>
            <wp:wrapNone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704211" cy="12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0" style="width:203.05pt;height:2.65pt;margin-top:658.84pt;margin-left:337.33pt;mso-position-horizontal-relative:page;mso-position-vertical-relative:page;position:absolute;z-index:251849728" coordorigin="0,0" coordsize="4061,53" o:allowincell="f" path="m7,44l4053,44m7,l7,44m1015,l1015,44m2037,l2037,44m3045,l3045,44m4053,l4053,44e" filled="f" strokecolor="black" strokeweight="0.73pt"/>
        </w:pict>
      </w:r>
      <w:r>
        <w:drawing>
          <wp:anchor distT="0" distB="0" distL="0" distR="0" simplePos="0" relativeHeight="251847680" behindDoc="0" locked="0" layoutInCell="0" allowOverlap="1">
            <wp:simplePos x="0" y="0"/>
            <wp:positionH relativeFrom="page">
              <wp:posOffset>4284073</wp:posOffset>
            </wp:positionH>
            <wp:positionV relativeFrom="page">
              <wp:posOffset>7415009</wp:posOffset>
            </wp:positionV>
            <wp:extent cx="2514488" cy="1307584"/>
            <wp:effectExtent l="0" t="0" r="0" b="0"/>
            <wp:wrapNone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514488" cy="1307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9"/>
      </w:pPr>
    </w:p>
    <w:p>
      <w:pPr>
        <w:sectPr>
          <w:headerReference w:type="default" r:id="rId207"/>
          <w:footerReference w:type="default" r:id="rId208"/>
          <w:pgSz w:w="11907" w:h="16839"/>
          <w:pgMar w:top="1350" w:right="749" w:bottom="970" w:left="842" w:header="851" w:footer="713" w:gutter="0"/>
          <w:pgNumType w:start="42"/>
          <w:cols w:num="1" w:space="708" w:equalWidth="0">
            <w:col w:w="10315" w:space="0"/>
          </w:cols>
        </w:sectPr>
      </w:pPr>
    </w:p>
    <w:tbl>
      <w:tblPr>
        <w:tblStyle w:val="TableNormal9"/>
        <w:tblW w:w="4961" w:type="dxa"/>
        <w:tblInd w:w="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57"/>
        <w:gridCol w:w="20"/>
        <w:gridCol w:w="794"/>
        <w:gridCol w:w="20"/>
        <w:gridCol w:w="1608"/>
        <w:gridCol w:w="20"/>
        <w:gridCol w:w="1342"/>
      </w:tblGrid>
      <w:tr>
        <w:tblPrEx>
          <w:tblW w:w="4961" w:type="dxa"/>
          <w:tblInd w:w="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7"/>
        </w:trPr>
        <w:tc>
          <w:tcPr>
            <w:tcW w:w="4961" w:type="dxa"/>
            <w:gridSpan w:val="7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197" w:lineRule="auto"/>
              <w:ind w:left="1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19</w:t>
            </w:r>
            <w:r>
              <w:rPr>
                <w:spacing w:val="-1"/>
                <w:sz w:val="16"/>
                <w:szCs w:val="16"/>
              </w:rPr>
              <w:t>：白酒上市公司营收集中度</w: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337"/>
        </w:trPr>
        <w:tc>
          <w:tcPr>
            <w:tcW w:w="4961" w:type="dxa"/>
            <w:gridSpan w:val="7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205" w:lineRule="auto"/>
              <w:ind w:left="1938"/>
              <w:rPr>
                <w:sz w:val="19"/>
                <w:szCs w:val="19"/>
              </w:rPr>
            </w:pPr>
            <w:bookmarkStart w:id="32" w:name="bookmark36"/>
            <w:bookmarkEnd w:id="32"/>
            <w:bookmarkStart w:id="33" w:name="bookmark37"/>
            <w:bookmarkEnd w:id="33"/>
            <w:bookmarkStart w:id="34" w:name="bookmark34"/>
            <w:bookmarkEnd w:id="34"/>
            <w:bookmarkStart w:id="35" w:name="bookmark35"/>
            <w:bookmarkEnd w:id="35"/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 xml:space="preserve">2016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年收入</w: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1953"/>
        </w:trPr>
        <w:tc>
          <w:tcPr>
            <w:tcW w:w="4961" w:type="dxa"/>
            <w:gridSpan w:val="7"/>
            <w:vAlign w:val="top"/>
          </w:tcPr>
          <w:p>
            <w:pPr>
              <w:spacing w:before="96" w:line="1753" w:lineRule="exact"/>
              <w:ind w:firstLine="1601"/>
            </w:pPr>
            <w:r>
              <w:rPr>
                <w:position w:val="-35"/>
              </w:rPr>
              <w:pict>
                <v:group id="_x0000_i1201" style="width:87.8pt;height:87.7pt;mso-position-horizontal-relative:char;mso-position-vertical-relative:line" coordorigin="0,0" coordsize="1756,1753" filled="f" stroked="f">
                  <v:shape id="_x0000_s1202" style="width:350;height:873;left:877;position:absolute;top:5" coordorigin="0,0" coordsize="350,873" path="m,m,c120,,239,24,350,72l,872e" filled="t" fillcolor="#e10000" stroked="f"/>
                  <v:shape id="_x0000_s1203" style="width:360;height:880;left:872;position:absolute" coordorigin="0,0" coordsize="360,880" path="m5,5c125,5,244,30,355,78l5,877l5,5xe" filled="f" strokecolor="white" strokeweight="0.54pt"/>
                  <v:shape id="_x0000_s1204" style="width:539;height:800;left:877;position:absolute;top:78" coordorigin="0,0" coordsize="539,800" path="m350,m350,c417,29,480,67,538,112l,799e" filled="t" fillcolor="#c8c8c8" stroked="f"/>
                  <v:shape id="_x0000_s1205" style="width:549;height:809;left:872;position:absolute;top:72" coordorigin="0,0" coordsize="549,809" path="m354,5c422,34,485,72,543,117l4,804l354,5xe" filled="f" strokecolor="white" strokeweight="0.54pt"/>
                  <v:shape id="_x0000_s1206" style="width:650;height:688;left:877;position:absolute;top:190" coordorigin="0,0" coordsize="650,688" path="m538,m538,c579,31,616,66,650,104l,687e" filled="t" fillcolor="#fa6400" stroked="f"/>
                  <v:shape id="_x0000_s1207" style="width:660;height:696;left:873;position:absolute;top:185" coordorigin="0,0" coordsize="660,696" path="m542,5c583,36,620,71,655,110l4,692l542,5xe" filled="f" strokecolor="white" strokeweight="0.54pt"/>
                  <v:shape id="_x0000_s1208" style="width:714;height:582;left:877;position:absolute;top:295" coordorigin="0,0" coordsize="714,582" path="m650,m650,c673,24,694,50,713,78l,582e" filled="t" fillcolor="#ffc000" stroked="f"/>
                  <v:shape id="_x0000_s1209" style="width:723;height:592;left:874;position:absolute;top:290" coordorigin="0,0" coordsize="723,592" path="m654,5c676,30,697,56,717,83l3,587l654,5xe" filled="f" strokecolor="white" strokeweight="0.54pt"/>
                  <v:shape id="_x0000_s1210" style="width:754;height:505;left:877;position:absolute;top:373" coordorigin="0,0" coordsize="754,505" path="m713,m713,c727,20,741,41,753,62l,504e" filled="t" fillcolor="#dcb464" stroked="f"/>
                  <v:shape id="_x0000_s1211" style="width:765;height:515;left:872;position:absolute;top:368" coordorigin="0,0" coordsize="765,515" path="m718,5c733,25,746,46,759,67l5,509l718,5xe" filled="f" strokecolor="white" strokeweight="0.54pt"/>
                  <v:shape id="_x0000_s1212" style="width:780;height:442;left:877;position:absolute;top:436" coordorigin="0,0" coordsize="780,442" path="m753,m753,c763,15,771,31,779,47l,441e" filled="t" fillcolor="#b40014" stroked="f"/>
                  <v:shape id="_x0000_s1213" style="width:788;height:452;left:874;position:absolute;top:430" coordorigin="0,0" coordsize="788,452" path="m756,5c765,20,774,36,782,52l2,447l756,5xe" filled="f" strokecolor="white" strokeweight="0.54pt"/>
                  <v:shape id="_x0000_s1214" style="width:796;height:395;left:877;position:absolute;top:483" coordorigin="0,0" coordsize="796,395" path="m779,m779,c785,11,791,23,796,35l,394e" filled="t" fillcolor="#fabe78" stroked="f"/>
                  <v:shape id="_x0000_s1215" style="width:808;height:405;left:872;position:absolute;top:477" coordorigin="0,0" coordsize="808,405" path="m785,5c791,17,796,28,802,40l5,399l785,5xe" filled="f" strokecolor="white" strokeweight="0.54pt"/>
                  <v:shape id="_x0000_s1216" style="width:850;height:359;left:877;position:absolute;top:518" coordorigin="0,0" coordsize="850,359" path="m796,c819,50,838,104,850,158l,358e" filled="t" fillcolor="#d74114" stroked="f"/>
                  <v:shape id="_x0000_s1217" style="width:861;height:370;left:872;position:absolute;top:513" coordorigin="0,0" coordsize="861,370" path="m802,5c825,56,843,109,856,163l5,364l802,5xe" filled="f" strokecolor="white" strokeweight="0.54pt"/>
                  <v:shape id="_x0000_s1218" style="width:1756;height:1748;position:absolute;top:5" coordorigin="0,0" coordsize="1756,1748" path="m1728,671c1839,1140,1548,1610,1078,1721c608,1832,137,1541,26,1072c-84,603,206,133,676,23c742,7,810,,877,l877,872e" filled="t" fillcolor="#dc8c00" stroked="f"/>
                  <v:shape id="_x0000_s1219" style="width:1756;height:1753;position:absolute" coordorigin="0,0" coordsize="1756,1753" path="m1728,677c1839,1146,1548,1616,1078,1726c608,1837,137,1546,26,1078c-84,609,206,139,676,28c742,13,810,5,877,5l877,877l1728,677xe" filled="f" strokecolor="white" strokeweight="0.54pt"/>
                  <w10:wrap type="none"/>
                </v:group>
              </w:pic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533"/>
        </w:trPr>
        <w:tc>
          <w:tcPr>
            <w:tcW w:w="1177" w:type="dxa"/>
            <w:gridSpan w:val="2"/>
            <w:vAlign w:val="top"/>
          </w:tcPr>
          <w:p>
            <w:pPr>
              <w:spacing w:before="104"/>
              <w:ind w:left="485" w:right="122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668" cy="47573"/>
                  <wp:effectExtent l="0" t="0" r="0" b="0"/>
                  <wp:docPr id="354" name="IM 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IM 354"/>
                          <pic:cNvPicPr/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8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贵州茅台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7668" cy="47560"/>
                  <wp:effectExtent l="0" t="0" r="0" b="0"/>
                  <wp:docPr id="356" name="IM 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IM 356"/>
                          <pic:cNvPicPr/>
                        </pic:nvPicPr>
                        <pic:blipFill>
                          <a:blip xmlns:r="http://schemas.openxmlformats.org/officeDocument/2006/relationships"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8" cy="4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古井贡酒</w:t>
            </w:r>
          </w:p>
        </w:tc>
        <w:tc>
          <w:tcPr>
            <w:tcW w:w="814" w:type="dxa"/>
            <w:gridSpan w:val="2"/>
            <w:vAlign w:val="top"/>
          </w:tcPr>
          <w:p>
            <w:pPr>
              <w:spacing w:before="105" w:line="193" w:lineRule="auto"/>
              <w:ind w:left="122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665" cy="47573"/>
                  <wp:effectExtent l="0" t="0" r="0" b="0"/>
                  <wp:docPr id="358" name="IM 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 358"/>
                          <pic:cNvPicPr/>
                        </pic:nvPicPr>
                        <pic:blipFill>
                          <a:blip xmlns:r="http://schemas.openxmlformats.org/officeDocument/2006/relationships"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0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五粮液</w:t>
            </w:r>
          </w:p>
          <w:p>
            <w:pPr>
              <w:spacing w:before="74" w:line="191" w:lineRule="auto"/>
              <w:ind w:left="122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7665" cy="47560"/>
                  <wp:effectExtent l="0" t="0" r="0" b="0"/>
                  <wp:docPr id="360" name="IM 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IM 360"/>
                          <pic:cNvPicPr/>
                        </pic:nvPicPr>
                        <pic:blipFill>
                          <a:blip xmlns:r="http://schemas.openxmlformats.org/officeDocument/2006/relationships"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1"/>
                <w:szCs w:val="11"/>
              </w:rPr>
              <w:t>山西汾酒</w:t>
            </w:r>
          </w:p>
        </w:tc>
        <w:tc>
          <w:tcPr>
            <w:tcW w:w="1608" w:type="dxa"/>
            <w:vAlign w:val="top"/>
          </w:tcPr>
          <w:p>
            <w:pPr>
              <w:spacing w:before="105" w:line="239" w:lineRule="auto"/>
              <w:ind w:left="123" w:right="104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0863" cy="47573"/>
                  <wp:effectExtent l="0" t="0" r="0" b="0"/>
                  <wp:docPr id="362" name="IM 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 362"/>
                          <pic:cNvPicPr/>
                        </pic:nvPicPr>
                        <pic:blipFill>
                          <a:blip xmlns:r="http://schemas.openxmlformats.org/officeDocument/2006/relationships"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3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4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洋河股份</w:t>
            </w:r>
            <w:r>
              <w:rPr>
                <w:rFonts w:ascii="Microsoft YaHei" w:eastAsia="Microsoft YaHei" w:hAnsi="Microsoft YaHei" w:cs="Microsoft YaHei"/>
                <w:spacing w:val="1"/>
                <w:sz w:val="11"/>
                <w:szCs w:val="11"/>
              </w:rPr>
              <w:t xml:space="preserve">       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7665" cy="47573"/>
                  <wp:effectExtent l="0" t="0" r="0" b="0"/>
                  <wp:docPr id="364" name="IM 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IM 364"/>
                          <pic:cNvPicPr/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顺鑫农业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0965" cy="47560"/>
                  <wp:effectExtent l="0" t="0" r="0" b="0"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xmlns:r="http://schemas.openxmlformats.org/officeDocument/2006/relationships"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65" cy="4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4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其他上市公司</w:t>
            </w:r>
            <w:r>
              <w:rPr>
                <w:sz w:val="11"/>
                <w:szCs w:val="11"/>
              </w:rPr>
              <w:drawing>
                <wp:inline distT="0" distB="0" distL="0" distR="0">
                  <wp:extent cx="47784" cy="47561"/>
                  <wp:effectExtent l="0" t="0" r="0" b="0"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84" cy="47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其他</w:t>
            </w:r>
          </w:p>
        </w:tc>
        <w:tc>
          <w:tcPr>
            <w:tcW w:w="1362" w:type="dxa"/>
            <w:gridSpan w:val="2"/>
            <w:vAlign w:val="top"/>
          </w:tcPr>
          <w:p>
            <w:pPr>
              <w:spacing w:before="105" w:line="193" w:lineRule="auto"/>
              <w:ind w:left="135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665" cy="47573"/>
                  <wp:effectExtent l="0" t="0" r="0" b="0"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泸州老窖</w: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373"/>
        </w:trPr>
        <w:tc>
          <w:tcPr>
            <w:tcW w:w="4961" w:type="dxa"/>
            <w:gridSpan w:val="7"/>
            <w:vAlign w:val="top"/>
          </w:tcPr>
          <w:p>
            <w:pPr>
              <w:pStyle w:val="TableText"/>
              <w:spacing w:before="88" w:line="205" w:lineRule="auto"/>
              <w:ind w:left="1938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 xml:space="preserve">2022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年收入</w: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1963"/>
        </w:trPr>
        <w:tc>
          <w:tcPr>
            <w:tcW w:w="4961" w:type="dxa"/>
            <w:gridSpan w:val="7"/>
            <w:vAlign w:val="top"/>
          </w:tcPr>
          <w:p>
            <w:pPr>
              <w:spacing w:before="98" w:line="1763" w:lineRule="exact"/>
              <w:ind w:firstLine="1596"/>
            </w:pPr>
            <w:r>
              <w:rPr>
                <w:position w:val="-35"/>
              </w:rPr>
              <w:pict>
                <v:group id="_x0000_i1220" style="width:88.3pt;height:88.15pt;mso-position-horizontal-relative:char;mso-position-vertical-relative:line" coordorigin="0,0" coordsize="1766,1763" filled="f" stroked="f">
                  <v:shape id="_x0000_s1221" style="width:821;height:876;left:882;position:absolute;top:5" coordorigin="0,0" coordsize="821,876" path="m,c365,,692,225,821,566l,876e" filled="t" fillcolor="#e10000" stroked="f"/>
                  <v:shape id="_x0000_s1222" style="width:833;height:886;left:876;position:absolute" coordorigin="0,0" coordsize="833,886" path="m5,5c370,5,697,230,826,571l5,881l5,5xe" filled="f" strokecolor="white" strokeweight="0.54pt"/>
                  <v:shape id="_x0000_s1223" style="width:884;height:602;left:882;position:absolute;top:571" coordorigin="0,0" coordsize="884,602" path="m821,c894,193,896,406,827,601l,309e" filled="t" fillcolor="#c8c8c8" stroked="f"/>
                  <v:shape id="_x0000_s1224" style="width:889;height:612;left:876;position:absolute;top:566" coordorigin="0,0" coordsize="889,612" path="m826,5c900,198,902,412,833,607l5,315l826,5xe" filled="f" strokecolor="white" strokeweight="0.54pt"/>
                  <v:shape id="_x0000_s1225" style="width:828;height:512;left:882;position:absolute;top:881" coordorigin="0,0" coordsize="828,512" path="m827,292c799,370,760,445,711,512l,e" filled="t" fillcolor="#fa6400" stroked="f"/>
                  <v:shape id="_x0000_s1226" style="width:839;height:524;left:876;position:absolute;top:876" coordorigin="0,0" coordsize="839,524" path="m833,297c805,376,766,450,717,518l5,5l833,297xe" filled="f" strokecolor="white" strokeweight="0.54pt"/>
                  <v:shape id="_x0000_s1227" style="width:711;height:671;left:882;position:absolute;top:881" coordorigin="0,0" coordsize="711,671" path="m711,512m711,512c669,571,619,625,563,671l,e" filled="t" fillcolor="#ffc000" stroked="f"/>
                  <v:shape id="_x0000_s1228" style="width:721;height:681;left:878;position:absolute;top:877" coordorigin="0,0" coordsize="721,681" path="m715,517c673,576,623,629,567,676l4,4l715,517xe" filled="f" strokecolor="white" strokeweight="0.54pt"/>
                  <v:shape id="_x0000_s1229" style="width:564;height:785;left:882;position:absolute;top:881" coordorigin="0,0" coordsize="564,785" path="m563,671m563,671c509,716,451,754,388,785l,e" filled="t" fillcolor="#dcb464" stroked="f"/>
                  <v:shape id="_x0000_s1230" style="width:574;height:795;left:877;position:absolute;top:878" coordorigin="0,0" coordsize="574,795" path="m568,675c514,720,456,758,393,789l4,3l568,675xe" filled="f" strokecolor="white" strokeweight="0.54pt"/>
                  <v:shape id="_x0000_s1231" style="width:389;height:836;left:882;position:absolute;top:881" coordorigin="0,0" coordsize="389,836" path="m388,785m388,785c347,806,303,823,259,836l,e" filled="t" fillcolor="#b40014" stroked="f"/>
                  <v:shape id="_x0000_s1232" style="width:400;height:845;left:877;position:absolute;top:879" coordorigin="0,0" coordsize="400,845" path="m393,787c352,808,308,825,264,839l5,2l393,787xe" filled="f" strokecolor="white" strokeweight="0.54pt"/>
                  <v:shape id="_x0000_s1233" style="width:260;height:860;left:882;position:absolute;top:881" coordorigin="0,0" coordsize="260,860" path="m259,836m259,836c228,846,196,854,165,860l,e" filled="t" fillcolor="#fabe78" stroked="f"/>
                  <v:shape id="_x0000_s1234" style="width:271;height:868;left:877;position:absolute;top:879" coordorigin="0,0" coordsize="271,868" path="m264,838c233,848,202,855,170,862l5,1l264,838xe" filled="f" strokecolor="white" strokeweight="0.54pt"/>
                  <v:shape id="_x0000_s1235" style="width:355;height:881;left:692;position:absolute;top:881" coordorigin="0,0" coordsize="355,881" path="m354,860c237,882,116,881,,855l189,e" filled="t" fillcolor="#d74114" stroked="f"/>
                  <v:shape id="_x0000_s1236" style="width:365;height:883;left:687;position:absolute;top:880" coordorigin="0,0" coordsize="365,883" path="m360,861c242,884,122,882,5,856l195,1l360,861xe" filled="f" strokecolor="white" strokeweight="0.54pt"/>
                  <v:shape id="_x0000_s1237" style="width:883;height:1731;position:absolute;top:5" coordorigin="0,0" coordsize="883,1731" path="m692,1731c219,1627,-79,1159,24,686c113,285,470,,882,l882,876e" filled="t" fillcolor="#dc8c00" stroked="f"/>
                  <v:shape id="_x0000_s1238" style="width:888;height:1743;position:absolute" coordorigin="0,0" coordsize="888,1743" path="m692,1736c219,1632,-79,1164,24,692c113,291,470,5,882,5l882,881l692,1736xe" filled="f" strokecolor="white" strokeweight="0.54pt"/>
                  <w10:wrap type="none"/>
                </v:group>
              </w:pic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568"/>
        </w:trPr>
        <w:tc>
          <w:tcPr>
            <w:tcW w:w="1157" w:type="dxa"/>
            <w:tcBorders>
              <w:bottom w:val="single" w:sz="2" w:space="0" w:color="000000"/>
            </w:tcBorders>
            <w:vAlign w:val="top"/>
          </w:tcPr>
          <w:p>
            <w:pPr>
              <w:spacing w:before="104" w:line="241" w:lineRule="auto"/>
              <w:ind w:left="476" w:right="108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877" cy="47765"/>
                  <wp:effectExtent l="0" t="0" r="0" b="0"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77" cy="4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0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贵州茅台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877" cy="47778"/>
                  <wp:effectExtent l="0" t="0" r="0" b="0"/>
                  <wp:docPr id="374" name="IM 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IM 374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77" cy="47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0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古井贡酒</w:t>
            </w:r>
          </w:p>
        </w:tc>
        <w:tc>
          <w:tcPr>
            <w:tcW w:w="814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106" w:line="193" w:lineRule="auto"/>
              <w:ind w:left="137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887" cy="47765"/>
                  <wp:effectExtent l="0" t="0" r="0" b="0"/>
                  <wp:docPr id="376" name="IM 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IM 376"/>
                          <pic:cNvPicPr/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7" cy="4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5"/>
                <w:sz w:val="11"/>
                <w:szCs w:val="11"/>
              </w:rPr>
              <w:t>五粮液</w:t>
            </w:r>
          </w:p>
          <w:p>
            <w:pPr>
              <w:spacing w:before="74" w:line="192" w:lineRule="auto"/>
              <w:ind w:left="137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887" cy="47778"/>
                  <wp:effectExtent l="0" t="0" r="0" b="0"/>
                  <wp:docPr id="378" name="IM 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IM 378"/>
                          <pic:cNvPicPr/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7" cy="47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3"/>
                <w:sz w:val="11"/>
                <w:szCs w:val="11"/>
              </w:rPr>
              <w:t>顺鑫农业</w:t>
            </w:r>
          </w:p>
        </w:tc>
        <w:tc>
          <w:tcPr>
            <w:tcW w:w="1648" w:type="dxa"/>
            <w:gridSpan w:val="3"/>
            <w:tcBorders>
              <w:bottom w:val="single" w:sz="2" w:space="0" w:color="000000"/>
            </w:tcBorders>
            <w:vAlign w:val="top"/>
          </w:tcPr>
          <w:p>
            <w:pPr>
              <w:spacing w:before="106"/>
              <w:ind w:left="142" w:right="119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1047" cy="47765"/>
                  <wp:effectExtent l="0" t="0" r="0" b="0"/>
                  <wp:docPr id="380" name="IM 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IM 380"/>
                          <pic:cNvPicPr/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47" cy="4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5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1"/>
                <w:szCs w:val="11"/>
              </w:rPr>
              <w:t>洋河股份</w:t>
            </w:r>
            <w:r>
              <w:rPr>
                <w:rFonts w:ascii="Microsoft YaHei" w:eastAsia="Microsoft YaHei" w:hAnsi="Microsoft YaHei" w:cs="Microsoft YaHei"/>
                <w:spacing w:val="1"/>
                <w:sz w:val="11"/>
                <w:szCs w:val="11"/>
              </w:rPr>
              <w:t xml:space="preserve">       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7887" cy="47765"/>
                  <wp:effectExtent l="0" t="0" r="0" b="0"/>
                  <wp:docPr id="382" name="IM 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IM 382"/>
                          <pic:cNvPicPr/>
                        </pic:nvPicPr>
                        <pic:blipFill>
                          <a:blip xmlns:r="http://schemas.openxmlformats.org/officeDocument/2006/relationships"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7" cy="4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1"/>
                <w:w w:val="101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1"/>
                <w:szCs w:val="11"/>
              </w:rPr>
              <w:t>山西汾酒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1267" cy="47779"/>
                  <wp:effectExtent l="0" t="0" r="0" b="0"/>
                  <wp:docPr id="384" name="IM 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IM 384"/>
                          <pic:cNvPicPr/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67" cy="4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其他上市公司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8144" cy="47779"/>
                  <wp:effectExtent l="0" t="0" r="0" b="0"/>
                  <wp:docPr id="386" name="IM 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 386"/>
                          <pic:cNvPicPr/>
                        </pic:nvPicPr>
                        <pic:blipFill>
                          <a:blip xmlns:r="http://schemas.openxmlformats.org/officeDocument/2006/relationships"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44" cy="4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其他</w:t>
            </w:r>
          </w:p>
        </w:tc>
        <w:tc>
          <w:tcPr>
            <w:tcW w:w="1342" w:type="dxa"/>
            <w:tcBorders>
              <w:bottom w:val="single" w:sz="2" w:space="0" w:color="000000"/>
            </w:tcBorders>
            <w:vAlign w:val="top"/>
          </w:tcPr>
          <w:p>
            <w:pPr>
              <w:spacing w:before="106" w:line="193" w:lineRule="auto"/>
              <w:ind w:left="120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887" cy="47765"/>
                  <wp:effectExtent l="0" t="0" r="0" b="0"/>
                  <wp:docPr id="388" name="IM 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IM 388"/>
                          <pic:cNvPicPr/>
                        </pic:nvPicPr>
                        <pic:blipFill>
                          <a:blip xmlns:r="http://schemas.openxmlformats.org/officeDocument/2006/relationships"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7" cy="4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4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泸州老窖</w:t>
            </w:r>
          </w:p>
        </w:tc>
      </w:tr>
      <w:tr>
        <w:tblPrEx>
          <w:tblW w:w="4961" w:type="dxa"/>
          <w:tblInd w:w="9" w:type="dxa"/>
          <w:tblLayout w:type="fixed"/>
        </w:tblPrEx>
        <w:trPr>
          <w:trHeight w:val="282"/>
        </w:trPr>
        <w:tc>
          <w:tcPr>
            <w:tcW w:w="4961" w:type="dxa"/>
            <w:gridSpan w:val="7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51" w:line="158" w:lineRule="auto"/>
              <w:ind w:left="11"/>
              <w:rPr>
                <w:sz w:val="13"/>
                <w:szCs w:val="13"/>
              </w:rPr>
            </w:pPr>
            <w:r>
              <w:rPr>
                <w:spacing w:val="9"/>
                <w:sz w:val="13"/>
                <w:szCs w:val="13"/>
              </w:rPr>
              <w:t xml:space="preserve">资料来源：  </w:t>
            </w:r>
            <w:r>
              <w:rPr>
                <w:rFonts w:ascii="Arial" w:eastAsia="Arial" w:hAnsi="Arial" w:cs="Arial"/>
                <w:sz w:val="13"/>
                <w:szCs w:val="13"/>
              </w:rPr>
              <w:t>Wind</w:t>
            </w:r>
            <w:r>
              <w:rPr>
                <w:spacing w:val="9"/>
                <w:sz w:val="13"/>
                <w:szCs w:val="13"/>
              </w:rPr>
              <w:t>，长江证券研究所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tbl>
      <w:tblPr>
        <w:tblStyle w:val="TableNormal9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54"/>
        <w:gridCol w:w="20"/>
        <w:gridCol w:w="733"/>
        <w:gridCol w:w="20"/>
        <w:gridCol w:w="1666"/>
        <w:gridCol w:w="20"/>
        <w:gridCol w:w="1348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7"/>
        </w:trPr>
        <w:tc>
          <w:tcPr>
            <w:tcW w:w="4961" w:type="dxa"/>
            <w:gridSpan w:val="7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195" w:lineRule="auto"/>
              <w:ind w:left="1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</w:t>
            </w:r>
            <w:r>
              <w:rPr>
                <w:spacing w:val="-1"/>
                <w:sz w:val="16"/>
                <w:szCs w:val="16"/>
              </w:rPr>
              <w:t>：白酒上市公司利润集中度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338"/>
        </w:trPr>
        <w:tc>
          <w:tcPr>
            <w:tcW w:w="4961" w:type="dxa"/>
            <w:gridSpan w:val="7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1" w:line="205" w:lineRule="auto"/>
              <w:ind w:left="1938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 xml:space="preserve">2016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年利润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1955"/>
        </w:trPr>
        <w:tc>
          <w:tcPr>
            <w:tcW w:w="4961" w:type="dxa"/>
            <w:gridSpan w:val="7"/>
            <w:vAlign w:val="top"/>
          </w:tcPr>
          <w:p>
            <w:pPr>
              <w:spacing w:before="96" w:line="1755" w:lineRule="exact"/>
              <w:ind w:firstLine="1595"/>
            </w:pPr>
            <w:r>
              <w:rPr>
                <w:position w:val="-35"/>
              </w:rPr>
              <w:pict>
                <v:group id="_x0000_i1239" style="width:87.95pt;height:87.8pt;mso-position-horizontal-relative:char;mso-position-vertical-relative:line" coordorigin="0,0" coordsize="1758,1756" filled="f" stroked="f">
                  <v:shape id="_x0000_s1240" style="width:846;height:873;left:879;position:absolute;top:5" coordorigin="0,0" coordsize="846,873" path="m,c398,,746,269,846,653l,872e" filled="t" fillcolor="#e10000" stroked="f"/>
                  <v:shape id="_x0000_s1241" style="width:858;height:884;left:873;position:absolute" coordorigin="0,0" coordsize="858,884" path="m5,5c403,5,752,274,851,659l5,877l5,5xe" filled="f" strokecolor="white" strokeweight="0.54pt"/>
                  <v:shape id="_x0000_s1242" style="width:880;height:460;left:879;position:absolute;top:659" coordorigin="0,0" coordsize="880,460" path="m846,c885,151,883,310,839,460l,218e" filled="t" fillcolor="#c8c8c8" stroked="f"/>
                  <v:shape id="_x0000_s1243" style="width:885;height:472;left:873;position:absolute;top:653" coordorigin="0,0" coordsize="885,472" path="m851,5c891,156,888,316,845,466l5,223l851,5xe" filled="f" strokecolor="white" strokeweight="0.54pt"/>
                  <v:shape id="_x0000_s1244" style="width:840;height:589;left:879;position:absolute;top:877" coordorigin="0,0" coordsize="840,589" path="m839,242c802,371,735,489,645,588l,e" filled="t" fillcolor="#fa6400" stroked="f"/>
                  <v:shape id="_x0000_s1245" style="width:850;height:600;left:873;position:absolute;top:872" coordorigin="0,0" coordsize="850,600" path="m845,247c807,376,741,495,650,594l5,5l845,247xe" filled="f" strokecolor="white" strokeweight="0.54pt"/>
                  <v:shape id="_x0000_s1246" style="width:645;height:680;left:879;position:absolute;top:877" coordorigin="0,0" coordsize="645,680" path="m645,588m645,588c615,621,582,651,548,679l,e" filled="t" fillcolor="#ffc000" stroked="f"/>
                  <v:shape id="_x0000_s1247" style="width:655;height:689;left:875;position:absolute;top:873" coordorigin="0,0" coordsize="655,689" path="m649,592c619,625,586,655,552,683l4,3l649,592xe" filled="f" strokecolor="white" strokeweight="0.54pt"/>
                  <v:shape id="_x0000_s1248" style="width:549;height:714;left:879;position:absolute;top:877" coordorigin="0,0" coordsize="549,714" path="m548,679m548,679c533,691,518,702,502,713l,e" filled="t" fillcolor="#dcb464" stroked="f"/>
                  <v:shape id="_x0000_s1249" style="width:559;height:723;left:874;position:absolute;top:874" coordorigin="0,0" coordsize="559,723" path="m552,682c537,694,522,706,507,717l4,3l552,682xe" filled="f" strokecolor="white" strokeweight="0.54pt"/>
                  <v:shape id="_x0000_s1250" style="width:502;height:744;left:879;position:absolute;top:877" coordorigin="0,0" coordsize="502,744" path="m502,713m502,713c487,724,472,734,457,743l,e" filled="t" fillcolor="#b40014" stroked="f"/>
                  <v:shape id="_x0000_s1251" style="width:512;height:751;left:874;position:absolute;top:874" coordorigin="0,0" coordsize="512,751" path="m507,716c492,727,477,737,462,746l4,3l507,716xe" filled="f" strokecolor="white" strokeweight="0.54pt"/>
                  <v:shape id="_x0000_s1252" style="width:457;height:770;left:879;position:absolute;top:877" coordorigin="0,0" coordsize="457,770" path="m457,743m457,743c442,752,427,761,412,769l,e" filled="t" fillcolor="#fabe78" stroked="f"/>
                  <v:shape id="_x0000_s1253" style="width:467;height:778;left:874;position:absolute;top:874" coordorigin="0,0" coordsize="467,778" path="m462,746c447,755,432,763,417,772l4,2l462,746xe" filled="f" strokecolor="white" strokeweight="0.54pt"/>
                  <v:shape id="_x0000_s1254" style="width:412;height:836;left:879;position:absolute;top:877" coordorigin="0,0" coordsize="412,836" path="m412,769m412,769c360,797,305,819,248,836l,e" filled="t" fillcolor="#d74114" stroked="f"/>
                  <v:shape id="_x0000_s1255" style="width:422;height:845;left:874;position:absolute;top:875" coordorigin="0,0" coordsize="422,845" path="m417,771c365,799,310,822,253,838l5,2l417,771xe" filled="f" strokecolor="white" strokeweight="0.54pt"/>
                  <v:shape id="_x0000_s1256" style="width:1128;height:1750;position:absolute;top:5" coordorigin="0,0" coordsize="1128,1750" path="m1127,1708c665,1845,178,1582,41,1120c-96,658,167,173,630,36c711,12,795,,879,l879,872e" filled="t" fillcolor="#dc8c00" stroked="f"/>
                  <v:shape id="_x0000_s1257" style="width:1134;height:1756;position:absolute" coordorigin="0,0" coordsize="1134,1756" path="m1127,1714c665,1851,178,1587,41,1125c-96,663,167,178,630,41c711,17,795,5,879,5l879,877l1127,1714xe" filled="f" strokecolor="white" strokeweight="0.54pt"/>
                  <w10:wrap type="none"/>
                </v:group>
              </w:pic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531"/>
        </w:trPr>
        <w:tc>
          <w:tcPr>
            <w:tcW w:w="1174" w:type="dxa"/>
            <w:gridSpan w:val="2"/>
            <w:vAlign w:val="top"/>
          </w:tcPr>
          <w:p>
            <w:pPr>
              <w:spacing w:before="102"/>
              <w:ind w:left="483" w:right="123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7666" cy="47574"/>
                  <wp:effectExtent l="0" t="0" r="0" b="0"/>
                  <wp:docPr id="390" name="IM 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IM 390"/>
                          <pic:cNvPicPr/>
                        </pic:nvPicPr>
                        <pic:blipFill>
                          <a:blip xmlns:r="http://schemas.openxmlformats.org/officeDocument/2006/relationships"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6" cy="47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2"/>
                <w:sz w:val="11"/>
                <w:szCs w:val="11"/>
              </w:rPr>
              <w:t>贵州茅台</w:t>
            </w:r>
            <w:r>
              <w:rPr>
                <w:rFonts w:ascii="Microsoft YaHei" w:eastAsia="Microsoft YaHei" w:hAnsi="Microsoft YaHei" w:cs="Microsoft YaHei"/>
                <w:spacing w:val="2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666" cy="40774"/>
                  <wp:effectExtent l="0" t="0" r="0" b="0"/>
                  <wp:docPr id="392" name="IM 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 392"/>
                          <pic:cNvPicPr/>
                        </pic:nvPicPr>
                        <pic:blipFill>
                          <a:blip xmlns:r="http://schemas.openxmlformats.org/officeDocument/2006/relationships"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6" cy="40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2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1"/>
                <w:szCs w:val="11"/>
              </w:rPr>
              <w:t>口子窖</w:t>
            </w:r>
          </w:p>
        </w:tc>
        <w:tc>
          <w:tcPr>
            <w:tcW w:w="733" w:type="dxa"/>
            <w:vAlign w:val="top"/>
          </w:tcPr>
          <w:p>
            <w:pPr>
              <w:spacing w:before="104" w:line="225" w:lineRule="exact"/>
              <w:ind w:left="124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8"/>
                <w:sz w:val="11"/>
                <w:szCs w:val="11"/>
              </w:rPr>
              <w:drawing>
                <wp:inline distT="0" distB="0" distL="0" distR="0">
                  <wp:extent cx="40863" cy="47574"/>
                  <wp:effectExtent l="0" t="0" r="0" b="0"/>
                  <wp:docPr id="394" name="IM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IM 394"/>
                          <pic:cNvPicPr/>
                        </pic:nvPicPr>
                        <pic:blipFill>
                          <a:blip xmlns:r="http://schemas.openxmlformats.org/officeDocument/2006/relationships"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3" cy="47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"/>
                <w:position w:val="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position w:val="8"/>
                <w:sz w:val="11"/>
                <w:szCs w:val="11"/>
              </w:rPr>
              <w:t>五粮液</w:t>
            </w:r>
          </w:p>
          <w:p>
            <w:pPr>
              <w:spacing w:line="192" w:lineRule="auto"/>
              <w:ind w:left="124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0863" cy="40774"/>
                  <wp:effectExtent l="0" t="0" r="0" b="0"/>
                  <wp:docPr id="396" name="IM 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IM 396"/>
                          <pic:cNvPicPr/>
                        </pic:nvPicPr>
                        <pic:blipFill>
                          <a:blip xmlns:r="http://schemas.openxmlformats.org/officeDocument/2006/relationships"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3" cy="40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今世缘</w:t>
            </w:r>
          </w:p>
        </w:tc>
        <w:tc>
          <w:tcPr>
            <w:tcW w:w="1686" w:type="dxa"/>
            <w:gridSpan w:val="2"/>
            <w:vAlign w:val="top"/>
          </w:tcPr>
          <w:p>
            <w:pPr>
              <w:spacing w:before="104" w:line="239" w:lineRule="auto"/>
              <w:ind w:left="196" w:right="101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7665" cy="47574"/>
                  <wp:effectExtent l="0" t="0" r="0" b="0"/>
                  <wp:docPr id="398" name="IM 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IM 398"/>
                          <pic:cNvPicPr/>
                        </pic:nvPicPr>
                        <pic:blipFill>
                          <a:blip xmlns:r="http://schemas.openxmlformats.org/officeDocument/2006/relationships"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洋河股份</w:t>
            </w:r>
            <w:r>
              <w:rPr>
                <w:rFonts w:ascii="Microsoft YaHei" w:eastAsia="Microsoft YaHei" w:hAnsi="Microsoft YaHei" w:cs="Microsoft YaHei"/>
                <w:spacing w:val="2"/>
                <w:sz w:val="11"/>
                <w:szCs w:val="11"/>
              </w:rPr>
              <w:t xml:space="preserve">       </w:t>
            </w:r>
            <w:r>
              <w:rPr>
                <w:sz w:val="11"/>
                <w:szCs w:val="11"/>
              </w:rPr>
              <w:drawing>
                <wp:inline distT="0" distB="0" distL="0" distR="0">
                  <wp:extent cx="47665" cy="47574"/>
                  <wp:effectExtent l="0" t="0" r="0" b="0"/>
                  <wp:docPr id="400" name="IM 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IM 400"/>
                          <pic:cNvPicPr/>
                        </pic:nvPicPr>
                        <pic:blipFill>
                          <a:blip xmlns:r="http://schemas.openxmlformats.org/officeDocument/2006/relationships"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" cy="47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6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泸州老窖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9264" cy="40774"/>
                  <wp:effectExtent l="0" t="0" r="0" b="0"/>
                  <wp:docPr id="402" name="IM 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IM 402"/>
                          <pic:cNvPicPr/>
                        </pic:nvPicPr>
                        <pic:blipFill>
                          <a:blip xmlns:r="http://schemas.openxmlformats.org/officeDocument/2006/relationships"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64" cy="40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其他上市公司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9264" cy="40774"/>
                  <wp:effectExtent l="0" t="0" r="0" b="0"/>
                  <wp:docPr id="404" name="IM 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IM 404"/>
                          <pic:cNvPicPr/>
                        </pic:nvPicPr>
                        <pic:blipFill>
                          <a:blip xmlns:r="http://schemas.openxmlformats.org/officeDocument/2006/relationships"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64" cy="40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6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其他</w:t>
            </w:r>
          </w:p>
        </w:tc>
        <w:tc>
          <w:tcPr>
            <w:tcW w:w="1368" w:type="dxa"/>
            <w:gridSpan w:val="2"/>
            <w:vAlign w:val="top"/>
          </w:tcPr>
          <w:p>
            <w:pPr>
              <w:spacing w:before="104" w:line="192" w:lineRule="auto"/>
              <w:ind w:left="139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drawing>
                <wp:inline distT="0" distB="0" distL="0" distR="0">
                  <wp:extent cx="47678" cy="47573"/>
                  <wp:effectExtent l="0" t="0" r="0" b="0"/>
                  <wp:docPr id="406" name="IM 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IM 406"/>
                          <pic:cNvPicPr/>
                        </pic:nvPicPr>
                        <pic:blipFill>
                          <a:blip xmlns:r="http://schemas.openxmlformats.org/officeDocument/2006/relationships"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8" cy="4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>古井贡酒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371"/>
        </w:trPr>
        <w:tc>
          <w:tcPr>
            <w:tcW w:w="4961" w:type="dxa"/>
            <w:gridSpan w:val="7"/>
            <w:vAlign w:val="top"/>
          </w:tcPr>
          <w:p>
            <w:pPr>
              <w:pStyle w:val="TableText"/>
              <w:spacing w:before="86" w:line="205" w:lineRule="auto"/>
              <w:ind w:left="1938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 xml:space="preserve">2022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年利润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1963"/>
        </w:trPr>
        <w:tc>
          <w:tcPr>
            <w:tcW w:w="4961" w:type="dxa"/>
            <w:gridSpan w:val="7"/>
            <w:vAlign w:val="top"/>
          </w:tcPr>
          <w:p>
            <w:pPr>
              <w:spacing w:before="97" w:line="1763" w:lineRule="exact"/>
              <w:ind w:firstLine="1596"/>
            </w:pPr>
            <w:r>
              <w:rPr>
                <w:position w:val="-35"/>
              </w:rPr>
              <w:pict>
                <v:group id="_x0000_i1258" style="width:88.15pt;height:88.15pt;mso-position-horizontal-relative:char;mso-position-vertical-relative:line" coordorigin="0,0" coordsize="1763,1763" filled="f" stroked="f">
                  <v:shape id="_x0000_s1259" style="width:876;height:1066;left:880;position:absolute;top:5" coordorigin="0,0" coordsize="876,1066" path="m,c483,,876,392,876,876c876,940,869,1003,855,1066l,876e" filled="t" fillcolor="#e10000" stroked="f"/>
                  <v:shape id="_x0000_s1260" style="width:886;height:1076;left:875;position:absolute" coordorigin="0,0" coordsize="886,1076" path="m5,5c489,5,881,397,881,881c881,945,874,1009,860,1071l5,881l5,5xe" filled="f" strokecolor="white" strokeweight="0.54pt"/>
                  <v:shape id="_x0000_s1261" style="width:855;height:728;left:880;position:absolute;top:881" coordorigin="0,0" coordsize="855,728" path="m855,190c806,409,674,602,487,727l,e" filled="t" fillcolor="#c8c8c8" stroked="f"/>
                  <v:shape id="_x0000_s1262" style="width:866;height:739;left:875;position:absolute;top:876" coordorigin="0,0" coordsize="866,739" path="m860,195c811,415,680,607,493,733l5,5l860,195xe" filled="f" strokecolor="white" strokeweight="0.54pt"/>
                  <v:shape id="_x0000_s1263" style="width:487;height:839;left:880;position:absolute;top:881" coordorigin="0,0" coordsize="487,839" path="m487,727m487,727c415,775,337,813,254,838l,e" filled="t" fillcolor="#fa6400" stroked="f"/>
                  <v:shape id="_x0000_s1264" style="width:499;height:846;left:875;position:absolute;top:878" coordorigin="0,0" coordsize="499,846" path="m492,730c421,778,342,816,259,841l5,2l492,730xe" filled="f" strokecolor="white" strokeweight="0.54pt"/>
                  <v:shape id="_x0000_s1265" style="width:255;height:875;left:880;position:absolute;top:881" coordorigin="0,0" coordsize="255,875" path="m254,838m254,838c179,861,102,873,23,875l,e" filled="t" fillcolor="#ffc000" stroked="f"/>
                  <v:shape id="_x0000_s1266" style="width:266;height:883;left:875;position:absolute;top:879" coordorigin="0,0" coordsize="266,883" path="m259,839c184,862,107,875,29,877l5,1l259,839xe" filled="f" strokecolor="white" strokeweight="0.54pt"/>
                  <v:shape id="_x0000_s1267" style="width:202;height:878;left:703;position:absolute;top:881" coordorigin="0,0" coordsize="202,878" path="m201,875m201,875c133,877,66,871,,857l177,e" filled="t" fillcolor="#dcb464" stroked="f"/>
                  <v:shape id="_x0000_s1268" style="width:212;height:883;left:697;position:absolute;top:880" coordorigin="0,0" coordsize="212,883" path="m206,876c138,878,71,872,5,859l182,1l206,876xe" filled="f" strokecolor="white" strokeweight="0.54pt"/>
                  <v:shape id="_x0000_s1269" style="width:253;height:858;left:626;position:absolute;top:881" coordorigin="0,0" coordsize="253,858" path="m76,857m76,857c50,852,25,846,,838l253,e" filled="t" fillcolor="#b40014" stroked="f"/>
                  <v:shape id="_x0000_s1270" style="width:265;height:869;left:621;position:absolute;top:876" coordorigin="0,0" coordsize="265,869" path="m81,863c55,858,30,851,5,844l258,5l81,863xe" filled="f" strokecolor="white" strokeweight="0.54pt"/>
                  <v:shape id="_x0000_s1271" style="width:312;height:839;left:567;position:absolute;top:881" coordorigin="0,0" coordsize="312,839" path="m59,838m59,838c39,832,19,825,,818l312,e" filled="t" fillcolor="#fabe78" stroked="f"/>
                  <v:shape id="_x0000_s1272" style="width:324;height:845;left:562;position:absolute;top:879" coordorigin="0,0" coordsize="324,845" path="m64,840c44,834,24,827,5,820l318,1l64,840xe" filled="f" strokecolor="white" strokeweight="0.54pt"/>
                  <v:shape id="_x0000_s1273" style="width:480;height:819;left:400;position:absolute;top:881" coordorigin="0,0" coordsize="480,819" path="m166,818m166,818c108,796,52,767,,733l479,e" filled="t" fillcolor="#d74114" stroked="f"/>
                  <v:shape id="_x0000_s1274" style="width:490;height:826;left:395;position:absolute;top:878" coordorigin="0,0" coordsize="490,826" path="m172,821c113,799,57,770,5,736l484,2l172,821xe" filled="f" strokecolor="white" strokeweight="0.54pt"/>
                  <v:shape id="_x0000_s1275" style="width:880;height:1610;position:absolute;top:5" coordorigin="0,0" coordsize="880,1610" path="m400,1609c-4,1344,-117,801,147,396c309,149,584,,880,l880,876e" filled="t" fillcolor="#dc8c00" stroked="f"/>
                  <v:shape id="_x0000_s1276" style="width:885;height:1621;position:absolute" coordorigin="0,0" coordsize="885,1621" path="m400,1614c-4,1349,-117,806,147,401c309,154,584,5,880,5l880,881l400,1614xe" filled="f" strokecolor="white" strokeweight="0.54pt"/>
                  <w10:wrap type="none"/>
                </v:group>
              </w:pic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568"/>
        </w:trPr>
        <w:tc>
          <w:tcPr>
            <w:tcW w:w="1154" w:type="dxa"/>
            <w:tcBorders>
              <w:bottom w:val="single" w:sz="2" w:space="0" w:color="000000"/>
            </w:tcBorders>
            <w:vAlign w:val="top"/>
          </w:tcPr>
          <w:p>
            <w:pPr>
              <w:spacing w:before="104" w:line="241" w:lineRule="auto"/>
              <w:ind w:left="484" w:right="104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0944" cy="47771"/>
                  <wp:effectExtent l="0" t="0" r="0" b="0"/>
                  <wp:docPr id="408" name="IM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IM 408"/>
                          <pic:cNvPicPr/>
                        </pic:nvPicPr>
                        <pic:blipFill>
                          <a:blip xmlns:r="http://schemas.openxmlformats.org/officeDocument/2006/relationships"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44" cy="47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贵州茅台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0944" cy="47772"/>
                  <wp:effectExtent l="0" t="0" r="0" b="0"/>
                  <wp:docPr id="410" name="IM 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IM 410"/>
                          <pic:cNvPicPr/>
                        </pic:nvPicPr>
                        <pic:blipFill>
                          <a:blip xmlns:r="http://schemas.openxmlformats.org/officeDocument/2006/relationships"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44" cy="47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古井贡酒</w:t>
            </w:r>
          </w:p>
        </w:tc>
        <w:tc>
          <w:tcPr>
            <w:tcW w:w="773" w:type="dxa"/>
            <w:gridSpan w:val="3"/>
            <w:tcBorders>
              <w:bottom w:val="single" w:sz="2" w:space="0" w:color="000000"/>
            </w:tcBorders>
            <w:vAlign w:val="top"/>
          </w:tcPr>
          <w:p>
            <w:pPr>
              <w:spacing w:before="106" w:line="226" w:lineRule="exact"/>
              <w:ind w:left="136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9"/>
                <w:sz w:val="11"/>
                <w:szCs w:val="11"/>
              </w:rPr>
              <w:drawing>
                <wp:inline distT="0" distB="0" distL="0" distR="0">
                  <wp:extent cx="47777" cy="47771"/>
                  <wp:effectExtent l="0" t="0" r="0" b="0"/>
                  <wp:docPr id="412" name="IM 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IM 412"/>
                          <pic:cNvPicPr/>
                        </pic:nvPicPr>
                        <pic:blipFill>
                          <a:blip xmlns:r="http://schemas.openxmlformats.org/officeDocument/2006/relationships"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77" cy="47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5"/>
                <w:position w:val="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position w:val="8"/>
                <w:sz w:val="11"/>
                <w:szCs w:val="11"/>
              </w:rPr>
              <w:t>五粮液</w:t>
            </w:r>
          </w:p>
          <w:p>
            <w:pPr>
              <w:spacing w:line="192" w:lineRule="auto"/>
              <w:ind w:left="136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777" cy="47759"/>
                  <wp:effectExtent l="0" t="0" r="0" b="0"/>
                  <wp:docPr id="414" name="IM 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IM 414"/>
                          <pic:cNvPicPr/>
                        </pic:nvPicPr>
                        <pic:blipFill>
                          <a:blip xmlns:r="http://schemas.openxmlformats.org/officeDocument/2006/relationships"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77" cy="47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今世缘</w:t>
            </w:r>
          </w:p>
        </w:tc>
        <w:tc>
          <w:tcPr>
            <w:tcW w:w="168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106"/>
              <w:ind w:left="180" w:right="116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777" cy="47771"/>
                  <wp:effectExtent l="0" t="0" r="0" b="0"/>
                  <wp:docPr id="416" name="IM 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IM 416"/>
                          <pic:cNvPicPr/>
                        </pic:nvPicPr>
                        <pic:blipFill>
                          <a:blip xmlns:r="http://schemas.openxmlformats.org/officeDocument/2006/relationships"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77" cy="47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泸州老窖</w:t>
            </w:r>
            <w:r>
              <w:rPr>
                <w:rFonts w:ascii="Microsoft YaHei" w:eastAsia="Microsoft YaHei" w:hAnsi="Microsoft YaHei" w:cs="Microsoft YaHei"/>
                <w:spacing w:val="2"/>
                <w:sz w:val="11"/>
                <w:szCs w:val="11"/>
              </w:rPr>
              <w:t xml:space="preserve">       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7776" cy="47771"/>
                  <wp:effectExtent l="0" t="0" r="0" b="0"/>
                  <wp:docPr id="418" name="IM 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IM 418"/>
                          <pic:cNvPicPr/>
                        </pic:nvPicPr>
                        <pic:blipFill>
                          <a:blip xmlns:r="http://schemas.openxmlformats.org/officeDocument/2006/relationships"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76" cy="47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6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洋河股份</w:t>
            </w:r>
            <w:r>
              <w:rPr>
                <w:rFonts w:ascii="Microsoft YaHei" w:eastAsia="Microsoft YaHei" w:hAnsi="Microsoft YaHei" w:cs="Microsoft YaHei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9835" cy="47759"/>
                  <wp:effectExtent l="0" t="0" r="0" b="0"/>
                  <wp:docPr id="420" name="IM 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IM 420"/>
                          <pic:cNvPicPr/>
                        </pic:nvPicPr>
                        <pic:blipFill>
                          <a:blip xmlns:r="http://schemas.openxmlformats.org/officeDocument/2006/relationships"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35" cy="47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其他上市公司</w:t>
            </w:r>
            <w:r>
              <w:rPr>
                <w:position w:val="1"/>
                <w:sz w:val="11"/>
                <w:szCs w:val="11"/>
              </w:rPr>
              <w:drawing>
                <wp:inline distT="0" distB="0" distL="0" distR="0">
                  <wp:extent cx="49835" cy="47759"/>
                  <wp:effectExtent l="0" t="0" r="0" b="0"/>
                  <wp:docPr id="422" name="IM 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IM 422"/>
                          <pic:cNvPicPr/>
                        </pic:nvPicPr>
                        <pic:blipFill>
                          <a:blip xmlns:r="http://schemas.openxmlformats.org/officeDocument/2006/relationships"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35" cy="47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8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8"/>
                <w:sz w:val="11"/>
                <w:szCs w:val="11"/>
              </w:rPr>
              <w:t>其他</w:t>
            </w:r>
          </w:p>
        </w:tc>
        <w:tc>
          <w:tcPr>
            <w:tcW w:w="1348" w:type="dxa"/>
            <w:tcBorders>
              <w:bottom w:val="single" w:sz="2" w:space="0" w:color="000000"/>
            </w:tcBorders>
            <w:vAlign w:val="top"/>
          </w:tcPr>
          <w:p>
            <w:pPr>
              <w:spacing w:before="107" w:line="192" w:lineRule="auto"/>
              <w:ind w:left="117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1"/>
                <w:szCs w:val="11"/>
              </w:rPr>
              <w:drawing>
                <wp:inline distT="0" distB="0" distL="0" distR="0">
                  <wp:extent cx="47764" cy="47771"/>
                  <wp:effectExtent l="0" t="0" r="0" b="0"/>
                  <wp:docPr id="424" name="IM 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IM 424"/>
                          <pic:cNvPicPr/>
                        </pic:nvPicPr>
                        <pic:blipFill>
                          <a:blip xmlns:r="http://schemas.openxmlformats.org/officeDocument/2006/relationships"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64" cy="47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2"/>
                <w:w w:val="102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1"/>
                <w:szCs w:val="11"/>
              </w:rPr>
              <w:t>山西汾酒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82"/>
        </w:trPr>
        <w:tc>
          <w:tcPr>
            <w:tcW w:w="4961" w:type="dxa"/>
            <w:gridSpan w:val="7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51" w:line="158" w:lineRule="auto"/>
              <w:ind w:left="11"/>
              <w:rPr>
                <w:sz w:val="13"/>
                <w:szCs w:val="13"/>
              </w:rPr>
            </w:pPr>
            <w:r>
              <w:rPr>
                <w:spacing w:val="10"/>
                <w:sz w:val="13"/>
                <w:szCs w:val="13"/>
              </w:rPr>
              <w:t>资料来源：</w:t>
            </w:r>
            <w:r>
              <w:rPr>
                <w:rFonts w:ascii="Arial" w:eastAsia="Arial" w:hAnsi="Arial" w:cs="Arial"/>
                <w:sz w:val="13"/>
                <w:szCs w:val="13"/>
              </w:rPr>
              <w:t>Wind</w:t>
            </w:r>
            <w:r>
              <w:rPr>
                <w:spacing w:val="10"/>
                <w:sz w:val="13"/>
                <w:szCs w:val="13"/>
              </w:rPr>
              <w:t>，长江证券研究所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45"/>
          <w:footerReference w:type="default" r:id="rId246"/>
          <w:type w:val="continuous"/>
          <w:pgSz w:w="11907" w:h="16839"/>
          <w:pgMar w:top="1350" w:right="749" w:bottom="970" w:left="842" w:header="851" w:footer="713" w:gutter="0"/>
          <w:pgNumType w:start="43"/>
          <w:cols w:num="2" w:space="708" w:equalWidth="0">
            <w:col w:w="5155" w:space="100"/>
            <w:col w:w="5061" w:space="0"/>
          </w:cols>
        </w:sectPr>
      </w:pP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spacing w:before="64" w:line="198" w:lineRule="auto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公司层面，本轮景气期中汾酒和水井坊凭借核心产品、全国化推进和自身改善表现突出。</w:t>
      </w:r>
    </w:p>
    <w:p>
      <w:pPr>
        <w:pStyle w:val="BodyText"/>
        <w:spacing w:before="105" w:line="312" w:lineRule="exact"/>
        <w:ind w:left="3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 xml:space="preserve">山西汾酒收入 </w:t>
      </w:r>
      <w:r>
        <w:rPr>
          <w:spacing w:val="-1"/>
          <w:position w:val="11"/>
          <w:sz w:val="18"/>
          <w:szCs w:val="18"/>
        </w:rPr>
        <w:t>2017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、</w:t>
      </w:r>
      <w:r>
        <w:rPr>
          <w:spacing w:val="-1"/>
          <w:position w:val="11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年起在高端产品成功布局和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全国化推进的帮助下增长明显加</w:t>
      </w:r>
    </w:p>
    <w:p>
      <w:pPr>
        <w:pStyle w:val="BodyText"/>
        <w:spacing w:line="196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 xml:space="preserve">速， </w:t>
      </w:r>
      <w:r>
        <w:rPr>
          <w:spacing w:val="-2"/>
          <w:sz w:val="18"/>
          <w:szCs w:val="18"/>
        </w:rPr>
        <w:t xml:space="preserve">2016-2019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年营业总收入 </w:t>
      </w:r>
      <w:r>
        <w:rPr>
          <w:spacing w:val="-2"/>
          <w:sz w:val="18"/>
          <w:szCs w:val="18"/>
        </w:rPr>
        <w:t>CAGR</w:t>
      </w:r>
      <w:r>
        <w:rPr>
          <w:spacing w:val="13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为 </w:t>
      </w:r>
      <w:r>
        <w:rPr>
          <w:spacing w:val="-2"/>
          <w:sz w:val="18"/>
          <w:szCs w:val="18"/>
        </w:rPr>
        <w:t>39.2%</w:t>
      </w:r>
      <w:r>
        <w:rPr>
          <w:rFonts w:ascii="STXihei" w:eastAsia="STXihei" w:hAnsi="STXihei" w:cs="STXihei"/>
          <w:spacing w:val="-2"/>
          <w:sz w:val="18"/>
          <w:szCs w:val="18"/>
        </w:rPr>
        <w:t>，反映在股价上公司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 xml:space="preserve">2017 </w:t>
      </w:r>
      <w:r>
        <w:rPr>
          <w:rFonts w:ascii="STXihei" w:eastAsia="STXihei" w:hAnsi="STXihei" w:cs="STXihei"/>
          <w:spacing w:val="-3"/>
          <w:sz w:val="18"/>
          <w:szCs w:val="18"/>
        </w:rPr>
        <w:t>和</w:t>
      </w:r>
      <w:r>
        <w:rPr>
          <w:rFonts w:ascii="STXihei" w:eastAsia="STXihei" w:hAnsi="STXihei" w:cs="STXihei"/>
          <w:spacing w:val="5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2019</w:t>
      </w:r>
      <w:r>
        <w:rPr>
          <w:spacing w:val="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年分</w:t>
      </w:r>
    </w:p>
    <w:p>
      <w:pPr>
        <w:pStyle w:val="BodyText"/>
        <w:spacing w:before="104" w:line="197" w:lineRule="auto"/>
        <w:ind w:left="2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别增长</w:t>
      </w:r>
      <w:r>
        <w:rPr>
          <w:rFonts w:ascii="STXihei" w:eastAsia="STXihei" w:hAnsi="STXihei" w:cs="STXihei"/>
          <w:spacing w:val="33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131.6%</w:t>
      </w:r>
      <w:r>
        <w:rPr>
          <w:spacing w:val="-30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、</w:t>
      </w:r>
      <w:r>
        <w:rPr>
          <w:spacing w:val="-2"/>
          <w:sz w:val="18"/>
          <w:szCs w:val="18"/>
        </w:rPr>
        <w:t>158.7%</w:t>
      </w:r>
      <w:r>
        <w:rPr>
          <w:rFonts w:ascii="STXihei" w:eastAsia="STXihei" w:hAnsi="STXihei" w:cs="STXihei"/>
          <w:spacing w:val="-2"/>
          <w:sz w:val="18"/>
          <w:szCs w:val="18"/>
        </w:rPr>
        <w:t>，</w:t>
      </w:r>
      <w:r>
        <w:rPr>
          <w:spacing w:val="-2"/>
          <w:sz w:val="18"/>
          <w:szCs w:val="18"/>
        </w:rPr>
        <w:t>2017-2019</w:t>
      </w:r>
      <w:r>
        <w:rPr>
          <w:spacing w:val="12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年累计增长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273.2%</w:t>
      </w:r>
      <w:r>
        <w:rPr>
          <w:rFonts w:ascii="STXihei" w:eastAsia="STXihei" w:hAnsi="STXihei" w:cs="STXihei"/>
          <w:spacing w:val="-2"/>
          <w:sz w:val="18"/>
          <w:szCs w:val="18"/>
        </w:rPr>
        <w:t>。水井坊自身管理改善叠加</w:t>
      </w:r>
    </w:p>
    <w:p>
      <w:pPr>
        <w:pStyle w:val="BodyText"/>
        <w:spacing w:before="104" w:line="197" w:lineRule="auto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大单品打造成功，</w:t>
      </w:r>
      <w:r>
        <w:rPr>
          <w:rFonts w:ascii="STXihei" w:eastAsia="STXihei" w:hAnsi="STXihei" w:cs="STXihei"/>
          <w:spacing w:val="55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 xml:space="preserve">2017 </w:t>
      </w:r>
      <w:r>
        <w:rPr>
          <w:rFonts w:ascii="STXihei" w:eastAsia="STXihei" w:hAnsi="STXihei" w:cs="STXihei"/>
          <w:spacing w:val="-7"/>
          <w:sz w:val="18"/>
          <w:szCs w:val="18"/>
        </w:rPr>
        <w:t>年收入增长达到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74.1%</w:t>
      </w:r>
      <w:r>
        <w:rPr>
          <w:rFonts w:ascii="STXihei" w:eastAsia="STXihei" w:hAnsi="STXihei" w:cs="STXihei"/>
          <w:spacing w:val="-7"/>
          <w:sz w:val="18"/>
          <w:szCs w:val="18"/>
        </w:rPr>
        <w:t xml:space="preserve">，其后始终维持较高水平，  </w:t>
      </w:r>
      <w:r>
        <w:rPr>
          <w:spacing w:val="-7"/>
          <w:sz w:val="18"/>
          <w:szCs w:val="18"/>
        </w:rPr>
        <w:t xml:space="preserve">2016-2019 </w:t>
      </w:r>
      <w:r>
        <w:rPr>
          <w:rFonts w:ascii="STXihei" w:eastAsia="STXihei" w:hAnsi="STXihei" w:cs="STXihei"/>
          <w:spacing w:val="-7"/>
          <w:sz w:val="18"/>
          <w:szCs w:val="18"/>
        </w:rPr>
        <w:t>年</w:t>
      </w:r>
    </w:p>
    <w:p>
      <w:pPr>
        <w:pStyle w:val="BodyText"/>
        <w:spacing w:before="105" w:line="197" w:lineRule="auto"/>
        <w:ind w:left="18"/>
        <w:rPr>
          <w:rFonts w:ascii="STXihei" w:eastAsia="STXihei" w:hAnsi="STXihei" w:cs="STXihei"/>
          <w:sz w:val="18"/>
          <w:szCs w:val="18"/>
        </w:rPr>
      </w:pPr>
      <w:r>
        <w:rPr>
          <w:spacing w:val="-2"/>
          <w:sz w:val="18"/>
          <w:szCs w:val="18"/>
        </w:rPr>
        <w:t>CAGR</w:t>
      </w:r>
      <w:r>
        <w:rPr>
          <w:spacing w:val="12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为 </w:t>
      </w:r>
      <w:r>
        <w:rPr>
          <w:spacing w:val="-2"/>
          <w:sz w:val="18"/>
          <w:szCs w:val="18"/>
        </w:rPr>
        <w:t>44.4%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，股价 </w:t>
      </w:r>
      <w:r>
        <w:rPr>
          <w:spacing w:val="-2"/>
          <w:sz w:val="18"/>
          <w:szCs w:val="18"/>
        </w:rPr>
        <w:t xml:space="preserve">2017 </w:t>
      </w:r>
      <w:r>
        <w:rPr>
          <w:rFonts w:ascii="STXihei" w:eastAsia="STXihei" w:hAnsi="STXihei" w:cs="STXihei"/>
          <w:spacing w:val="-2"/>
          <w:sz w:val="18"/>
          <w:szCs w:val="18"/>
        </w:rPr>
        <w:t xml:space="preserve">和 </w:t>
      </w:r>
      <w:r>
        <w:rPr>
          <w:spacing w:val="-2"/>
          <w:sz w:val="18"/>
          <w:szCs w:val="18"/>
        </w:rPr>
        <w:t xml:space="preserve">2019 </w:t>
      </w:r>
      <w:r>
        <w:rPr>
          <w:rFonts w:ascii="STXihei" w:eastAsia="STXihei" w:hAnsi="STXihei" w:cs="STXihei"/>
          <w:spacing w:val="-2"/>
          <w:sz w:val="18"/>
          <w:szCs w:val="18"/>
        </w:rPr>
        <w:t>年分别增长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148.2%</w:t>
      </w:r>
      <w:r>
        <w:rPr>
          <w:rFonts w:ascii="STXihei" w:eastAsia="STXihei" w:hAnsi="STXihei" w:cs="STXihei"/>
          <w:spacing w:val="-2"/>
          <w:sz w:val="18"/>
          <w:szCs w:val="18"/>
        </w:rPr>
        <w:t>、</w:t>
      </w:r>
      <w:r>
        <w:rPr>
          <w:spacing w:val="-2"/>
          <w:sz w:val="18"/>
          <w:szCs w:val="18"/>
        </w:rPr>
        <w:t>67.0%</w:t>
      </w:r>
      <w:r>
        <w:rPr>
          <w:rFonts w:ascii="STXihei" w:eastAsia="STXihei" w:hAnsi="STXihei" w:cs="STXihei"/>
          <w:spacing w:val="-2"/>
          <w:sz w:val="18"/>
          <w:szCs w:val="18"/>
        </w:rPr>
        <w:t>，</w:t>
      </w:r>
      <w:r>
        <w:rPr>
          <w:spacing w:val="-2"/>
          <w:sz w:val="18"/>
          <w:szCs w:val="18"/>
        </w:rPr>
        <w:t>20</w:t>
      </w:r>
      <w:r>
        <w:rPr>
          <w:spacing w:val="-3"/>
          <w:sz w:val="18"/>
          <w:szCs w:val="18"/>
        </w:rPr>
        <w:t xml:space="preserve">17-2019 </w:t>
      </w:r>
      <w:r>
        <w:rPr>
          <w:rFonts w:ascii="STXihei" w:eastAsia="STXihei" w:hAnsi="STXihei" w:cs="STXihei"/>
          <w:spacing w:val="-3"/>
          <w:sz w:val="18"/>
          <w:szCs w:val="18"/>
        </w:rPr>
        <w:t>年累计</w:t>
      </w:r>
    </w:p>
    <w:p>
      <w:pPr>
        <w:pStyle w:val="BodyText"/>
        <w:spacing w:before="108" w:line="194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增长</w:t>
      </w:r>
      <w:r>
        <w:rPr>
          <w:rFonts w:ascii="STXihei" w:eastAsia="STXihei" w:hAnsi="STXihei" w:cs="STXihei"/>
          <w:spacing w:val="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183.8%</w:t>
      </w:r>
      <w:r>
        <w:rPr>
          <w:rFonts w:ascii="STXihei" w:eastAsia="STXihei" w:hAnsi="STXihei" w:cs="STXihei"/>
          <w:spacing w:val="-3"/>
          <w:sz w:val="18"/>
          <w:szCs w:val="18"/>
        </w:rPr>
        <w:t>。</w:t>
      </w:r>
    </w:p>
    <w:p>
      <w:pPr>
        <w:spacing w:line="186" w:lineRule="exact"/>
      </w:pPr>
    </w:p>
    <w:p>
      <w:pPr>
        <w:spacing w:line="186" w:lineRule="exact"/>
        <w:sectPr>
          <w:headerReference w:type="default" r:id="rId247"/>
          <w:footerReference w:type="default" r:id="rId248"/>
          <w:type w:val="continuous"/>
          <w:pgSz w:w="11907" w:h="16839"/>
          <w:pgMar w:top="1350" w:right="749" w:bottom="970" w:left="842" w:header="851" w:footer="713" w:gutter="0"/>
          <w:pgNumType w:start="44"/>
          <w:cols w:num="1" w:space="708" w:equalWidth="0">
            <w:col w:w="10315" w:space="0"/>
          </w:cols>
        </w:sectPr>
      </w:pPr>
    </w:p>
    <w:p>
      <w:pPr>
        <w:pStyle w:val="BodyText"/>
        <w:spacing w:before="30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21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 xml:space="preserve">2017-2019 </w:t>
      </w:r>
      <w:r>
        <w:rPr>
          <w:rFonts w:ascii="STXihei" w:eastAsia="STXihei" w:hAnsi="STXihei" w:cs="STXihei"/>
          <w:spacing w:val="-1"/>
          <w:sz w:val="16"/>
          <w:szCs w:val="16"/>
        </w:rPr>
        <w:t>年次高端酒企收入增速分化</w:t>
      </w:r>
    </w:p>
    <w:p>
      <w:pPr>
        <w:pStyle w:val="BodyText"/>
        <w:spacing w:before="181" w:line="227" w:lineRule="exact"/>
        <w:ind w:left="213"/>
        <w:rPr>
          <w:sz w:val="13"/>
          <w:szCs w:val="13"/>
        </w:rPr>
      </w:pPr>
      <w:r>
        <w:rPr>
          <w:spacing w:val="-1"/>
          <w:position w:val="9"/>
          <w:sz w:val="13"/>
          <w:szCs w:val="13"/>
        </w:rPr>
        <w:t>80%</w:t>
      </w:r>
    </w:p>
    <w:p>
      <w:pPr>
        <w:pStyle w:val="BodyText"/>
        <w:spacing w:before="1" w:line="199" w:lineRule="auto"/>
        <w:ind w:left="215"/>
        <w:rPr>
          <w:sz w:val="13"/>
          <w:szCs w:val="13"/>
        </w:rPr>
      </w:pPr>
      <w:r>
        <w:rPr>
          <w:spacing w:val="-1"/>
          <w:sz w:val="13"/>
          <w:szCs w:val="13"/>
        </w:rPr>
        <w:t>70%</w:t>
      </w:r>
    </w:p>
    <w:p>
      <w:pPr>
        <w:pStyle w:val="BodyText"/>
        <w:spacing w:before="103" w:line="199" w:lineRule="auto"/>
        <w:ind w:left="214"/>
        <w:rPr>
          <w:sz w:val="13"/>
          <w:szCs w:val="13"/>
        </w:rPr>
      </w:pPr>
      <w:r>
        <w:rPr>
          <w:spacing w:val="-1"/>
          <w:sz w:val="13"/>
          <w:szCs w:val="13"/>
        </w:rPr>
        <w:t>60%</w:t>
      </w:r>
    </w:p>
    <w:p>
      <w:pPr>
        <w:pStyle w:val="BodyText"/>
        <w:spacing w:before="104" w:line="199" w:lineRule="auto"/>
        <w:ind w:left="213"/>
        <w:rPr>
          <w:sz w:val="13"/>
          <w:szCs w:val="13"/>
        </w:rPr>
      </w:pPr>
      <w:r>
        <w:rPr>
          <w:spacing w:val="-1"/>
          <w:sz w:val="13"/>
          <w:szCs w:val="13"/>
        </w:rPr>
        <w:t>50%</w:t>
      </w:r>
    </w:p>
    <w:p>
      <w:pPr>
        <w:pStyle w:val="BodyText"/>
        <w:spacing w:before="103" w:line="199" w:lineRule="auto"/>
        <w:ind w:left="212"/>
        <w:rPr>
          <w:sz w:val="13"/>
          <w:szCs w:val="13"/>
        </w:rPr>
      </w:pPr>
      <w:r>
        <w:rPr>
          <w:spacing w:val="-1"/>
          <w:sz w:val="13"/>
          <w:szCs w:val="13"/>
        </w:rPr>
        <w:t>40%</w:t>
      </w:r>
    </w:p>
    <w:p>
      <w:pPr>
        <w:pStyle w:val="BodyText"/>
        <w:spacing w:before="104" w:line="199" w:lineRule="auto"/>
        <w:ind w:left="213"/>
        <w:rPr>
          <w:sz w:val="13"/>
          <w:szCs w:val="13"/>
        </w:rPr>
      </w:pPr>
      <w:r>
        <w:rPr>
          <w:spacing w:val="-1"/>
          <w:sz w:val="13"/>
          <w:szCs w:val="13"/>
        </w:rPr>
        <w:t>30%</w:t>
      </w:r>
    </w:p>
    <w:p>
      <w:pPr>
        <w:pStyle w:val="BodyText"/>
        <w:spacing w:before="102" w:line="200" w:lineRule="auto"/>
        <w:ind w:left="213"/>
        <w:rPr>
          <w:sz w:val="13"/>
          <w:szCs w:val="13"/>
        </w:rPr>
      </w:pPr>
      <w:r>
        <w:rPr>
          <w:spacing w:val="-1"/>
          <w:sz w:val="13"/>
          <w:szCs w:val="13"/>
        </w:rPr>
        <w:t>20%</w:t>
      </w:r>
    </w:p>
    <w:p>
      <w:pPr>
        <w:pStyle w:val="BodyText"/>
        <w:spacing w:before="104" w:line="199" w:lineRule="auto"/>
        <w:ind w:left="222"/>
        <w:rPr>
          <w:sz w:val="13"/>
          <w:szCs w:val="13"/>
        </w:rPr>
      </w:pPr>
      <w:r>
        <w:rPr>
          <w:spacing w:val="-3"/>
          <w:sz w:val="13"/>
          <w:szCs w:val="13"/>
        </w:rPr>
        <w:t>10%</w:t>
      </w:r>
    </w:p>
    <w:p>
      <w:pPr>
        <w:pStyle w:val="BodyText"/>
        <w:spacing w:before="103" w:line="200" w:lineRule="auto"/>
        <w:ind w:left="289"/>
        <w:rPr>
          <w:sz w:val="13"/>
          <w:szCs w:val="13"/>
        </w:rPr>
      </w:pPr>
      <w:r>
        <w:rPr>
          <w:spacing w:val="-1"/>
          <w:sz w:val="13"/>
          <w:szCs w:val="13"/>
        </w:rPr>
        <w:t>0%</w:t>
      </w:r>
    </w:p>
    <w:p>
      <w:pPr>
        <w:pStyle w:val="BodyText"/>
        <w:spacing w:before="103" w:line="199" w:lineRule="auto"/>
        <w:ind w:left="170"/>
        <w:rPr>
          <w:sz w:val="13"/>
          <w:szCs w:val="13"/>
        </w:rPr>
        <w:sectPr>
          <w:headerReference w:type="default" r:id="rId249"/>
          <w:footerReference w:type="default" r:id="rId250"/>
          <w:type w:val="continuous"/>
          <w:pgSz w:w="11907" w:h="16839"/>
          <w:pgMar w:top="1350" w:right="749" w:bottom="970" w:left="842" w:header="851" w:footer="713" w:gutter="0"/>
          <w:pgNumType w:start="45"/>
          <w:cols w:num="2" w:space="708" w:equalWidth="0">
            <w:col w:w="5155" w:space="100"/>
            <w:col w:w="5061" w:space="0"/>
          </w:cols>
        </w:sectPr>
      </w:pPr>
      <w:r>
        <w:rPr>
          <w:spacing w:val="-2"/>
          <w:sz w:val="13"/>
          <w:szCs w:val="13"/>
        </w:rPr>
        <w:t>-10%</w:t>
      </w:r>
    </w:p>
    <w:p>
      <w:pPr>
        <w:spacing w:before="237" w:line="187" w:lineRule="auto"/>
        <w:ind w:left="329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2"/>
          <w:sz w:val="13"/>
          <w:szCs w:val="13"/>
        </w:rPr>
        <w:drawing>
          <wp:inline distT="0" distB="0" distL="0" distR="0">
            <wp:extent cx="54863" cy="47138"/>
            <wp:effectExtent l="0" t="0" r="0" b="0"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洋河股份</w:t>
      </w:r>
      <w:r>
        <w:rPr>
          <w:rFonts w:ascii="Microsoft YaHei" w:eastAsia="Microsoft YaHei" w:hAnsi="Microsoft YaHei" w:cs="Microsoft YaHei"/>
          <w:spacing w:val="21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5715" cy="47138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山西汾酒</w:t>
      </w:r>
      <w:r>
        <w:rPr>
          <w:rFonts w:ascii="Microsoft YaHei" w:eastAsia="Microsoft YaHei" w:hAnsi="Microsoft YaHei" w:cs="Microsoft YaHei"/>
          <w:spacing w:val="24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5719" cy="47138"/>
            <wp:effectExtent l="0" t="0" r="0" b="0"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舍得酒业</w:t>
      </w:r>
      <w:r>
        <w:rPr>
          <w:rFonts w:ascii="Microsoft YaHei" w:eastAsia="Microsoft YaHei" w:hAnsi="Microsoft YaHei" w:cs="Microsoft YaHei"/>
          <w:spacing w:val="12"/>
          <w:w w:val="101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54862" cy="47138"/>
            <wp:effectExtent l="0" t="0" r="0" b="0"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54862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水井坊</w:t>
      </w:r>
      <w:r>
        <w:rPr>
          <w:rFonts w:ascii="Microsoft YaHei" w:eastAsia="Microsoft YaHei" w:hAnsi="Microsoft YaHei" w:cs="Microsoft YaHei"/>
          <w:spacing w:val="16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5719" cy="47138"/>
            <wp:effectExtent l="0" t="0" r="0" b="0"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酒鬼酒</w:t>
      </w:r>
      <w:r>
        <w:rPr>
          <w:rFonts w:ascii="Microsoft YaHei" w:eastAsia="Microsoft YaHei" w:hAnsi="Microsoft YaHei" w:cs="Microsoft YaHei"/>
          <w:spacing w:val="9"/>
          <w:w w:val="102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5715" cy="47138"/>
            <wp:effectExtent l="0" t="0" r="0" b="0"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6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古井贡酒</w:t>
      </w:r>
      <w:r>
        <w:rPr>
          <w:rFonts w:ascii="Microsoft YaHei" w:eastAsia="Microsoft YaHei" w:hAnsi="Microsoft YaHei" w:cs="Microsoft YaHei"/>
          <w:spacing w:val="18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5719" cy="47138"/>
            <wp:effectExtent l="0" t="0" r="0" b="0"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今世缘</w:t>
      </w:r>
    </w:p>
    <w:p>
      <w:pPr>
        <w:pStyle w:val="BodyText"/>
        <w:spacing w:line="250" w:lineRule="auto"/>
      </w:pPr>
    </w:p>
    <w:p>
      <w:pPr>
        <w:pStyle w:val="BodyText"/>
        <w:spacing w:before="46" w:line="173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，长江证券研究所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8" w:line="198" w:lineRule="auto"/>
        <w:ind w:left="1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22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 xml:space="preserve">2017-2019 </w:t>
      </w:r>
      <w:r>
        <w:rPr>
          <w:rFonts w:ascii="STXihei" w:eastAsia="STXihei" w:hAnsi="STXihei" w:cs="STXihei"/>
          <w:spacing w:val="-1"/>
          <w:sz w:val="16"/>
          <w:szCs w:val="16"/>
        </w:rPr>
        <w:t>年次高端酒企股价变动分化</w:t>
      </w:r>
    </w:p>
    <w:p>
      <w:pPr>
        <w:pStyle w:val="BodyText"/>
        <w:spacing w:before="174" w:line="256" w:lineRule="exact"/>
        <w:ind w:left="203"/>
        <w:rPr>
          <w:sz w:val="13"/>
          <w:szCs w:val="13"/>
        </w:rPr>
      </w:pPr>
      <w:r>
        <w:pict>
          <v:shape id="_x0000_s1277" type="#_x0000_t202" style="width:75.25pt;height:14.35pt;margin-top:87.15pt;margin-left:93.38pt;position:absolute;z-index:2518548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46" w:lineRule="exact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-1"/>
                      <w:sz w:val="13"/>
                      <w:szCs w:val="13"/>
                    </w:rPr>
                    <w:drawing>
                      <wp:inline distT="0" distB="0" distL="0" distR="0">
                        <wp:extent cx="64332" cy="123348"/>
                        <wp:effectExtent l="0" t="0" r="0" b="0"/>
                        <wp:docPr id="440" name="IM 4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0" name="IM 440"/>
                                <pic:cNvPicPr/>
                              </pic:nvPicPr>
                              <pic:blipFill>
                                <a:blip xmlns:r="http://schemas.openxmlformats.org/officeDocument/2006/relationships" r:embed="rId2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332" cy="123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3"/>
                      <w:position w:val="-3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2"/>
                      <w:position w:val="-3"/>
                      <w:sz w:val="13"/>
                      <w:szCs w:val="13"/>
                    </w:rPr>
                    <w:t>201</w:t>
                  </w:r>
                  <w:r>
                    <w:rPr>
                      <w:spacing w:val="-18"/>
                      <w:position w:val="-3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2"/>
                      <w:position w:val="-3"/>
                      <w:sz w:val="13"/>
                      <w:szCs w:val="13"/>
                    </w:rPr>
                    <w:t>8</w:t>
                  </w:r>
                  <w:r>
                    <w:rPr>
                      <w:spacing w:val="1"/>
                      <w:position w:val="-3"/>
                      <w:sz w:val="13"/>
                      <w:szCs w:val="13"/>
                    </w:rPr>
                    <w:t xml:space="preserve">                   </w:t>
                  </w:r>
                  <w:r>
                    <w:rPr>
                      <w:spacing w:val="-2"/>
                      <w:position w:val="-3"/>
                      <w:sz w:val="13"/>
                      <w:szCs w:val="13"/>
                    </w:rPr>
                    <w:t>201</w:t>
                  </w:r>
                  <w:r>
                    <w:rPr>
                      <w:spacing w:val="-5"/>
                      <w:position w:val="-3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2"/>
                      <w:position w:val="-3"/>
                      <w:sz w:val="13"/>
                      <w:szCs w:val="13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278" type="#_x0000_t202" style="width:16.95pt;height:8.35pt;margin-top:93.15pt;margin-left:50.13pt;position:absolute;z-index:2518568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201</w:t>
                  </w:r>
                  <w:r>
                    <w:rPr>
                      <w:spacing w:val="-15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2"/>
                      <w:sz w:val="13"/>
                      <w:szCs w:val="13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279" type="#_x0000_t202" style="width:45.9pt;height:10.75pt;margin-top:95.32pt;margin-left:187.45pt;position:absolute;z-index:2518558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7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2017-2019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3"/>
                      <w:szCs w:val="13"/>
                    </w:rPr>
                    <w:t>累计</w:t>
                  </w:r>
                </w:p>
              </w:txbxContent>
            </v:textbox>
          </v:shape>
        </w:pict>
      </w:r>
      <w:r>
        <w:rPr>
          <w:spacing w:val="-2"/>
          <w:position w:val="11"/>
          <w:sz w:val="13"/>
          <w:szCs w:val="13"/>
        </w:rPr>
        <w:t>300</w:t>
      </w:r>
      <w:r>
        <w:rPr>
          <w:spacing w:val="-15"/>
          <w:position w:val="11"/>
          <w:sz w:val="13"/>
          <w:szCs w:val="13"/>
        </w:rPr>
        <w:t xml:space="preserve"> </w:t>
      </w:r>
      <w:r>
        <w:rPr>
          <w:spacing w:val="-2"/>
          <w:position w:val="11"/>
          <w:sz w:val="13"/>
          <w:szCs w:val="13"/>
        </w:rPr>
        <w:t>%</w:t>
      </w:r>
    </w:p>
    <w:p>
      <w:pPr>
        <w:pStyle w:val="BodyText"/>
        <w:spacing w:line="200" w:lineRule="auto"/>
        <w:ind w:left="203"/>
        <w:rPr>
          <w:sz w:val="13"/>
          <w:szCs w:val="13"/>
        </w:rPr>
      </w:pPr>
      <w:r>
        <w:rPr>
          <w:spacing w:val="-1"/>
          <w:sz w:val="13"/>
          <w:szCs w:val="13"/>
        </w:rPr>
        <w:t>250</w:t>
      </w:r>
      <w:r>
        <w:rPr>
          <w:spacing w:val="-19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%</w:t>
      </w:r>
    </w:p>
    <w:p>
      <w:pPr>
        <w:pStyle w:val="BodyText"/>
        <w:spacing w:before="133" w:line="201" w:lineRule="auto"/>
        <w:ind w:left="203"/>
        <w:rPr>
          <w:sz w:val="13"/>
          <w:szCs w:val="13"/>
        </w:rPr>
      </w:pPr>
      <w:r>
        <w:rPr>
          <w:spacing w:val="-1"/>
          <w:sz w:val="13"/>
          <w:szCs w:val="13"/>
        </w:rPr>
        <w:t>200</w:t>
      </w:r>
      <w:r>
        <w:rPr>
          <w:spacing w:val="-19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%</w:t>
      </w:r>
    </w:p>
    <w:p>
      <w:pPr>
        <w:pStyle w:val="BodyText"/>
        <w:spacing w:before="131" w:line="201" w:lineRule="auto"/>
        <w:ind w:left="212"/>
        <w:rPr>
          <w:sz w:val="13"/>
          <w:szCs w:val="13"/>
        </w:rPr>
      </w:pPr>
      <w:r>
        <w:rPr>
          <w:spacing w:val="-4"/>
          <w:sz w:val="13"/>
          <w:szCs w:val="13"/>
        </w:rPr>
        <w:t>150</w:t>
      </w:r>
      <w:r>
        <w:rPr>
          <w:spacing w:val="-16"/>
          <w:sz w:val="13"/>
          <w:szCs w:val="13"/>
        </w:rPr>
        <w:t xml:space="preserve"> </w:t>
      </w:r>
      <w:r>
        <w:rPr>
          <w:spacing w:val="-4"/>
          <w:sz w:val="13"/>
          <w:szCs w:val="13"/>
        </w:rPr>
        <w:t>%</w:t>
      </w:r>
    </w:p>
    <w:p>
      <w:pPr>
        <w:pStyle w:val="BodyText"/>
        <w:spacing w:before="132" w:line="201" w:lineRule="auto"/>
        <w:ind w:left="212"/>
        <w:rPr>
          <w:sz w:val="13"/>
          <w:szCs w:val="13"/>
        </w:rPr>
      </w:pPr>
      <w:r>
        <w:rPr>
          <w:spacing w:val="-4"/>
          <w:sz w:val="13"/>
          <w:szCs w:val="13"/>
        </w:rPr>
        <w:t>100</w:t>
      </w:r>
      <w:r>
        <w:rPr>
          <w:spacing w:val="-16"/>
          <w:sz w:val="13"/>
          <w:szCs w:val="13"/>
        </w:rPr>
        <w:t xml:space="preserve"> </w:t>
      </w:r>
      <w:r>
        <w:rPr>
          <w:spacing w:val="-4"/>
          <w:sz w:val="13"/>
          <w:szCs w:val="13"/>
        </w:rPr>
        <w:t>%</w:t>
      </w:r>
    </w:p>
    <w:p>
      <w:pPr>
        <w:pStyle w:val="BodyText"/>
        <w:spacing w:before="132" w:line="201" w:lineRule="auto"/>
        <w:ind w:left="279"/>
        <w:rPr>
          <w:sz w:val="13"/>
          <w:szCs w:val="13"/>
        </w:rPr>
      </w:pPr>
      <w:r>
        <w:rPr>
          <w:spacing w:val="-1"/>
          <w:sz w:val="13"/>
          <w:szCs w:val="13"/>
        </w:rPr>
        <w:t>50%</w:t>
      </w:r>
    </w:p>
    <w:p>
      <w:pPr>
        <w:pStyle w:val="BodyText"/>
        <w:spacing w:before="132" w:line="201" w:lineRule="auto"/>
        <w:ind w:left="355"/>
        <w:rPr>
          <w:sz w:val="13"/>
          <w:szCs w:val="13"/>
        </w:rPr>
      </w:pPr>
      <w:r>
        <w:rPr>
          <w:spacing w:val="-2"/>
          <w:sz w:val="13"/>
          <w:szCs w:val="13"/>
        </w:rPr>
        <w:t>0%</w:t>
      </w:r>
    </w:p>
    <w:p>
      <w:pPr>
        <w:pStyle w:val="BodyText"/>
        <w:spacing w:before="132" w:line="201" w:lineRule="auto"/>
        <w:ind w:left="235"/>
        <w:rPr>
          <w:sz w:val="13"/>
          <w:szCs w:val="13"/>
        </w:rPr>
      </w:pPr>
      <w:r>
        <w:rPr>
          <w:spacing w:val="-2"/>
          <w:sz w:val="13"/>
          <w:szCs w:val="13"/>
        </w:rPr>
        <w:t>-50%</w:t>
      </w:r>
    </w:p>
    <w:p>
      <w:pPr>
        <w:pStyle w:val="BodyText"/>
        <w:spacing w:before="132" w:line="201" w:lineRule="auto"/>
        <w:ind w:left="160"/>
        <w:rPr>
          <w:sz w:val="13"/>
          <w:szCs w:val="13"/>
        </w:rPr>
      </w:pPr>
      <w:r>
        <w:rPr>
          <w:spacing w:val="-2"/>
          <w:sz w:val="13"/>
          <w:szCs w:val="13"/>
        </w:rPr>
        <w:t>-100</w:t>
      </w:r>
      <w:r>
        <w:rPr>
          <w:spacing w:val="-16"/>
          <w:sz w:val="13"/>
          <w:szCs w:val="13"/>
        </w:rPr>
        <w:t xml:space="preserve"> </w:t>
      </w:r>
      <w:r>
        <w:rPr>
          <w:spacing w:val="-2"/>
          <w:sz w:val="13"/>
          <w:szCs w:val="13"/>
        </w:rPr>
        <w:t>%</w:t>
      </w:r>
    </w:p>
    <w:p>
      <w:pPr>
        <w:spacing w:before="238" w:line="188" w:lineRule="auto"/>
        <w:ind w:left="332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3"/>
          <w:sz w:val="13"/>
          <w:szCs w:val="13"/>
        </w:rPr>
        <w:drawing>
          <wp:inline distT="0" distB="0" distL="0" distR="0">
            <wp:extent cx="45715" cy="47381"/>
            <wp:effectExtent l="0" t="0" r="0" b="0"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洋河股份</w:t>
      </w:r>
      <w:r>
        <w:rPr>
          <w:rFonts w:ascii="Microsoft YaHei" w:eastAsia="Microsoft YaHei" w:hAnsi="Microsoft YaHei" w:cs="Microsoft YaHei"/>
          <w:spacing w:val="19"/>
          <w:w w:val="102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45720" cy="47381"/>
            <wp:effectExtent l="0" t="0" r="0" b="0"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2"/>
          <w:w w:val="10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山西汾酒</w:t>
      </w:r>
      <w:r>
        <w:rPr>
          <w:rFonts w:ascii="Microsoft YaHei" w:eastAsia="Microsoft YaHei" w:hAnsi="Microsoft YaHei" w:cs="Microsoft YaHei"/>
          <w:spacing w:val="22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45715" cy="47381"/>
            <wp:effectExtent l="0" t="0" r="0" b="0"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舍得酒业</w:t>
      </w:r>
      <w:r>
        <w:rPr>
          <w:rFonts w:ascii="Microsoft YaHei" w:eastAsia="Microsoft YaHei" w:hAnsi="Microsoft YaHei" w:cs="Microsoft YaHei"/>
          <w:spacing w:val="27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45720" cy="47381"/>
            <wp:effectExtent l="0" t="0" r="0" b="0"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水井坊</w:t>
      </w:r>
      <w:r>
        <w:rPr>
          <w:rFonts w:ascii="Microsoft YaHei" w:eastAsia="Microsoft YaHei" w:hAnsi="Microsoft YaHei" w:cs="Microsoft YaHei"/>
          <w:spacing w:val="15"/>
          <w:w w:val="101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45715" cy="47381"/>
            <wp:effectExtent l="0" t="0" r="0" b="0"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酒鬼酒 </w:t>
      </w:r>
      <w:r>
        <w:rPr>
          <w:position w:val="3"/>
          <w:sz w:val="13"/>
          <w:szCs w:val="13"/>
        </w:rPr>
        <w:drawing>
          <wp:inline distT="0" distB="0" distL="0" distR="0">
            <wp:extent cx="45715" cy="47381"/>
            <wp:effectExtent l="0" t="0" r="0" b="0"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9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古井贡酒</w:t>
      </w:r>
      <w:r>
        <w:rPr>
          <w:rFonts w:ascii="Microsoft YaHei" w:eastAsia="Microsoft YaHei" w:hAnsi="Microsoft YaHei" w:cs="Microsoft YaHei"/>
          <w:spacing w:val="16"/>
          <w:w w:val="102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45715" cy="47381"/>
            <wp:effectExtent l="0" t="0" r="0" b="0"/>
            <wp:docPr id="454" name="IM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 454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45715" cy="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今世缘</w:t>
      </w:r>
    </w:p>
    <w:p>
      <w:pPr>
        <w:pStyle w:val="BodyText"/>
        <w:spacing w:line="246" w:lineRule="auto"/>
      </w:pPr>
    </w:p>
    <w:p>
      <w:pPr>
        <w:pStyle w:val="BodyText"/>
        <w:spacing w:before="46" w:line="173" w:lineRule="auto"/>
        <w:ind w:left="11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，长江证券研究所</w:t>
      </w:r>
    </w:p>
    <w:p>
      <w:pPr>
        <w:spacing w:line="173" w:lineRule="auto"/>
        <w:rPr>
          <w:rFonts w:ascii="STXihei" w:eastAsia="STXihei" w:hAnsi="STXihei" w:cs="STXihei"/>
          <w:sz w:val="13"/>
          <w:szCs w:val="13"/>
        </w:rPr>
        <w:sectPr>
          <w:headerReference w:type="default" r:id="rId266"/>
          <w:footerReference w:type="default" r:id="rId267"/>
          <w:type w:val="nextPage"/>
          <w:pgSz w:w="11907" w:h="16839"/>
          <w:pgMar w:top="1350" w:right="749" w:bottom="970" w:left="842" w:header="851" w:footer="713" w:gutter="0"/>
          <w:pgNumType w:start="46"/>
          <w:cols w:num="2" w:space="708" w:equalWidth="0">
            <w:col w:w="5155" w:space="100"/>
            <w:col w:w="5061" w:space="0"/>
          </w:cols>
          <w:titlePg w:val="0"/>
        </w:sectPr>
      </w:pPr>
    </w:p>
    <w:p>
      <w:pPr>
        <w:pStyle w:val="BodyText"/>
        <w:spacing w:line="321" w:lineRule="auto"/>
      </w:pPr>
      <w:r>
        <w:pict>
          <v:rect id="_x0000_s1280" style="width:248.1pt;height:0.5pt;margin-top:685.66pt;margin-left:304.85pt;mso-position-horizontal-relative:page;mso-position-vertical-relative:page;position:absolute;z-index:251862016" o:allowincell="f" filled="t" fillcolor="black" stroked="f"/>
        </w:pict>
      </w:r>
      <w:r>
        <w:drawing>
          <wp:anchor distT="0" distB="0" distL="0" distR="0" simplePos="0" relativeHeight="251860992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2689986</wp:posOffset>
            </wp:positionV>
            <wp:extent cx="4313808" cy="6350"/>
            <wp:effectExtent l="0" t="0" r="0" b="0"/>
            <wp:wrapNone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43138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4894071</wp:posOffset>
            </wp:positionV>
            <wp:extent cx="4313808" cy="6350"/>
            <wp:effectExtent l="0" t="0" r="0" b="0"/>
            <wp:wrapNone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3138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6904482</wp:posOffset>
            </wp:positionV>
            <wp:extent cx="6481317" cy="6350"/>
            <wp:effectExtent l="0" t="0" r="0" b="0"/>
            <wp:wrapNone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648131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8710803</wp:posOffset>
            </wp:positionV>
            <wp:extent cx="3150742" cy="6350"/>
            <wp:effectExtent l="0" t="0" r="0" b="0"/>
            <wp:wrapNone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0" locked="0" layoutInCell="0" allowOverlap="1">
            <wp:simplePos x="0" y="0"/>
            <wp:positionH relativeFrom="page">
              <wp:posOffset>3957320</wp:posOffset>
            </wp:positionH>
            <wp:positionV relativeFrom="page">
              <wp:posOffset>6910705</wp:posOffset>
            </wp:positionV>
            <wp:extent cx="2976245" cy="1794383"/>
            <wp:effectExtent l="0" t="0" r="0" b="0"/>
            <wp:wrapNone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179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2" w:lineRule="auto"/>
      </w:pPr>
    </w:p>
    <w:p>
      <w:pPr>
        <w:pStyle w:val="BodyText"/>
        <w:spacing w:before="63" w:line="312" w:lineRule="exact"/>
        <w:ind w:left="453"/>
        <w:rPr>
          <w:rFonts w:ascii="STXihei" w:eastAsia="STXihei" w:hAnsi="STXihei" w:cs="STXihei"/>
          <w:sz w:val="18"/>
          <w:szCs w:val="18"/>
        </w:rPr>
      </w:pPr>
      <w:bookmarkStart w:id="36" w:name="bookmark38"/>
      <w:bookmarkEnd w:id="36"/>
      <w:bookmarkStart w:id="37" w:name="bookmark39"/>
      <w:bookmarkEnd w:id="37"/>
      <w:bookmarkStart w:id="38" w:name="bookmark40"/>
      <w:bookmarkEnd w:id="38"/>
      <w:r>
        <w:rPr>
          <w:rFonts w:ascii="STXihei" w:eastAsia="STXihei" w:hAnsi="STXihei" w:cs="STXihei"/>
          <w:spacing w:val="-5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汾酒省外加速发展，加快高端产品布局。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 xml:space="preserve">汾酒集团 </w:t>
      </w:r>
      <w:r>
        <w:rPr>
          <w:spacing w:val="-5"/>
          <w:position w:val="11"/>
          <w:sz w:val="18"/>
          <w:szCs w:val="18"/>
        </w:rPr>
        <w:t xml:space="preserve">2017 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年与国资委签订目</w:t>
      </w:r>
      <w:r>
        <w:rPr>
          <w:rFonts w:ascii="STXihei" w:eastAsia="STXihei" w:hAnsi="STXihei" w:cs="STXihei"/>
          <w:spacing w:val="-6"/>
          <w:position w:val="11"/>
          <w:sz w:val="18"/>
          <w:szCs w:val="18"/>
        </w:rPr>
        <w:t>标考核协议，</w:t>
      </w:r>
    </w:p>
    <w:p>
      <w:pPr>
        <w:spacing w:line="196" w:lineRule="auto"/>
        <w:ind w:left="45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并通过市场化改革、引入外部投资者、落地员工股权激励等措施</w:t>
      </w:r>
      <w:r>
        <w:rPr>
          <w:rFonts w:ascii="STXihei" w:eastAsia="STXihei" w:hAnsi="STXihei" w:cs="STXihei"/>
          <w:spacing w:val="-2"/>
          <w:sz w:val="18"/>
          <w:szCs w:val="18"/>
        </w:rPr>
        <w:t>释放增长活力。地区拓</w:t>
      </w:r>
    </w:p>
    <w:p>
      <w:pPr>
        <w:spacing w:before="103" w:line="198" w:lineRule="auto"/>
        <w:ind w:left="45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>展方面，  汾酒以山西为大本营市场，</w:t>
      </w:r>
      <w:r>
        <w:rPr>
          <w:rFonts w:ascii="STXihei" w:eastAsia="STXihei" w:hAnsi="STXihei" w:cs="STXihei"/>
          <w:spacing w:val="13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6"/>
          <w:sz w:val="18"/>
          <w:szCs w:val="18"/>
        </w:rPr>
        <w:t>积极向环山西地区和全国各</w:t>
      </w:r>
      <w:r>
        <w:rPr>
          <w:rFonts w:ascii="STXihei" w:eastAsia="STXihei" w:hAnsi="STXihei" w:cs="STXihei"/>
          <w:spacing w:val="-7"/>
          <w:sz w:val="18"/>
          <w:szCs w:val="18"/>
        </w:rPr>
        <w:t>地延申，高速拓展下公</w:t>
      </w:r>
    </w:p>
    <w:p>
      <w:pPr>
        <w:pStyle w:val="BodyText"/>
        <w:spacing w:before="104" w:line="197" w:lineRule="auto"/>
        <w:ind w:left="45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司省外经销商数量快速增加，从</w:t>
      </w:r>
      <w:r>
        <w:rPr>
          <w:rFonts w:ascii="STXihei" w:eastAsia="STXihei" w:hAnsi="STXihei" w:cs="STXihei"/>
          <w:spacing w:val="16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2016</w:t>
      </w:r>
      <w:r>
        <w:rPr>
          <w:spacing w:val="1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年的</w:t>
      </w:r>
      <w:r>
        <w:rPr>
          <w:rFonts w:ascii="STXihei" w:eastAsia="STXihei" w:hAnsi="STXihei" w:cs="STXihei"/>
          <w:spacing w:val="1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780</w:t>
      </w:r>
      <w:r>
        <w:rPr>
          <w:spacing w:val="21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2"/>
          <w:sz w:val="18"/>
          <w:szCs w:val="18"/>
        </w:rPr>
        <w:t>家</w:t>
      </w:r>
      <w:r>
        <w:rPr>
          <w:rFonts w:ascii="STXihei" w:eastAsia="STXihei" w:hAnsi="STXihei" w:cs="STXihei"/>
          <w:spacing w:val="-3"/>
          <w:sz w:val="18"/>
          <w:szCs w:val="18"/>
        </w:rPr>
        <w:t>提升至</w:t>
      </w:r>
      <w:r>
        <w:rPr>
          <w:rFonts w:ascii="STXihei" w:eastAsia="STXihei" w:hAnsi="STXihei" w:cs="STXihei"/>
          <w:spacing w:val="13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2019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年的</w:t>
      </w:r>
      <w:r>
        <w:rPr>
          <w:rFonts w:ascii="STXihei" w:eastAsia="STXihei" w:hAnsi="STXihei" w:cs="STXihei"/>
          <w:spacing w:val="3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1847</w:t>
      </w:r>
      <w:r>
        <w:rPr>
          <w:spacing w:val="22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家，收入同</w:t>
      </w:r>
    </w:p>
    <w:p>
      <w:pPr>
        <w:pStyle w:val="BodyText"/>
        <w:spacing w:before="105" w:line="197" w:lineRule="auto"/>
        <w:ind w:left="453"/>
        <w:rPr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>步快速增长。产品上看汾酒成功打造青花系列，</w:t>
      </w:r>
      <w:r>
        <w:rPr>
          <w:rFonts w:ascii="STXihei" w:eastAsia="STXihei" w:hAnsi="STXihei" w:cs="STXihei"/>
          <w:spacing w:val="20"/>
          <w:w w:val="102"/>
          <w:sz w:val="18"/>
          <w:szCs w:val="18"/>
        </w:rPr>
        <w:t xml:space="preserve">  </w:t>
      </w:r>
      <w:r>
        <w:rPr>
          <w:spacing w:val="-4"/>
          <w:sz w:val="18"/>
          <w:szCs w:val="18"/>
        </w:rPr>
        <w:t>2017</w:t>
      </w:r>
      <w:r>
        <w:rPr>
          <w:spacing w:val="2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年至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2020</w:t>
      </w:r>
      <w:r>
        <w:rPr>
          <w:spacing w:val="2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sz w:val="18"/>
          <w:szCs w:val="18"/>
        </w:rPr>
        <w:t>年收入始</w:t>
      </w:r>
      <w:r>
        <w:rPr>
          <w:rFonts w:ascii="STXihei" w:eastAsia="STXihei" w:hAnsi="STXihei" w:cs="STXihei"/>
          <w:spacing w:val="-5"/>
          <w:sz w:val="18"/>
          <w:szCs w:val="18"/>
        </w:rPr>
        <w:t>终保持</w:t>
      </w:r>
      <w:r>
        <w:rPr>
          <w:rFonts w:ascii="STXihei" w:eastAsia="STXihei" w:hAnsi="STXihei" w:cs="STXihei"/>
          <w:spacing w:val="20"/>
          <w:w w:val="101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25%</w:t>
      </w:r>
    </w:p>
    <w:p>
      <w:pPr>
        <w:spacing w:before="104" w:line="197" w:lineRule="auto"/>
        <w:ind w:left="46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以上的增速，高端化顺利推进。</w:t>
      </w:r>
    </w:p>
    <w:p>
      <w:pPr>
        <w:pStyle w:val="BodyText"/>
        <w:spacing w:before="219" w:line="195" w:lineRule="auto"/>
        <w:ind w:left="462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23</w:t>
      </w:r>
      <w:r>
        <w:rPr>
          <w:rFonts w:ascii="STXihei" w:eastAsia="STXihei" w:hAnsi="STXihei" w:cs="STXihei"/>
          <w:spacing w:val="-1"/>
          <w:sz w:val="16"/>
          <w:szCs w:val="16"/>
        </w:rPr>
        <w:t>：汾酒省外经销收入不断增长</w:t>
      </w:r>
    </w:p>
    <w:p>
      <w:pPr>
        <w:spacing w:line="181" w:lineRule="exact"/>
      </w:pPr>
    </w:p>
    <w:p>
      <w:pPr>
        <w:spacing w:line="181" w:lineRule="exact"/>
        <w:sectPr>
          <w:headerReference w:type="default" r:id="rId271"/>
          <w:footerReference w:type="default" r:id="rId272"/>
          <w:pgSz w:w="11907" w:h="16839"/>
          <w:pgMar w:top="1350" w:right="749" w:bottom="970" w:left="408" w:header="851" w:footer="713" w:gutter="0"/>
          <w:pgNumType w:start="47"/>
          <w:cols w:num="1" w:space="708" w:equalWidth="0">
            <w:col w:w="10749" w:space="0"/>
          </w:cols>
        </w:sectPr>
      </w:pPr>
    </w:p>
    <w:p>
      <w:pPr>
        <w:pStyle w:val="BodyText"/>
        <w:spacing w:line="199" w:lineRule="auto"/>
        <w:ind w:left="590"/>
        <w:rPr>
          <w:sz w:val="16"/>
          <w:szCs w:val="16"/>
        </w:rPr>
      </w:pPr>
      <w:r>
        <w:rPr>
          <w:spacing w:val="-2"/>
          <w:sz w:val="16"/>
          <w:szCs w:val="16"/>
        </w:rPr>
        <w:t>9000</w:t>
      </w:r>
    </w:p>
    <w:p>
      <w:pPr>
        <w:pStyle w:val="BodyText"/>
        <w:spacing w:before="115" w:line="200" w:lineRule="auto"/>
        <w:ind w:left="590"/>
        <w:rPr>
          <w:sz w:val="16"/>
          <w:szCs w:val="16"/>
        </w:rPr>
      </w:pPr>
      <w:r>
        <w:rPr>
          <w:spacing w:val="-2"/>
          <w:sz w:val="16"/>
          <w:szCs w:val="16"/>
        </w:rPr>
        <w:t>8000</w:t>
      </w:r>
    </w:p>
    <w:p>
      <w:pPr>
        <w:pStyle w:val="BodyText"/>
        <w:spacing w:before="115" w:line="199" w:lineRule="auto"/>
        <w:ind w:left="591"/>
        <w:rPr>
          <w:sz w:val="16"/>
          <w:szCs w:val="16"/>
        </w:rPr>
      </w:pPr>
      <w:r>
        <w:rPr>
          <w:spacing w:val="-2"/>
          <w:sz w:val="16"/>
          <w:szCs w:val="16"/>
        </w:rPr>
        <w:t>7000</w:t>
      </w:r>
    </w:p>
    <w:p>
      <w:pPr>
        <w:pStyle w:val="BodyText"/>
        <w:spacing w:before="115" w:line="200" w:lineRule="auto"/>
        <w:ind w:left="591"/>
        <w:rPr>
          <w:sz w:val="16"/>
          <w:szCs w:val="16"/>
        </w:rPr>
      </w:pPr>
      <w:r>
        <w:rPr>
          <w:spacing w:val="-2"/>
          <w:sz w:val="16"/>
          <w:szCs w:val="16"/>
        </w:rPr>
        <w:t>6000</w:t>
      </w:r>
    </w:p>
    <w:p>
      <w:pPr>
        <w:pStyle w:val="BodyText"/>
        <w:spacing w:before="115" w:line="199" w:lineRule="auto"/>
        <w:ind w:left="589"/>
        <w:rPr>
          <w:sz w:val="16"/>
          <w:szCs w:val="16"/>
        </w:rPr>
      </w:pPr>
      <w:r>
        <w:rPr>
          <w:spacing w:val="-2"/>
          <w:sz w:val="16"/>
          <w:szCs w:val="16"/>
        </w:rPr>
        <w:t>5000</w:t>
      </w:r>
    </w:p>
    <w:p>
      <w:pPr>
        <w:pStyle w:val="BodyText"/>
        <w:spacing w:before="115" w:line="200" w:lineRule="auto"/>
        <w:ind w:left="588"/>
        <w:rPr>
          <w:sz w:val="16"/>
          <w:szCs w:val="16"/>
        </w:rPr>
      </w:pPr>
      <w:r>
        <w:rPr>
          <w:spacing w:val="-2"/>
          <w:sz w:val="16"/>
          <w:szCs w:val="16"/>
        </w:rPr>
        <w:t>4000</w:t>
      </w:r>
    </w:p>
    <w:p>
      <w:pPr>
        <w:pStyle w:val="BodyText"/>
        <w:spacing w:before="115" w:line="199" w:lineRule="auto"/>
        <w:ind w:left="589"/>
        <w:rPr>
          <w:sz w:val="16"/>
          <w:szCs w:val="16"/>
        </w:rPr>
      </w:pPr>
      <w:r>
        <w:rPr>
          <w:spacing w:val="-2"/>
          <w:sz w:val="16"/>
          <w:szCs w:val="16"/>
        </w:rPr>
        <w:t>3000</w:t>
      </w:r>
    </w:p>
    <w:p>
      <w:pPr>
        <w:pStyle w:val="BodyText"/>
        <w:spacing w:before="114" w:line="200" w:lineRule="auto"/>
        <w:ind w:left="589"/>
        <w:rPr>
          <w:sz w:val="16"/>
          <w:szCs w:val="16"/>
        </w:rPr>
      </w:pPr>
      <w:r>
        <w:rPr>
          <w:spacing w:val="-2"/>
          <w:sz w:val="16"/>
          <w:szCs w:val="16"/>
        </w:rPr>
        <w:t>2000</w:t>
      </w:r>
    </w:p>
    <w:p>
      <w:pPr>
        <w:pStyle w:val="BodyText"/>
        <w:spacing w:before="116" w:line="199" w:lineRule="auto"/>
        <w:ind w:left="600"/>
        <w:rPr>
          <w:sz w:val="16"/>
          <w:szCs w:val="16"/>
        </w:rPr>
      </w:pPr>
      <w:r>
        <w:rPr>
          <w:spacing w:val="-4"/>
          <w:sz w:val="16"/>
          <w:szCs w:val="16"/>
        </w:rPr>
        <w:t>1000</w:t>
      </w:r>
    </w:p>
    <w:p>
      <w:pPr>
        <w:pStyle w:val="BodyText"/>
        <w:spacing w:before="114" w:line="200" w:lineRule="auto"/>
        <w:ind w:left="852"/>
        <w:rPr>
          <w:sz w:val="16"/>
          <w:szCs w:val="16"/>
        </w:rPr>
      </w:pPr>
      <w:r>
        <w:rPr>
          <w:sz w:val="16"/>
          <w:szCs w:val="16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7" w:line="2407" w:lineRule="exact"/>
      </w:pPr>
      <w:r>
        <w:rPr>
          <w:position w:val="-48"/>
        </w:rPr>
        <w:drawing>
          <wp:inline distT="0" distB="0" distL="0" distR="0">
            <wp:extent cx="3531743" cy="1528426"/>
            <wp:effectExtent l="0" t="0" r="0" b="0"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3531743" cy="152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4" w:line="199" w:lineRule="auto"/>
        <w:ind w:left="288"/>
        <w:rPr>
          <w:sz w:val="16"/>
          <w:szCs w:val="16"/>
        </w:rPr>
      </w:pPr>
      <w:r>
        <w:rPr>
          <w:spacing w:val="-1"/>
          <w:sz w:val="16"/>
          <w:szCs w:val="16"/>
        </w:rPr>
        <w:t>2015             2016             2017</w:t>
      </w:r>
      <w:r>
        <w:rPr>
          <w:spacing w:val="1"/>
          <w:sz w:val="16"/>
          <w:szCs w:val="16"/>
        </w:rPr>
        <w:t xml:space="preserve">             </w:t>
      </w:r>
      <w:r>
        <w:rPr>
          <w:spacing w:val="-1"/>
          <w:sz w:val="16"/>
          <w:szCs w:val="16"/>
        </w:rPr>
        <w:t>2018</w:t>
      </w:r>
      <w:r>
        <w:rPr>
          <w:sz w:val="16"/>
          <w:szCs w:val="16"/>
        </w:rPr>
        <w:t xml:space="preserve">             </w:t>
      </w:r>
      <w:r>
        <w:rPr>
          <w:spacing w:val="-1"/>
          <w:sz w:val="16"/>
          <w:szCs w:val="16"/>
        </w:rPr>
        <w:t>2019</w:t>
      </w:r>
      <w:r>
        <w:rPr>
          <w:sz w:val="16"/>
          <w:szCs w:val="16"/>
        </w:rPr>
        <w:t xml:space="preserve">             </w:t>
      </w:r>
      <w:r>
        <w:rPr>
          <w:spacing w:val="-1"/>
          <w:sz w:val="16"/>
          <w:szCs w:val="16"/>
        </w:rPr>
        <w:t>2020</w:t>
      </w:r>
    </w:p>
    <w:p>
      <w:pPr>
        <w:spacing w:before="185" w:line="166" w:lineRule="exact"/>
        <w:ind w:left="90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position w:val="1"/>
          <w:sz w:val="16"/>
          <w:szCs w:val="16"/>
        </w:rPr>
        <w:drawing>
          <wp:inline distT="0" distB="0" distL="0" distR="0">
            <wp:extent cx="238754" cy="62252"/>
            <wp:effectExtent l="0" t="0" r="0" b="0"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238754" cy="62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省外经销收入（百万元）       </w:t>
      </w:r>
      <w:r>
        <w:rPr>
          <w:rFonts w:ascii="Microsoft YaHei" w:eastAsia="Microsoft YaHei" w:hAnsi="Microsoft YaHei" w:cs="Microsoft YaHei"/>
          <w:strike/>
          <w:spacing w:val="-5"/>
          <w:sz w:val="16"/>
          <w:szCs w:val="16"/>
        </w:rPr>
        <w:t xml:space="preserve">    </w:t>
      </w:r>
      <w:r>
        <w:rPr>
          <w:position w:val="3"/>
          <w:sz w:val="16"/>
          <w:szCs w:val="16"/>
        </w:rPr>
        <w:drawing>
          <wp:inline distT="0" distB="0" distL="0" distR="0">
            <wp:extent cx="31010" cy="31118"/>
            <wp:effectExtent l="0" t="0" r="0" b="0"/>
            <wp:docPr id="472" name="IM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 472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1010" cy="3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11"/>
          <w:sz w:val="16"/>
          <w:szCs w:val="16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>同比（右轴）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1" w:lineRule="exact"/>
        <w:ind w:left="1"/>
        <w:rPr>
          <w:sz w:val="16"/>
          <w:szCs w:val="16"/>
        </w:rPr>
      </w:pPr>
      <w:r>
        <w:rPr>
          <w:spacing w:val="-2"/>
          <w:position w:val="12"/>
          <w:sz w:val="16"/>
          <w:szCs w:val="16"/>
        </w:rPr>
        <w:t>80%</w:t>
      </w:r>
    </w:p>
    <w:p>
      <w:pPr>
        <w:pStyle w:val="BodyText"/>
        <w:spacing w:before="1" w:line="196" w:lineRule="auto"/>
        <w:ind w:left="2"/>
        <w:rPr>
          <w:sz w:val="16"/>
          <w:szCs w:val="16"/>
        </w:rPr>
      </w:pPr>
      <w:r>
        <w:rPr>
          <w:spacing w:val="-2"/>
          <w:sz w:val="16"/>
          <w:szCs w:val="16"/>
        </w:rPr>
        <w:t>70%</w:t>
      </w:r>
    </w:p>
    <w:p>
      <w:pPr>
        <w:pStyle w:val="BodyText"/>
        <w:spacing w:before="149" w:line="197" w:lineRule="auto"/>
        <w:ind w:left="2"/>
        <w:rPr>
          <w:sz w:val="16"/>
          <w:szCs w:val="16"/>
        </w:rPr>
      </w:pPr>
      <w:r>
        <w:rPr>
          <w:spacing w:val="-2"/>
          <w:sz w:val="16"/>
          <w:szCs w:val="16"/>
        </w:rPr>
        <w:t>60%</w:t>
      </w:r>
    </w:p>
    <w:p>
      <w:pPr>
        <w:pStyle w:val="BodyText"/>
        <w:spacing w:before="151" w:line="197" w:lineRule="auto"/>
        <w:ind w:left="1"/>
        <w:rPr>
          <w:sz w:val="16"/>
          <w:szCs w:val="16"/>
        </w:rPr>
      </w:pPr>
      <w:r>
        <w:rPr>
          <w:spacing w:val="-1"/>
          <w:sz w:val="16"/>
          <w:szCs w:val="16"/>
        </w:rPr>
        <w:t>50%</w:t>
      </w:r>
    </w:p>
    <w:p>
      <w:pPr>
        <w:pStyle w:val="BodyText"/>
        <w:spacing w:before="151" w:line="19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40%</w:t>
      </w:r>
    </w:p>
    <w:p>
      <w:pPr>
        <w:pStyle w:val="BodyText"/>
        <w:spacing w:before="151" w:line="19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30%</w:t>
      </w:r>
    </w:p>
    <w:p>
      <w:pPr>
        <w:pStyle w:val="BodyText"/>
        <w:spacing w:before="151" w:line="19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20%</w:t>
      </w:r>
    </w:p>
    <w:p>
      <w:pPr>
        <w:pStyle w:val="BodyText"/>
        <w:spacing w:before="150" w:line="197" w:lineRule="auto"/>
        <w:ind w:left="12"/>
        <w:rPr>
          <w:sz w:val="16"/>
          <w:szCs w:val="16"/>
        </w:rPr>
      </w:pPr>
      <w:r>
        <w:rPr>
          <w:spacing w:val="-3"/>
          <w:sz w:val="16"/>
          <w:szCs w:val="16"/>
        </w:rPr>
        <w:t>10%</w:t>
      </w:r>
    </w:p>
    <w:p>
      <w:pPr>
        <w:pStyle w:val="BodyText"/>
        <w:spacing w:before="150" w:line="197" w:lineRule="auto"/>
        <w:ind w:left="2"/>
        <w:rPr>
          <w:sz w:val="16"/>
          <w:szCs w:val="16"/>
        </w:rPr>
      </w:pPr>
      <w:r>
        <w:rPr>
          <w:spacing w:val="-2"/>
          <w:sz w:val="16"/>
          <w:szCs w:val="16"/>
        </w:rPr>
        <w:t>0%</w:t>
      </w:r>
    </w:p>
    <w:p>
      <w:pPr>
        <w:spacing w:line="197" w:lineRule="auto"/>
        <w:rPr>
          <w:sz w:val="16"/>
          <w:szCs w:val="16"/>
        </w:rPr>
        <w:sectPr>
          <w:headerReference w:type="default" r:id="rId276"/>
          <w:footerReference w:type="default" r:id="rId277"/>
          <w:type w:val="continuous"/>
          <w:pgSz w:w="11907" w:h="16839"/>
          <w:pgMar w:top="1350" w:right="749" w:bottom="970" w:left="408" w:header="851" w:footer="713" w:gutter="0"/>
          <w:pgNumType w:start="48"/>
          <w:cols w:num="3" w:space="708" w:equalWidth="0">
            <w:col w:w="975" w:space="100"/>
            <w:col w:w="5609" w:space="100"/>
            <w:col w:w="3967" w:space="0"/>
          </w:cols>
        </w:sectPr>
      </w:pPr>
    </w:p>
    <w:p>
      <w:pPr>
        <w:pStyle w:val="BodyText"/>
        <w:spacing w:line="307" w:lineRule="auto"/>
      </w:pPr>
    </w:p>
    <w:p>
      <w:pPr>
        <w:spacing w:before="45" w:line="209" w:lineRule="auto"/>
        <w:ind w:left="454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>资料来源：长江证券研究所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64" w:line="311" w:lineRule="exact"/>
        <w:ind w:left="44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水井坊大单品打造成功，内部改革提升渠道推力。</w:t>
      </w:r>
      <w:r>
        <w:rPr>
          <w:rFonts w:ascii="STXihei" w:eastAsia="STXihei" w:hAnsi="STXihei" w:cs="STXihei"/>
          <w:spacing w:val="-1"/>
          <w:position w:val="11"/>
          <w:sz w:val="18"/>
          <w:szCs w:val="18"/>
        </w:rPr>
        <w:t>水井坊臻酿八号是公司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在行业压力期</w:t>
      </w:r>
    </w:p>
    <w:p>
      <w:pPr>
        <w:spacing w:before="1" w:line="197" w:lineRule="auto"/>
        <w:ind w:left="452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1"/>
          <w:sz w:val="18"/>
          <w:szCs w:val="18"/>
        </w:rPr>
        <w:t>推出的更低价位的产品，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相对于其品牌、产品力，</w:t>
      </w:r>
      <w:r>
        <w:rPr>
          <w:rFonts w:ascii="STXihei" w:eastAsia="STXihei" w:hAnsi="STXihei" w:cs="STXihei"/>
          <w:spacing w:val="16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定价性价比较高，</w:t>
      </w:r>
      <w:r>
        <w:rPr>
          <w:rFonts w:ascii="STXihei" w:eastAsia="STXihei" w:hAnsi="STXihei" w:cs="STXihei"/>
          <w:spacing w:val="16"/>
          <w:w w:val="10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大单品有力带动业</w:t>
      </w:r>
    </w:p>
    <w:p>
      <w:pPr>
        <w:pStyle w:val="BodyText"/>
        <w:spacing w:before="105" w:line="197" w:lineRule="auto"/>
        <w:ind w:left="450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>绩增长，</w:t>
      </w:r>
      <w:r>
        <w:rPr>
          <w:rFonts w:ascii="STXihei" w:eastAsia="STXihei" w:hAnsi="STXihei" w:cs="STXihei"/>
          <w:spacing w:val="4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以八号为主体的水井坊中高端酒收入保持快速增长，  从 </w:t>
      </w:r>
      <w:r>
        <w:rPr>
          <w:spacing w:val="-6"/>
          <w:sz w:val="18"/>
          <w:szCs w:val="18"/>
        </w:rPr>
        <w:t xml:space="preserve">2016 </w:t>
      </w:r>
      <w:r>
        <w:rPr>
          <w:rFonts w:ascii="STXihei" w:eastAsia="STXihei" w:hAnsi="STXihei" w:cs="STXihei"/>
          <w:spacing w:val="-6"/>
          <w:sz w:val="18"/>
          <w:szCs w:val="18"/>
        </w:rPr>
        <w:t>年的</w:t>
      </w:r>
      <w:r>
        <w:rPr>
          <w:rFonts w:ascii="STXihei" w:eastAsia="STXihei" w:hAnsi="STXihei" w:cs="STXihei"/>
          <w:spacing w:val="20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 xml:space="preserve">11.8 </w:t>
      </w:r>
      <w:r>
        <w:rPr>
          <w:rFonts w:ascii="STXihei" w:eastAsia="STXihei" w:hAnsi="STXihei" w:cs="STXihei"/>
          <w:spacing w:val="-6"/>
          <w:sz w:val="18"/>
          <w:szCs w:val="18"/>
        </w:rPr>
        <w:t>亿元增</w:t>
      </w:r>
    </w:p>
    <w:p>
      <w:pPr>
        <w:pStyle w:val="BodyText"/>
        <w:spacing w:before="105" w:line="197" w:lineRule="auto"/>
        <w:ind w:left="45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长至</w:t>
      </w:r>
      <w:r>
        <w:rPr>
          <w:rFonts w:ascii="STXihei" w:eastAsia="STXihei" w:hAnsi="STXihei" w:cs="STXihei"/>
          <w:spacing w:val="24"/>
          <w:w w:val="10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 xml:space="preserve">2019 </w:t>
      </w:r>
      <w:r>
        <w:rPr>
          <w:rFonts w:ascii="STXihei" w:eastAsia="STXihei" w:hAnsi="STXihei" w:cs="STXihei"/>
          <w:spacing w:val="-3"/>
          <w:sz w:val="18"/>
          <w:szCs w:val="18"/>
        </w:rPr>
        <w:t>年的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 xml:space="preserve">34.9 </w:t>
      </w:r>
      <w:r>
        <w:rPr>
          <w:rFonts w:ascii="STXihei" w:eastAsia="STXihei" w:hAnsi="STXihei" w:cs="STXihei"/>
          <w:spacing w:val="-3"/>
          <w:sz w:val="18"/>
          <w:szCs w:val="18"/>
        </w:rPr>
        <w:t xml:space="preserve">亿元。  </w:t>
      </w:r>
      <w:r>
        <w:rPr>
          <w:spacing w:val="-3"/>
          <w:sz w:val="18"/>
          <w:szCs w:val="18"/>
        </w:rPr>
        <w:t>2017</w:t>
      </w:r>
      <w:r>
        <w:rPr>
          <w:spacing w:val="12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sz w:val="18"/>
          <w:szCs w:val="18"/>
        </w:rPr>
        <w:t>年公司开始深度推行新总代模式，保留了总代模式节</w:t>
      </w:r>
    </w:p>
    <w:p>
      <w:pPr>
        <w:spacing w:before="104" w:line="198" w:lineRule="auto"/>
        <w:ind w:left="45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0"/>
          <w:sz w:val="18"/>
          <w:szCs w:val="18"/>
        </w:rPr>
        <w:t>省费用、开拓市场快的优势的同时，</w:t>
      </w:r>
      <w:r>
        <w:rPr>
          <w:rFonts w:ascii="STXihei" w:eastAsia="STXihei" w:hAnsi="STXihei" w:cs="STXihei"/>
          <w:spacing w:val="1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可以及时掌握市场变化，</w:t>
      </w:r>
      <w:r>
        <w:rPr>
          <w:rFonts w:ascii="STXihei" w:eastAsia="STXihei" w:hAnsi="STXihei" w:cs="STXihei"/>
          <w:spacing w:val="16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0"/>
          <w:sz w:val="18"/>
          <w:szCs w:val="18"/>
        </w:rPr>
        <w:t>定向</w:t>
      </w:r>
      <w:r>
        <w:rPr>
          <w:rFonts w:ascii="STXihei" w:eastAsia="STXihei" w:hAnsi="STXihei" w:cs="STXihei"/>
          <w:spacing w:val="-11"/>
          <w:sz w:val="18"/>
          <w:szCs w:val="18"/>
        </w:rPr>
        <w:t>投放资金资源，   明显</w:t>
      </w:r>
    </w:p>
    <w:p>
      <w:pPr>
        <w:spacing w:before="104" w:line="197" w:lineRule="auto"/>
        <w:ind w:left="45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2"/>
          <w:sz w:val="18"/>
          <w:szCs w:val="18"/>
        </w:rPr>
        <w:t>加强了公司的管理能力和渠道推力。</w:t>
      </w:r>
    </w:p>
    <w:p>
      <w:pPr>
        <w:pStyle w:val="BodyText"/>
        <w:spacing w:before="215" w:line="199" w:lineRule="auto"/>
        <w:ind w:left="462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z w:val="16"/>
          <w:szCs w:val="16"/>
        </w:rPr>
        <w:t xml:space="preserve">图  </w:t>
      </w:r>
      <w:r>
        <w:rPr>
          <w:sz w:val="16"/>
          <w:szCs w:val="16"/>
        </w:rPr>
        <w:t>24</w:t>
      </w:r>
      <w:r>
        <w:rPr>
          <w:rFonts w:ascii="STXihei" w:eastAsia="STXihei" w:hAnsi="STXihei" w:cs="STXihei"/>
          <w:sz w:val="16"/>
          <w:szCs w:val="16"/>
        </w:rPr>
        <w:t xml:space="preserve">：水井坊中高端酒收入规模                </w:t>
      </w:r>
      <w:r>
        <w:rPr>
          <w:rFonts w:ascii="STXihei" w:eastAsia="STXihei" w:hAnsi="STXihei" w:cs="STXihei"/>
          <w:spacing w:val="-1"/>
          <w:sz w:val="16"/>
          <w:szCs w:val="16"/>
        </w:rPr>
        <w:t xml:space="preserve">                                                          图  </w:t>
      </w:r>
      <w:r>
        <w:rPr>
          <w:spacing w:val="-1"/>
          <w:sz w:val="16"/>
          <w:szCs w:val="16"/>
        </w:rPr>
        <w:t>25</w:t>
      </w:r>
      <w:r>
        <w:rPr>
          <w:rFonts w:ascii="STXihei" w:eastAsia="STXihei" w:hAnsi="STXihei" w:cs="STXihei"/>
          <w:spacing w:val="-1"/>
          <w:sz w:val="16"/>
          <w:szCs w:val="16"/>
        </w:rPr>
        <w:t>：水井坊的销售模式变化</w:t>
      </w:r>
    </w:p>
    <w:p>
      <w:pPr>
        <w:spacing w:line="182" w:lineRule="exact"/>
      </w:pPr>
    </w:p>
    <w:p>
      <w:pPr>
        <w:spacing w:line="182" w:lineRule="exact"/>
        <w:sectPr>
          <w:headerReference w:type="default" r:id="rId278"/>
          <w:footerReference w:type="default" r:id="rId279"/>
          <w:type w:val="continuous"/>
          <w:pgSz w:w="11907" w:h="16839"/>
          <w:pgMar w:top="1350" w:right="749" w:bottom="970" w:left="408" w:header="851" w:footer="713" w:gutter="0"/>
          <w:pgNumType w:start="49"/>
          <w:cols w:num="1" w:space="708" w:equalWidth="0">
            <w:col w:w="10749" w:space="0"/>
          </w:cols>
        </w:sectPr>
      </w:pPr>
    </w:p>
    <w:p>
      <w:pPr>
        <w:pStyle w:val="BodyText"/>
        <w:spacing w:line="198" w:lineRule="auto"/>
        <w:ind w:left="574"/>
        <w:rPr>
          <w:sz w:val="13"/>
          <w:szCs w:val="13"/>
        </w:rPr>
      </w:pPr>
      <w:r>
        <w:rPr>
          <w:spacing w:val="-1"/>
          <w:sz w:val="13"/>
          <w:szCs w:val="13"/>
        </w:rPr>
        <w:t>40</w:t>
      </w:r>
    </w:p>
    <w:p>
      <w:pPr>
        <w:pStyle w:val="BodyText"/>
        <w:spacing w:before="108" w:line="198" w:lineRule="auto"/>
        <w:ind w:left="574"/>
        <w:rPr>
          <w:sz w:val="13"/>
          <w:szCs w:val="13"/>
        </w:rPr>
      </w:pPr>
      <w:r>
        <w:rPr>
          <w:spacing w:val="-1"/>
          <w:sz w:val="13"/>
          <w:szCs w:val="13"/>
        </w:rPr>
        <w:t>35</w:t>
      </w:r>
    </w:p>
    <w:p>
      <w:pPr>
        <w:pStyle w:val="BodyText"/>
        <w:spacing w:before="109" w:line="198" w:lineRule="auto"/>
        <w:ind w:left="574"/>
        <w:rPr>
          <w:sz w:val="13"/>
          <w:szCs w:val="13"/>
        </w:rPr>
      </w:pPr>
      <w:r>
        <w:rPr>
          <w:spacing w:val="-1"/>
          <w:sz w:val="13"/>
          <w:szCs w:val="13"/>
        </w:rPr>
        <w:t>30</w:t>
      </w:r>
    </w:p>
    <w:p>
      <w:pPr>
        <w:pStyle w:val="BodyText"/>
        <w:spacing w:before="108" w:line="198" w:lineRule="auto"/>
        <w:ind w:left="575"/>
        <w:rPr>
          <w:sz w:val="13"/>
          <w:szCs w:val="13"/>
        </w:rPr>
      </w:pPr>
      <w:r>
        <w:rPr>
          <w:spacing w:val="-1"/>
          <w:sz w:val="13"/>
          <w:szCs w:val="13"/>
        </w:rPr>
        <w:t>25</w:t>
      </w:r>
    </w:p>
    <w:p>
      <w:pPr>
        <w:pStyle w:val="BodyText"/>
        <w:spacing w:before="109" w:line="198" w:lineRule="auto"/>
        <w:ind w:left="575"/>
        <w:rPr>
          <w:sz w:val="13"/>
          <w:szCs w:val="13"/>
        </w:rPr>
      </w:pPr>
      <w:r>
        <w:rPr>
          <w:spacing w:val="-1"/>
          <w:sz w:val="13"/>
          <w:szCs w:val="13"/>
        </w:rPr>
        <w:t>20</w:t>
      </w:r>
    </w:p>
    <w:p>
      <w:pPr>
        <w:pStyle w:val="BodyText"/>
        <w:spacing w:before="108" w:line="198" w:lineRule="auto"/>
        <w:ind w:left="584"/>
        <w:rPr>
          <w:sz w:val="13"/>
          <w:szCs w:val="13"/>
        </w:rPr>
      </w:pPr>
      <w:r>
        <w:rPr>
          <w:spacing w:val="-3"/>
          <w:sz w:val="13"/>
          <w:szCs w:val="13"/>
        </w:rPr>
        <w:t>15</w:t>
      </w:r>
    </w:p>
    <w:p>
      <w:pPr>
        <w:pStyle w:val="BodyText"/>
        <w:spacing w:before="108" w:line="198" w:lineRule="auto"/>
        <w:ind w:left="584"/>
        <w:rPr>
          <w:sz w:val="13"/>
          <w:szCs w:val="13"/>
        </w:rPr>
      </w:pPr>
      <w:r>
        <w:rPr>
          <w:spacing w:val="-3"/>
          <w:sz w:val="13"/>
          <w:szCs w:val="13"/>
        </w:rPr>
        <w:t>10</w:t>
      </w:r>
    </w:p>
    <w:p>
      <w:pPr>
        <w:pStyle w:val="BodyText"/>
        <w:spacing w:before="110" w:line="196" w:lineRule="auto"/>
        <w:ind w:left="651"/>
        <w:rPr>
          <w:sz w:val="13"/>
          <w:szCs w:val="13"/>
        </w:rPr>
      </w:pPr>
      <w:r>
        <w:rPr>
          <w:sz w:val="13"/>
          <w:szCs w:val="13"/>
        </w:rPr>
        <w:t>5</w:t>
      </w:r>
    </w:p>
    <w:p>
      <w:pPr>
        <w:pStyle w:val="BodyText"/>
        <w:spacing w:before="107" w:line="199" w:lineRule="auto"/>
        <w:ind w:left="652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line="14" w:lineRule="auto"/>
        <w:rPr>
          <w:sz w:val="2"/>
        </w:rPr>
        <w:sectPr>
          <w:headerReference w:type="default" r:id="rId280"/>
          <w:footerReference w:type="default" r:id="rId281"/>
          <w:type w:val="continuous"/>
          <w:pgSz w:w="11907" w:h="16839"/>
          <w:pgMar w:top="1350" w:right="749" w:bottom="970" w:left="408" w:header="851" w:footer="713" w:gutter="0"/>
          <w:pgNumType w:start="50"/>
          <w:cols w:num="3" w:space="708" w:equalWidth="0">
            <w:col w:w="776" w:space="100"/>
            <w:col w:w="4028" w:space="100"/>
            <w:col w:w="5746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2" w:line="1853" w:lineRule="exact"/>
      </w:pPr>
      <w:r>
        <w:rPr>
          <w:position w:val="-37"/>
        </w:rPr>
        <w:drawing>
          <wp:inline distT="0" distB="0" distL="0" distR="0">
            <wp:extent cx="2545556" cy="1176450"/>
            <wp:effectExtent l="0" t="0" r="0" b="0"/>
            <wp:docPr id="474" name="IM 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 474"/>
                    <pic:cNvPicPr/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2545556" cy="11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9" w:line="198" w:lineRule="auto"/>
        <w:ind w:left="255"/>
        <w:rPr>
          <w:sz w:val="13"/>
          <w:szCs w:val="13"/>
        </w:rPr>
      </w:pPr>
      <w:r>
        <w:rPr>
          <w:spacing w:val="-1"/>
          <w:sz w:val="13"/>
          <w:szCs w:val="13"/>
        </w:rPr>
        <w:t>201</w:t>
      </w:r>
      <w:r>
        <w:rPr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5              201</w:t>
      </w:r>
      <w:r>
        <w:rPr>
          <w:spacing w:val="-15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6              201</w:t>
      </w:r>
      <w:r>
        <w:rPr>
          <w:spacing w:val="-16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7              201</w:t>
      </w:r>
      <w:r>
        <w:rPr>
          <w:spacing w:val="-17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8              201</w:t>
      </w:r>
      <w:r>
        <w:rPr>
          <w:spacing w:val="-16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9</w:t>
      </w:r>
    </w:p>
    <w:p>
      <w:pPr>
        <w:spacing w:before="212" w:line="135" w:lineRule="exact"/>
        <w:ind w:left="450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1"/>
          <w:sz w:val="13"/>
          <w:szCs w:val="13"/>
        </w:rPr>
        <w:drawing>
          <wp:inline distT="0" distB="0" distL="0" distR="0">
            <wp:extent cx="237005" cy="52221"/>
            <wp:effectExtent l="0" t="0" r="0" b="0"/>
            <wp:docPr id="476" name="IM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 476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237005" cy="5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9"/>
          <w:w w:val="10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3"/>
          <w:szCs w:val="13"/>
        </w:rPr>
        <w:t xml:space="preserve">中高端酒收入（亿元）          </w:t>
      </w:r>
      <w:r>
        <w:rPr>
          <w:rFonts w:ascii="Microsoft YaHei" w:eastAsia="Microsoft YaHei" w:hAnsi="Microsoft YaHei" w:cs="Microsoft YaHei"/>
          <w:strike/>
          <w:spacing w:val="-4"/>
          <w:sz w:val="13"/>
          <w:szCs w:val="13"/>
        </w:rPr>
        <w:t xml:space="preserve">     </w:t>
      </w:r>
      <w:r>
        <w:rPr>
          <w:position w:val="3"/>
          <w:sz w:val="13"/>
          <w:szCs w:val="13"/>
        </w:rPr>
        <w:drawing>
          <wp:inline distT="0" distB="0" distL="0" distR="0">
            <wp:extent cx="30784" cy="30720"/>
            <wp:effectExtent l="0" t="0" r="0" b="0"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30784" cy="3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5"/>
          <w:sz w:val="13"/>
          <w:szCs w:val="13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3"/>
          <w:szCs w:val="13"/>
        </w:rPr>
        <w:t>同比（右轴）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31" w:lineRule="exact"/>
        <w:ind w:left="1"/>
        <w:rPr>
          <w:sz w:val="13"/>
          <w:szCs w:val="13"/>
        </w:rPr>
      </w:pPr>
      <w:r>
        <w:rPr>
          <w:spacing w:val="-1"/>
          <w:position w:val="9"/>
          <w:sz w:val="13"/>
          <w:szCs w:val="13"/>
        </w:rPr>
        <w:t>80%</w:t>
      </w:r>
    </w:p>
    <w:p>
      <w:pPr>
        <w:pStyle w:val="BodyText"/>
        <w:spacing w:before="1" w:line="195" w:lineRule="auto"/>
        <w:ind w:left="2"/>
        <w:rPr>
          <w:sz w:val="13"/>
          <w:szCs w:val="13"/>
        </w:rPr>
      </w:pPr>
      <w:r>
        <w:rPr>
          <w:spacing w:val="-1"/>
          <w:sz w:val="13"/>
          <w:szCs w:val="13"/>
        </w:rPr>
        <w:t>70%</w:t>
      </w:r>
    </w:p>
    <w:p>
      <w:pPr>
        <w:pStyle w:val="BodyText"/>
        <w:spacing w:before="110" w:line="195" w:lineRule="auto"/>
        <w:ind w:left="1"/>
        <w:rPr>
          <w:sz w:val="13"/>
          <w:szCs w:val="13"/>
        </w:rPr>
      </w:pPr>
      <w:r>
        <w:rPr>
          <w:spacing w:val="-1"/>
          <w:sz w:val="13"/>
          <w:szCs w:val="13"/>
        </w:rPr>
        <w:t>60%</w:t>
      </w:r>
    </w:p>
    <w:p>
      <w:pPr>
        <w:pStyle w:val="BodyText"/>
        <w:spacing w:before="110" w:line="195" w:lineRule="auto"/>
        <w:rPr>
          <w:sz w:val="13"/>
          <w:szCs w:val="13"/>
        </w:rPr>
      </w:pPr>
      <w:r>
        <w:rPr>
          <w:spacing w:val="-1"/>
          <w:sz w:val="13"/>
          <w:szCs w:val="13"/>
        </w:rPr>
        <w:t>50%</w:t>
      </w:r>
    </w:p>
    <w:p>
      <w:pPr>
        <w:pStyle w:val="BodyText"/>
        <w:spacing w:before="110" w:line="195" w:lineRule="auto"/>
        <w:rPr>
          <w:sz w:val="13"/>
          <w:szCs w:val="13"/>
        </w:rPr>
      </w:pPr>
      <w:r>
        <w:rPr>
          <w:spacing w:val="-1"/>
          <w:sz w:val="13"/>
          <w:szCs w:val="13"/>
        </w:rPr>
        <w:t>40%</w:t>
      </w:r>
    </w:p>
    <w:p>
      <w:pPr>
        <w:pStyle w:val="BodyText"/>
        <w:spacing w:before="110" w:line="195" w:lineRule="auto"/>
        <w:rPr>
          <w:sz w:val="13"/>
          <w:szCs w:val="13"/>
        </w:rPr>
      </w:pPr>
      <w:r>
        <w:rPr>
          <w:spacing w:val="-1"/>
          <w:sz w:val="13"/>
          <w:szCs w:val="13"/>
        </w:rPr>
        <w:t>30%</w:t>
      </w:r>
    </w:p>
    <w:p>
      <w:pPr>
        <w:pStyle w:val="BodyText"/>
        <w:spacing w:before="110" w:line="195" w:lineRule="auto"/>
        <w:rPr>
          <w:sz w:val="13"/>
          <w:szCs w:val="13"/>
        </w:rPr>
      </w:pPr>
      <w:r>
        <w:rPr>
          <w:spacing w:val="-1"/>
          <w:sz w:val="13"/>
          <w:szCs w:val="13"/>
        </w:rPr>
        <w:t>20%</w:t>
      </w:r>
    </w:p>
    <w:p>
      <w:pPr>
        <w:pStyle w:val="BodyText"/>
        <w:spacing w:before="110" w:line="195" w:lineRule="auto"/>
        <w:ind w:left="9"/>
        <w:rPr>
          <w:sz w:val="13"/>
          <w:szCs w:val="13"/>
        </w:rPr>
      </w:pPr>
      <w:r>
        <w:rPr>
          <w:spacing w:val="-3"/>
          <w:sz w:val="13"/>
          <w:szCs w:val="13"/>
        </w:rPr>
        <w:t>10%</w:t>
      </w:r>
    </w:p>
    <w:p>
      <w:pPr>
        <w:pStyle w:val="BodyText"/>
        <w:spacing w:before="109" w:line="196" w:lineRule="auto"/>
        <w:ind w:left="1"/>
        <w:rPr>
          <w:sz w:val="13"/>
          <w:szCs w:val="13"/>
        </w:rPr>
      </w:pPr>
      <w:r>
        <w:rPr>
          <w:spacing w:val="-1"/>
          <w:sz w:val="13"/>
          <w:szCs w:val="13"/>
        </w:rPr>
        <w:t>0%</w:t>
      </w:r>
    </w:p>
    <w:p>
      <w:pPr>
        <w:spacing w:line="196" w:lineRule="auto"/>
        <w:rPr>
          <w:sz w:val="13"/>
          <w:szCs w:val="13"/>
        </w:rPr>
        <w:sectPr>
          <w:headerReference w:type="default" r:id="rId285"/>
          <w:footerReference w:type="default" r:id="rId286"/>
          <w:type w:val="nextPage"/>
          <w:pgSz w:w="11907" w:h="16839"/>
          <w:pgMar w:top="1350" w:right="749" w:bottom="970" w:left="408" w:header="851" w:footer="713" w:gutter="0"/>
          <w:pgNumType w:start="51"/>
          <w:cols w:num="3" w:space="708" w:equalWidth="0">
            <w:col w:w="776" w:space="100"/>
            <w:col w:w="4028" w:space="100"/>
            <w:col w:w="5746" w:space="0"/>
          </w:cols>
          <w:titlePg w:val="0"/>
        </w:sectPr>
      </w:pPr>
    </w:p>
    <w:p>
      <w:pPr>
        <w:pStyle w:val="BodyText"/>
        <w:spacing w:line="292" w:lineRule="auto"/>
      </w:pPr>
    </w:p>
    <w:p>
      <w:pPr>
        <w:spacing w:before="46" w:line="215" w:lineRule="auto"/>
        <w:ind w:left="454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6"/>
          <w:sz w:val="13"/>
          <w:szCs w:val="13"/>
        </w:rPr>
        <w:t>资料来源：</w:t>
      </w:r>
      <w:r>
        <w:rPr>
          <w:rFonts w:ascii="STXihei" w:eastAsia="STXihei" w:hAnsi="STXihei" w:cs="STXihei"/>
          <w:spacing w:val="-10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6"/>
          <w:sz w:val="13"/>
          <w:szCs w:val="13"/>
        </w:rPr>
        <w:t>公司公告，</w:t>
      </w:r>
      <w:r>
        <w:rPr>
          <w:rFonts w:ascii="STXihei" w:eastAsia="STXihei" w:hAnsi="STXihei" w:cs="STXihei"/>
          <w:spacing w:val="10"/>
          <w:w w:val="102"/>
          <w:sz w:val="13"/>
          <w:szCs w:val="13"/>
        </w:rPr>
        <w:t xml:space="preserve">  </w:t>
      </w:r>
      <w:r>
        <w:rPr>
          <w:rFonts w:ascii="STXihei" w:eastAsia="STXihei" w:hAnsi="STXihei" w:cs="STXihei"/>
          <w:spacing w:val="6"/>
          <w:sz w:val="13"/>
          <w:szCs w:val="13"/>
        </w:rPr>
        <w:t>长江证券研究所</w:t>
      </w:r>
      <w:r>
        <w:rPr>
          <w:rFonts w:ascii="STXihei" w:eastAsia="STXihei" w:hAnsi="STXihei" w:cs="STXihei"/>
          <w:sz w:val="13"/>
          <w:szCs w:val="13"/>
        </w:rPr>
        <w:t xml:space="preserve">                                                                                        </w:t>
      </w:r>
      <w:r>
        <w:rPr>
          <w:rFonts w:ascii="STXihei" w:eastAsia="STXihei" w:hAnsi="STXihei" w:cs="STXihei"/>
          <w:spacing w:val="6"/>
          <w:sz w:val="13"/>
          <w:szCs w:val="13"/>
        </w:rPr>
        <w:t>资料来源：微</w:t>
      </w:r>
      <w:r>
        <w:rPr>
          <w:rFonts w:ascii="STXihei" w:eastAsia="STXihei" w:hAnsi="STXihei" w:cs="STXihei"/>
          <w:spacing w:val="5"/>
          <w:sz w:val="13"/>
          <w:szCs w:val="13"/>
        </w:rPr>
        <w:t>酒，长江证券研究所</w:t>
      </w: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pStyle w:val="BodyText"/>
        <w:spacing w:before="63" w:line="313" w:lineRule="exact"/>
        <w:ind w:left="453"/>
        <w:rPr>
          <w:sz w:val="18"/>
          <w:szCs w:val="18"/>
        </w:rPr>
      </w:pPr>
      <w:r>
        <w:rPr>
          <w:rFonts w:ascii="STXihei" w:eastAsia="STXihei" w:hAnsi="STXihei" w:cs="STXihei"/>
          <w:spacing w:val="-3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总结来看</w:t>
      </w:r>
      <w:r>
        <w:rPr>
          <w:rFonts w:ascii="STXihei" w:eastAsia="STXihei" w:hAnsi="STXihei" w:cs="STXihei"/>
          <w:spacing w:val="-9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3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，本轮次高端机会遵循行业复苏从头部向次高端价</w:t>
      </w: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位扩散的规律</w:t>
      </w:r>
      <w:r>
        <w:rPr>
          <w:rFonts w:ascii="STXihei" w:eastAsia="STXihei" w:hAnsi="STXihei" w:cs="STXihei"/>
          <w:spacing w:val="-23"/>
          <w:position w:val="11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4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4"/>
          <w:position w:val="11"/>
          <w:sz w:val="18"/>
          <w:szCs w:val="18"/>
        </w:rPr>
        <w:t>首先，</w:t>
      </w:r>
      <w:r>
        <w:rPr>
          <w:rFonts w:ascii="STXihei" w:eastAsia="STXihei" w:hAnsi="STXihei" w:cs="STXihei"/>
          <w:spacing w:val="42"/>
          <w:w w:val="101"/>
          <w:position w:val="11"/>
          <w:sz w:val="18"/>
          <w:szCs w:val="18"/>
        </w:rPr>
        <w:t xml:space="preserve"> </w:t>
      </w:r>
      <w:r>
        <w:rPr>
          <w:spacing w:val="-4"/>
          <w:position w:val="11"/>
          <w:sz w:val="18"/>
          <w:szCs w:val="18"/>
        </w:rPr>
        <w:t>300</w:t>
      </w:r>
    </w:p>
    <w:p>
      <w:pPr>
        <w:pStyle w:val="BodyText"/>
        <w:spacing w:before="1" w:line="197" w:lineRule="auto"/>
        <w:ind w:left="45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元次高端价位替代原来</w:t>
      </w:r>
      <w:r>
        <w:rPr>
          <w:rFonts w:ascii="STXihei" w:eastAsia="STXihei" w:hAnsi="STXihei" w:cs="STXihei"/>
          <w:spacing w:val="27"/>
          <w:w w:val="101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 xml:space="preserve">100-200 </w:t>
      </w:r>
      <w:r>
        <w:rPr>
          <w:rFonts w:ascii="STXihei" w:eastAsia="STXihei" w:hAnsi="STXihei" w:cs="STXihei"/>
          <w:spacing w:val="-8"/>
          <w:sz w:val="18"/>
          <w:szCs w:val="18"/>
        </w:rPr>
        <w:t>元中高价位，</w:t>
      </w:r>
      <w:r>
        <w:rPr>
          <w:rFonts w:ascii="STXihei" w:eastAsia="STXihei" w:hAnsi="STXihei" w:cs="STXihei"/>
          <w:spacing w:val="10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成为新商务主流价位，</w:t>
      </w:r>
      <w:r>
        <w:rPr>
          <w:rFonts w:ascii="STXihei" w:eastAsia="STXihei" w:hAnsi="STXihei" w:cs="STXihei"/>
          <w:spacing w:val="1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8"/>
          <w:sz w:val="18"/>
          <w:szCs w:val="18"/>
        </w:rPr>
        <w:t>剑南春、水井坊等</w:t>
      </w:r>
    </w:p>
    <w:p>
      <w:pPr>
        <w:spacing w:before="103" w:line="163" w:lineRule="auto"/>
        <w:ind w:left="44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在该价格带有产品、品牌布局的企业收获高速成长。而本轮价格提升是</w:t>
      </w:r>
      <w:r>
        <w:rPr>
          <w:rFonts w:ascii="STXihei" w:eastAsia="STXihei" w:hAnsi="STXihei" w:cs="STXihei"/>
          <w:spacing w:val="-2"/>
          <w:sz w:val="18"/>
          <w:szCs w:val="18"/>
        </w:rPr>
        <w:t>消费需求自上而</w:t>
      </w:r>
    </w:p>
    <w:p>
      <w:pPr>
        <w:spacing w:line="163" w:lineRule="auto"/>
        <w:rPr>
          <w:rFonts w:ascii="STXihei" w:eastAsia="STXihei" w:hAnsi="STXihei" w:cs="STXihei"/>
          <w:sz w:val="18"/>
          <w:szCs w:val="18"/>
        </w:rPr>
        <w:sectPr>
          <w:headerReference w:type="default" r:id="rId287"/>
          <w:footerReference w:type="default" r:id="rId288"/>
          <w:type w:val="continuous"/>
          <w:pgSz w:w="11907" w:h="16839"/>
          <w:pgMar w:top="1350" w:right="749" w:bottom="970" w:left="408" w:header="851" w:footer="713" w:gutter="0"/>
          <w:pgNumType w:start="52"/>
          <w:cols w:num="1" w:space="708" w:equalWidth="0">
            <w:col w:w="10749" w:space="0"/>
          </w:cols>
        </w:sectPr>
      </w:pPr>
    </w:p>
    <w:p>
      <w:pPr>
        <w:pStyle w:val="BodyText"/>
        <w:spacing w:line="321" w:lineRule="auto"/>
      </w:pPr>
      <w:r>
        <w:pict>
          <v:rect id="_x0000_s1281" style="width:228.4pt;height:19.15pt;margin-top:593.12pt;margin-left:314.59pt;mso-position-horizontal-relative:page;mso-position-vertical-relative:page;position:absolute;z-index:251870208" o:allowincell="f" filled="t" fillcolor="#e20000" stroked="f"/>
        </w:pict>
      </w:r>
      <w:r>
        <w:drawing>
          <wp:anchor distT="0" distB="0" distL="0" distR="0" simplePos="0" relativeHeight="251869184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7518654</wp:posOffset>
            </wp:positionV>
            <wp:extent cx="3150742" cy="6350"/>
            <wp:effectExtent l="0" t="0" r="0" b="0"/>
            <wp:wrapNone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0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9260967</wp:posOffset>
            </wp:positionV>
            <wp:extent cx="3150742" cy="6350"/>
            <wp:effectExtent l="0" t="0" r="0" b="0"/>
            <wp:wrapNone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1507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82" style="width:2.9pt;height:89.5pt;margin-top:602.49pt;margin-left:70.88pt;mso-position-horizontal-relative:page;mso-position-vertical-relative:page;position:absolute;z-index:-251451392" coordorigin="0,0" coordsize="58,1790" o:allowincell="f" path="m7,1782l7,7m7,1782l50,1782m7,1597l50,1597m7,1398l50,1398m7,1200l50,1200m7,1001l50,1001m7,802l50,802m7,603l50,603m7,404l50,404m7,205l50,205m7,7l50,7e" filled="f" strokecolor="black" strokeweight="0.71pt"/>
        </w:pict>
      </w:r>
      <w:r>
        <w:pict>
          <v:shape id="_x0000_s1283" type="#_x0000_t202" style="width:16.5pt;height:77.35pt;margin-top:619.2pt;margin-left:50.44pt;mso-position-horizontal-relative:page;mso-position-vertical-relative:page;position:absolute;z-index:2518671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100</w:t>
                  </w:r>
                  <w:r>
                    <w:rPr>
                      <w:spacing w:val="-12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0</w:t>
                  </w:r>
                </w:p>
                <w:p>
                  <w:pPr>
                    <w:pStyle w:val="BodyText"/>
                    <w:spacing w:before="77" w:line="209" w:lineRule="auto"/>
                    <w:ind w:left="86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900</w:t>
                  </w:r>
                </w:p>
                <w:p>
                  <w:pPr>
                    <w:pStyle w:val="BodyText"/>
                    <w:spacing w:before="78" w:line="208" w:lineRule="auto"/>
                    <w:ind w:left="86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800</w:t>
                  </w:r>
                </w:p>
                <w:p>
                  <w:pPr>
                    <w:pStyle w:val="BodyText"/>
                    <w:spacing w:before="79" w:line="208" w:lineRule="auto"/>
                    <w:ind w:left="87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700</w:t>
                  </w:r>
                </w:p>
                <w:p>
                  <w:pPr>
                    <w:pStyle w:val="BodyText"/>
                    <w:spacing w:before="77" w:line="209" w:lineRule="auto"/>
                    <w:ind w:left="87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600</w:t>
                  </w:r>
                </w:p>
                <w:p>
                  <w:pPr>
                    <w:pStyle w:val="BodyText"/>
                    <w:spacing w:before="79" w:line="208" w:lineRule="auto"/>
                    <w:ind w:left="86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500</w:t>
                  </w:r>
                </w:p>
                <w:p>
                  <w:pPr>
                    <w:pStyle w:val="BodyText"/>
                    <w:spacing w:before="79" w:line="208" w:lineRule="auto"/>
                    <w:ind w:left="85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400</w:t>
                  </w:r>
                </w:p>
                <w:p>
                  <w:pPr>
                    <w:pStyle w:val="BodyText"/>
                    <w:spacing w:before="78" w:line="208" w:lineRule="auto"/>
                    <w:ind w:left="86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300</w:t>
                  </w:r>
                </w:p>
              </w:txbxContent>
            </v:textbox>
          </v:shape>
        </w:pict>
      </w:r>
      <w:r>
        <w:pict>
          <v:shape id="_x0000_s1284" style="width:207.05pt;height:1.8pt;margin-top:690.19pt;margin-left:70.88pt;mso-position-horizontal-relative:page;mso-position-vertical-relative:page;position:absolute;z-index:-251450368" coordorigin="0,0" coordsize="4141,35" o:allowincell="f" path="m7,28l4140,28m7,l7,28m509,l509,28m997,l997,28m1499,l1499,28m1987,l1987,28m2490,l2490,28m2978,l2978,28m3480,l3480,28m3968,l3968,28e" filled="f" strokecolor="black" strokeweight="0.71pt"/>
        </w:pict>
      </w:r>
      <w:r>
        <w:pict>
          <v:shape id="_x0000_s1285" type="#_x0000_t202" style="width:250.1pt;height:139.2pt;margin-top:591.03pt;margin-left:303.85pt;mso-position-horizontal-relative:page;mso-position-vertical-relative:page;position:absolute;z-index:2518712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4961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245"/>
                    <w:gridCol w:w="984"/>
                    <w:gridCol w:w="1347"/>
                    <w:gridCol w:w="1385"/>
                  </w:tblGrid>
                  <w:tr>
                    <w:tblPrEx>
                      <w:tblW w:w="4961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780"/>
                    </w:trPr>
                    <w:tc>
                      <w:tcPr>
                        <w:tcW w:w="1245" w:type="dxa"/>
                        <w:vMerge w:val="restart"/>
                        <w:tcBorders>
                          <w:top w:val="single" w:sz="2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34" w:line="185" w:lineRule="auto"/>
                          <w:ind w:left="44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1"/>
                            <w:sz w:val="14"/>
                            <w:szCs w:val="14"/>
                          </w:rPr>
                          <w:t>上市时间</w:t>
                        </w:r>
                      </w:p>
                      <w:p>
                        <w:pPr>
                          <w:spacing w:line="33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0" w:line="174" w:lineRule="auto"/>
                          <w:ind w:left="56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4"/>
                            <w:szCs w:val="14"/>
                          </w:rPr>
                          <w:t>2018</w:t>
                        </w:r>
                      </w:p>
                      <w:p>
                        <w:pPr>
                          <w:spacing w:line="3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0" w:line="174" w:lineRule="auto"/>
                          <w:ind w:left="56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4"/>
                            <w:szCs w:val="14"/>
                          </w:rPr>
                          <w:t>2019</w:t>
                        </w:r>
                      </w:p>
                      <w:p>
                        <w:pPr>
                          <w:spacing w:before="212" w:line="174" w:lineRule="auto"/>
                          <w:ind w:left="56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4"/>
                            <w:szCs w:val="14"/>
                          </w:rPr>
                          <w:t>2020</w:t>
                        </w:r>
                      </w:p>
                      <w:p>
                        <w:pPr>
                          <w:spacing w:line="33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0" w:line="174" w:lineRule="auto"/>
                          <w:ind w:left="56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4"/>
                            <w:szCs w:val="14"/>
                          </w:rPr>
                          <w:t>2021</w:t>
                        </w:r>
                      </w:p>
                    </w:tc>
                    <w:tc>
                      <w:tcPr>
                        <w:tcW w:w="984" w:type="dxa"/>
                        <w:tcBorders>
                          <w:top w:val="single" w:sz="2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7" w:line="182" w:lineRule="auto"/>
                          <w:ind w:left="379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z w:val="14"/>
                            <w:szCs w:val="14"/>
                          </w:rPr>
                          <w:t>公司</w:t>
                        </w:r>
                      </w:p>
                      <w:p>
                        <w:pPr>
                          <w:spacing w:before="204" w:line="184" w:lineRule="auto"/>
                          <w:ind w:left="236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古井贡酒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2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4" w:line="185" w:lineRule="auto"/>
                          <w:ind w:left="601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1"/>
                            <w:sz w:val="14"/>
                            <w:szCs w:val="14"/>
                          </w:rPr>
                          <w:t>产品</w:t>
                        </w:r>
                      </w:p>
                      <w:p>
                        <w:pPr>
                          <w:spacing w:before="203" w:line="185" w:lineRule="auto"/>
                          <w:ind w:left="376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年份原浆20</w:t>
                        </w:r>
                      </w:p>
                    </w:tc>
                    <w:tc>
                      <w:tcPr>
                        <w:tcW w:w="1385" w:type="dxa"/>
                        <w:vMerge w:val="restart"/>
                        <w:tcBorders>
                          <w:top w:val="single" w:sz="2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31" w:line="185" w:lineRule="auto"/>
                          <w:ind w:left="22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z w:val="14"/>
                            <w:szCs w:val="14"/>
                          </w:rPr>
                          <w:t>24年2月批价</w:t>
                        </w:r>
                      </w:p>
                      <w:p>
                        <w:pPr>
                          <w:spacing w:before="33" w:line="176" w:lineRule="auto"/>
                          <w:ind w:left="441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-8"/>
                            <w:sz w:val="14"/>
                            <w:szCs w:val="14"/>
                          </w:rPr>
                          <w:t>（元）</w:t>
                        </w:r>
                      </w:p>
                      <w:p>
                        <w:pPr>
                          <w:spacing w:before="97" w:line="387" w:lineRule="exact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position w:val="19"/>
                            <w:sz w:val="14"/>
                            <w:szCs w:val="14"/>
                          </w:rPr>
                          <w:t>约540</w:t>
                        </w:r>
                      </w:p>
                      <w:p>
                        <w:pPr>
                          <w:spacing w:line="184" w:lineRule="auto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约600</w:t>
                        </w:r>
                      </w:p>
                      <w:p>
                        <w:pPr>
                          <w:spacing w:before="201" w:line="185" w:lineRule="auto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约610</w:t>
                        </w:r>
                      </w:p>
                      <w:p>
                        <w:pPr>
                          <w:spacing w:before="201" w:line="185" w:lineRule="auto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约700</w:t>
                        </w:r>
                      </w:p>
                      <w:p>
                        <w:pPr>
                          <w:spacing w:before="202" w:line="185" w:lineRule="auto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约500</w:t>
                        </w:r>
                      </w:p>
                      <w:p>
                        <w:pPr>
                          <w:spacing w:before="201" w:line="185" w:lineRule="auto"/>
                          <w:ind w:left="445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约510</w:t>
                        </w:r>
                      </w:p>
                    </w:tc>
                  </w:tr>
                  <w:tr>
                    <w:tblPrEx>
                      <w:tblW w:w="4961" w:type="dxa"/>
                      <w:tblInd w:w="20" w:type="dxa"/>
                      <w:tblLayout w:type="fixed"/>
                    </w:tblPrEx>
                    <w:trPr>
                      <w:trHeight w:val="372"/>
                    </w:trPr>
                    <w:tc>
                      <w:tcPr>
                        <w:tcW w:w="124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84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20" w:line="184" w:lineRule="auto"/>
                          <w:ind w:left="306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2"/>
                            <w:sz w:val="14"/>
                            <w:szCs w:val="14"/>
                          </w:rPr>
                          <w:t>今世缘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21" w:line="183" w:lineRule="auto"/>
                          <w:ind w:left="519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4"/>
                            <w:szCs w:val="14"/>
                          </w:rPr>
                          <w:t>国缘V3</w:t>
                        </w:r>
                      </w:p>
                    </w:tc>
                    <w:tc>
                      <w:tcPr>
                        <w:tcW w:w="138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961" w:type="dxa"/>
                      <w:tblInd w:w="20" w:type="dxa"/>
                      <w:tblLayout w:type="fixed"/>
                    </w:tblPrEx>
                    <w:trPr>
                      <w:trHeight w:val="372"/>
                    </w:trPr>
                    <w:tc>
                      <w:tcPr>
                        <w:tcW w:w="124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84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24" w:line="185" w:lineRule="auto"/>
                          <w:ind w:left="378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洋河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5" w:line="174" w:lineRule="auto"/>
                          <w:ind w:left="591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4"/>
                            <w:szCs w:val="14"/>
                          </w:rPr>
                          <w:t>M6+</w:t>
                        </w:r>
                      </w:p>
                    </w:tc>
                    <w:tc>
                      <w:tcPr>
                        <w:tcW w:w="138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961" w:type="dxa"/>
                      <w:tblInd w:w="20" w:type="dxa"/>
                      <w:tblLayout w:type="fixed"/>
                    </w:tblPrEx>
                    <w:trPr>
                      <w:trHeight w:val="372"/>
                    </w:trPr>
                    <w:tc>
                      <w:tcPr>
                        <w:tcW w:w="124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84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29" w:line="185" w:lineRule="auto"/>
                          <w:ind w:left="236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舍得酒业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29" w:line="185" w:lineRule="auto"/>
                          <w:ind w:left="182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2"/>
                            <w:sz w:val="14"/>
                            <w:szCs w:val="14"/>
                          </w:rPr>
                          <w:t>品味舍得（藏品）</w:t>
                        </w:r>
                      </w:p>
                    </w:tc>
                    <w:tc>
                      <w:tcPr>
                        <w:tcW w:w="138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961" w:type="dxa"/>
                      <w:tblInd w:w="20" w:type="dxa"/>
                      <w:tblLayout w:type="fixed"/>
                    </w:tblPrEx>
                    <w:trPr>
                      <w:trHeight w:val="372"/>
                    </w:trPr>
                    <w:tc>
                      <w:tcPr>
                        <w:tcW w:w="124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84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4" w:line="185" w:lineRule="auto"/>
                          <w:ind w:left="321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3"/>
                            <w:sz w:val="14"/>
                            <w:szCs w:val="14"/>
                          </w:rPr>
                          <w:t>口子窖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4" w:line="185" w:lineRule="auto"/>
                          <w:ind w:left="474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兼香518</w:t>
                        </w:r>
                      </w:p>
                    </w:tc>
                    <w:tc>
                      <w:tcPr>
                        <w:tcW w:w="1385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961" w:type="dxa"/>
                      <w:tblInd w:w="20" w:type="dxa"/>
                      <w:tblLayout w:type="fixed"/>
                    </w:tblPrEx>
                    <w:trPr>
                      <w:trHeight w:val="410"/>
                    </w:trPr>
                    <w:tc>
                      <w:tcPr>
                        <w:tcW w:w="1245" w:type="dxa"/>
                        <w:vMerge/>
                        <w:tcBorders>
                          <w:top w:val="nil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84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8" w:line="185" w:lineRule="auto"/>
                          <w:ind w:left="307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水井坊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spacing w:before="137" w:line="186" w:lineRule="auto"/>
                          <w:ind w:left="459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"/>
                            <w:sz w:val="14"/>
                            <w:szCs w:val="14"/>
                          </w:rPr>
                          <w:t>新版井台</w:t>
                        </w:r>
                      </w:p>
                    </w:tc>
                    <w:tc>
                      <w:tcPr>
                        <w:tcW w:w="1385" w:type="dxa"/>
                        <w:vMerge/>
                        <w:tcBorders>
                          <w:top w:val="nil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64064" behindDoc="1" locked="0" layoutInCell="0" allowOverlap="1">
            <wp:simplePos x="0" y="0"/>
            <wp:positionH relativeFrom="page">
              <wp:posOffset>541020</wp:posOffset>
            </wp:positionH>
            <wp:positionV relativeFrom="page">
              <wp:posOffset>2300605</wp:posOffset>
            </wp:positionV>
            <wp:extent cx="4318634" cy="1746250"/>
            <wp:effectExtent l="0" t="0" r="0" b="0"/>
            <wp:wrapNone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4318634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1" w:lineRule="auto"/>
      </w:pPr>
    </w:p>
    <w:p>
      <w:pPr>
        <w:spacing w:before="63" w:line="311" w:lineRule="exact"/>
        <w:ind w:left="2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position w:val="11"/>
          <w:sz w:val="18"/>
          <w:szCs w:val="18"/>
        </w:rPr>
        <w:t xml:space="preserve">下驱动的，  故次高端持续扩容、高速增长的趋势更加延续、稳定；   之后， </w:t>
      </w:r>
      <w:r>
        <w:rPr>
          <w:rFonts w:ascii="STXihei" w:eastAsia="STXihei" w:hAnsi="STXihei" w:cs="STXihei"/>
          <w:spacing w:val="-9"/>
          <w:position w:val="11"/>
          <w:sz w:val="18"/>
          <w:szCs w:val="18"/>
        </w:rPr>
        <w:t xml:space="preserve"> 本轮次高端周</w:t>
      </w:r>
    </w:p>
    <w:p>
      <w:pPr>
        <w:pStyle w:val="BodyText"/>
        <w:spacing w:line="197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z w:val="18"/>
          <w:szCs w:val="18"/>
        </w:rPr>
        <w:t xml:space="preserve">期在 </w:t>
      </w:r>
      <w:r>
        <w:rPr>
          <w:sz w:val="18"/>
          <w:szCs w:val="18"/>
        </w:rPr>
        <w:t xml:space="preserve">2018 </w:t>
      </w:r>
      <w:r>
        <w:rPr>
          <w:rFonts w:ascii="STXihei" w:eastAsia="STXihei" w:hAnsi="STXihei" w:cs="STXihei"/>
          <w:sz w:val="18"/>
          <w:szCs w:val="18"/>
        </w:rPr>
        <w:t>年后逐渐由需求驱动转型至企业主导型，拥有更加成熟管理和营销优势</w:t>
      </w:r>
      <w:r>
        <w:rPr>
          <w:rFonts w:ascii="STXihei" w:eastAsia="STXihei" w:hAnsi="STXihei" w:cs="STXihei"/>
          <w:spacing w:val="-1"/>
          <w:sz w:val="18"/>
          <w:szCs w:val="18"/>
        </w:rPr>
        <w:t>的区</w:t>
      </w:r>
    </w:p>
    <w:p>
      <w:pPr>
        <w:spacing w:before="103" w:line="198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域龙头沿着行业发展趋势，</w:t>
      </w:r>
      <w:r>
        <w:rPr>
          <w:rFonts w:ascii="STXihei" w:eastAsia="STXihei" w:hAnsi="STXihei" w:cs="STXihei"/>
          <w:spacing w:val="36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sz w:val="18"/>
          <w:szCs w:val="18"/>
        </w:rPr>
        <w:t>将资源和营销模式等向次高端转移，加快了次高端的成长，</w:t>
      </w:r>
    </w:p>
    <w:p>
      <w:pPr>
        <w:spacing w:before="104" w:line="198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>行业挤压竞争逐步开始。</w:t>
      </w:r>
    </w:p>
    <w:p>
      <w:pPr>
        <w:pStyle w:val="BodyText"/>
        <w:spacing w:before="215" w:line="198" w:lineRule="auto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26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 xml:space="preserve">2017-2018 </w:t>
      </w:r>
      <w:r>
        <w:rPr>
          <w:rFonts w:ascii="STXihei" w:eastAsia="STXihei" w:hAnsi="STXihei" w:cs="STXihei"/>
          <w:spacing w:val="-1"/>
          <w:sz w:val="16"/>
          <w:szCs w:val="16"/>
        </w:rPr>
        <w:t>年次高端景气期的行业变化</w:t>
      </w:r>
    </w:p>
    <w:p>
      <w:pPr>
        <w:spacing w:before="8" w:line="2785" w:lineRule="exact"/>
        <w:ind w:firstLine="9"/>
      </w:pPr>
      <w:r>
        <w:rPr>
          <w:position w:val="-55"/>
        </w:rPr>
        <w:pict>
          <v:group id="_x0000_i1286" style="width:340.15pt;height:139.25pt;mso-position-horizontal-relative:char;mso-position-vertical-relative:line" coordorigin="0,0" coordsize="6802,2785" filled="f" stroked="f">
            <v:rect id="_x0000_s1287" style="width:6802;height:10;position:absolute" filled="t" fillcolor="black" stroked="f"/>
            <v:rect id="_x0000_s1288" style="width:6802;height:10;position:absolute;top:2775" filled="t" fillcolor="black" stroked="f"/>
            <w10:wrap type="none"/>
          </v:group>
        </w:pict>
      </w:r>
    </w:p>
    <w:p>
      <w:pPr>
        <w:spacing w:before="150" w:line="209" w:lineRule="auto"/>
        <w:ind w:left="20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>资料来源：长江证券研究所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before="91" w:line="213" w:lineRule="auto"/>
        <w:ind w:left="17"/>
        <w:rPr>
          <w:rFonts w:ascii="SimHei" w:eastAsia="SimHei" w:hAnsi="SimHei" w:cs="SimHei"/>
          <w:sz w:val="28"/>
          <w:szCs w:val="28"/>
        </w:rPr>
      </w:pPr>
      <w:bookmarkStart w:id="39" w:name="bookmark41"/>
      <w:bookmarkEnd w:id="39"/>
      <w:bookmarkStart w:id="40" w:name="bookmark42"/>
      <w:bookmarkEnd w:id="40"/>
      <w:bookmarkStart w:id="41" w:name="bookmark7"/>
      <w:bookmarkEnd w:id="41"/>
      <w:r>
        <w:rPr>
          <w:color w:val="E10000"/>
          <w:spacing w:val="-6"/>
          <w:sz w:val="28"/>
          <w:szCs w:val="28"/>
        </w:rPr>
        <w:t xml:space="preserve">2020-2021 </w:t>
      </w:r>
      <w:r>
        <w:rPr>
          <w:rFonts w:ascii="SimHei" w:eastAsia="SimHei" w:hAnsi="SimHei" w:cs="SimHei"/>
          <w:color w:val="E10000"/>
          <w:spacing w:val="-6"/>
          <w:sz w:val="28"/>
          <w:szCs w:val="28"/>
        </w:rPr>
        <w:t>年：价格带升级裂变，</w:t>
      </w:r>
      <w:r>
        <w:rPr>
          <w:rFonts w:ascii="SimHei" w:eastAsia="SimHei" w:hAnsi="SimHei" w:cs="SimHei"/>
          <w:color w:val="E10000"/>
          <w:spacing w:val="-6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E10000"/>
          <w:spacing w:val="-6"/>
          <w:sz w:val="28"/>
          <w:szCs w:val="28"/>
        </w:rPr>
        <w:t>酱酒成为新亮点</w:t>
      </w:r>
    </w:p>
    <w:p>
      <w:pPr>
        <w:spacing w:before="183" w:line="313" w:lineRule="exact"/>
        <w:ind w:left="17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本轮次高端的景气周期演进过程和之前的情况类似，</w:t>
      </w:r>
      <w:r>
        <w:rPr>
          <w:rFonts w:ascii="STXihei" w:eastAsia="STXihei" w:hAnsi="STXihei" w:cs="STXihei"/>
          <w:spacing w:val="28"/>
          <w:position w:val="11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5"/>
          <w:position w:val="11"/>
          <w:sz w:val="18"/>
          <w:szCs w:val="18"/>
        </w:rPr>
        <w:t>宏观政策从“去杠杆”转为“稳杠</w:t>
      </w:r>
    </w:p>
    <w:p>
      <w:pPr>
        <w:spacing w:before="1" w:line="197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0"/>
          <w:sz w:val="18"/>
          <w:szCs w:val="18"/>
        </w:rPr>
        <w:t>杆”，企业信心恢复、消费预期转暖，  全国进入新一轮的消费升级，</w:t>
      </w:r>
      <w:r>
        <w:rPr>
          <w:rFonts w:ascii="STXihei" w:eastAsia="STXihei" w:hAnsi="STXihei" w:cs="STXihei"/>
          <w:spacing w:val="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11"/>
          <w:sz w:val="18"/>
          <w:szCs w:val="18"/>
        </w:rPr>
        <w:t>高端酒价格持续上升</w:t>
      </w:r>
    </w:p>
    <w:p>
      <w:pPr>
        <w:spacing w:before="102" w:line="199" w:lineRule="auto"/>
        <w:ind w:left="15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8"/>
          <w:sz w:val="18"/>
          <w:szCs w:val="18"/>
        </w:rPr>
        <w:t>和经济指标回暖成为“发令枪”，次高端酒企赢得快速扩张机会，  之后在需求压制和国际</w:t>
      </w:r>
    </w:p>
    <w:p>
      <w:pPr>
        <w:spacing w:before="104" w:line="198" w:lineRule="auto"/>
        <w:ind w:left="19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3"/>
          <w:sz w:val="18"/>
          <w:szCs w:val="18"/>
        </w:rPr>
        <w:t xml:space="preserve">形势不稳定的作用下景气度受到影响，  </w:t>
      </w:r>
      <w:r>
        <w:rPr>
          <w:rFonts w:ascii="STXihei" w:eastAsia="STXihei" w:hAnsi="STXihei" w:cs="STXi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不同的是次高</w:t>
      </w:r>
      <w:r>
        <w:rPr>
          <w:rFonts w:ascii="STXihei" w:eastAsia="STXihei" w:hAnsi="STXihei" w:cs="STXi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端新价格带孕育和酱酒热两大特征。</w:t>
      </w:r>
    </w:p>
    <w:p>
      <w:pPr>
        <w:pStyle w:val="BodyText"/>
        <w:spacing w:before="201" w:line="213" w:lineRule="auto"/>
        <w:ind w:left="1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E10000"/>
          <w:spacing w:val="-1"/>
          <w:sz w:val="24"/>
          <w:szCs w:val="24"/>
        </w:rPr>
        <w:t>企业积极提升价格带，向</w:t>
      </w:r>
      <w:r>
        <w:rPr>
          <w:rFonts w:ascii="SimHei" w:eastAsia="SimHei" w:hAnsi="SimHei" w:cs="SimHei"/>
          <w:color w:val="E10000"/>
          <w:spacing w:val="-45"/>
          <w:sz w:val="24"/>
          <w:szCs w:val="24"/>
        </w:rPr>
        <w:t xml:space="preserve"> </w:t>
      </w:r>
      <w:r>
        <w:rPr>
          <w:color w:val="E10000"/>
          <w:spacing w:val="-1"/>
          <w:sz w:val="24"/>
          <w:szCs w:val="24"/>
        </w:rPr>
        <w:t xml:space="preserve">500-800 </w:t>
      </w:r>
      <w:r>
        <w:rPr>
          <w:rFonts w:ascii="SimHei" w:eastAsia="SimHei" w:hAnsi="SimHei" w:cs="SimHei"/>
          <w:color w:val="E10000"/>
          <w:spacing w:val="-1"/>
          <w:sz w:val="24"/>
          <w:szCs w:val="24"/>
        </w:rPr>
        <w:t>元上攻</w:t>
      </w:r>
    </w:p>
    <w:p>
      <w:pPr>
        <w:spacing w:before="186" w:line="312" w:lineRule="exact"/>
        <w:ind w:left="23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高端价格提升带来新价格带空间，次高端酒企战略性布局新品</w:t>
      </w:r>
      <w:r>
        <w:rPr>
          <w:rFonts w:ascii="STXihei" w:eastAsia="STXihei" w:hAnsi="STXihei" w:cs="STXihei"/>
          <w:spacing w:val="-2"/>
          <w:position w:val="1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TXihei" w:eastAsia="STXihei" w:hAnsi="STXihei" w:cs="STXihei"/>
          <w:spacing w:val="-2"/>
          <w:position w:val="11"/>
          <w:sz w:val="18"/>
          <w:szCs w:val="18"/>
        </w:rPr>
        <w:t>之前周期中次高端的主</w:t>
      </w:r>
    </w:p>
    <w:p>
      <w:pPr>
        <w:pStyle w:val="BodyText"/>
        <w:spacing w:before="1" w:line="197" w:lineRule="auto"/>
        <w:ind w:left="18"/>
        <w:rPr>
          <w:sz w:val="18"/>
          <w:szCs w:val="18"/>
        </w:rPr>
      </w:pPr>
      <w:r>
        <w:rPr>
          <w:rFonts w:ascii="STXihei" w:eastAsia="STXihei" w:hAnsi="STXihei" w:cs="STXihei"/>
          <w:spacing w:val="-4"/>
          <w:sz w:val="18"/>
          <w:szCs w:val="18"/>
        </w:rPr>
        <w:t xml:space="preserve">要商务价格定位在 </w:t>
      </w:r>
      <w:r>
        <w:rPr>
          <w:spacing w:val="-4"/>
          <w:sz w:val="18"/>
          <w:szCs w:val="18"/>
        </w:rPr>
        <w:t xml:space="preserve">300 </w:t>
      </w:r>
      <w:r>
        <w:rPr>
          <w:rFonts w:ascii="STXihei" w:eastAsia="STXihei" w:hAnsi="STXihei" w:cs="STXihei"/>
          <w:spacing w:val="-4"/>
          <w:sz w:val="18"/>
          <w:szCs w:val="18"/>
        </w:rPr>
        <w:t>元</w:t>
      </w:r>
      <w:r>
        <w:rPr>
          <w:spacing w:val="-4"/>
          <w:sz w:val="18"/>
          <w:szCs w:val="18"/>
        </w:rPr>
        <w:t xml:space="preserve">-400 </w:t>
      </w:r>
      <w:r>
        <w:rPr>
          <w:rFonts w:ascii="STXihei" w:eastAsia="STXihei" w:hAnsi="STXihei" w:cs="STXihei"/>
          <w:spacing w:val="-4"/>
          <w:sz w:val="18"/>
          <w:szCs w:val="18"/>
        </w:rPr>
        <w:t xml:space="preserve">元之间， </w:t>
      </w:r>
      <w:r>
        <w:rPr>
          <w:spacing w:val="-4"/>
          <w:sz w:val="18"/>
          <w:szCs w:val="18"/>
        </w:rPr>
        <w:t>2</w:t>
      </w:r>
      <w:r>
        <w:rPr>
          <w:spacing w:val="-5"/>
          <w:sz w:val="18"/>
          <w:szCs w:val="18"/>
        </w:rPr>
        <w:t xml:space="preserve">016 </w:t>
      </w:r>
      <w:r>
        <w:rPr>
          <w:rFonts w:ascii="STXihei" w:eastAsia="STXihei" w:hAnsi="STXihei" w:cs="STXihei"/>
          <w:spacing w:val="-5"/>
          <w:sz w:val="18"/>
          <w:szCs w:val="18"/>
        </w:rPr>
        <w:t>年末至</w:t>
      </w:r>
      <w:r>
        <w:rPr>
          <w:rFonts w:ascii="STXihei" w:eastAsia="STXihei" w:hAnsi="STXihei" w:cs="STXihei"/>
          <w:spacing w:val="3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2017</w:t>
      </w:r>
      <w:r>
        <w:rPr>
          <w:spacing w:val="7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5"/>
          <w:sz w:val="18"/>
          <w:szCs w:val="18"/>
        </w:rPr>
        <w:t>年，五粮液、国窖价格从</w:t>
      </w:r>
      <w:r>
        <w:rPr>
          <w:rFonts w:ascii="STXihei" w:eastAsia="STXihei" w:hAnsi="STXihei" w:cs="STXihei"/>
          <w:spacing w:val="7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600</w:t>
      </w:r>
    </w:p>
    <w:p>
      <w:pPr>
        <w:pStyle w:val="BodyText"/>
        <w:spacing w:before="104" w:line="197" w:lineRule="auto"/>
        <w:ind w:left="2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>多元上升至</w:t>
      </w:r>
      <w:r>
        <w:rPr>
          <w:rFonts w:ascii="STXihei" w:eastAsia="STXihei" w:hAnsi="STXihei" w:cs="STXihei"/>
          <w:spacing w:val="9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 xml:space="preserve">700 </w:t>
      </w:r>
      <w:r>
        <w:rPr>
          <w:rFonts w:ascii="STXihei" w:eastAsia="STXihei" w:hAnsi="STXihei" w:cs="STXihei"/>
          <w:spacing w:val="-6"/>
          <w:sz w:val="18"/>
          <w:szCs w:val="18"/>
        </w:rPr>
        <w:t>元，</w:t>
      </w:r>
      <w:r>
        <w:rPr>
          <w:rFonts w:ascii="STXihei" w:eastAsia="STXihei" w:hAnsi="STXihei" w:cs="STXihei"/>
          <w:spacing w:val="-10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在 </w:t>
      </w:r>
      <w:r>
        <w:rPr>
          <w:spacing w:val="-6"/>
          <w:sz w:val="18"/>
          <w:szCs w:val="18"/>
        </w:rPr>
        <w:t xml:space="preserve">2019 </w:t>
      </w:r>
      <w:r>
        <w:rPr>
          <w:rFonts w:ascii="STXihei" w:eastAsia="STXihei" w:hAnsi="STXihei" w:cs="STXihei"/>
          <w:spacing w:val="-6"/>
          <w:sz w:val="18"/>
          <w:szCs w:val="18"/>
        </w:rPr>
        <w:t xml:space="preserve">年站稳 </w:t>
      </w:r>
      <w:r>
        <w:rPr>
          <w:spacing w:val="-6"/>
          <w:sz w:val="18"/>
          <w:szCs w:val="18"/>
        </w:rPr>
        <w:t xml:space="preserve">800 </w:t>
      </w:r>
      <w:r>
        <w:rPr>
          <w:rFonts w:ascii="STXihei" w:eastAsia="STXihei" w:hAnsi="STXihei" w:cs="STXihei"/>
          <w:spacing w:val="-6"/>
          <w:sz w:val="18"/>
          <w:szCs w:val="18"/>
        </w:rPr>
        <w:t>元， 与剑南春</w:t>
      </w:r>
      <w:r>
        <w:rPr>
          <w:rFonts w:ascii="STXihei" w:eastAsia="STXihei" w:hAnsi="STXihei" w:cs="STXihei"/>
          <w:spacing w:val="3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400-500</w:t>
      </w:r>
      <w:r>
        <w:rPr>
          <w:spacing w:val="5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6"/>
          <w:sz w:val="18"/>
          <w:szCs w:val="18"/>
        </w:rPr>
        <w:t>元</w:t>
      </w:r>
      <w:r>
        <w:rPr>
          <w:rFonts w:ascii="STXihei" w:eastAsia="STXihei" w:hAnsi="STXihei" w:cs="STXihei"/>
          <w:spacing w:val="-7"/>
          <w:sz w:val="18"/>
          <w:szCs w:val="18"/>
        </w:rPr>
        <w:t>的价格形成空隙，</w:t>
      </w:r>
      <w:r>
        <w:rPr>
          <w:rFonts w:ascii="STXihei" w:eastAsia="STXihei" w:hAnsi="STXihei" w:cs="STXihei"/>
          <w:spacing w:val="8"/>
          <w:sz w:val="18"/>
          <w:szCs w:val="18"/>
        </w:rPr>
        <w:t xml:space="preserve">  </w:t>
      </w:r>
      <w:r>
        <w:rPr>
          <w:rFonts w:ascii="STXihei" w:eastAsia="STXihei" w:hAnsi="STXihei" w:cs="STXihei"/>
          <w:spacing w:val="-7"/>
          <w:sz w:val="18"/>
          <w:szCs w:val="18"/>
        </w:rPr>
        <w:t>价</w:t>
      </w:r>
    </w:p>
    <w:p>
      <w:pPr>
        <w:pStyle w:val="BodyText"/>
        <w:spacing w:before="105" w:line="197" w:lineRule="auto"/>
        <w:ind w:left="14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1"/>
          <w:sz w:val="18"/>
          <w:szCs w:val="18"/>
        </w:rPr>
        <w:t>格红利下次高端白酒在</w:t>
      </w:r>
      <w:r>
        <w:rPr>
          <w:rFonts w:ascii="STXihei" w:eastAsia="STXihei" w:hAnsi="STXihei" w:cs="STXihei"/>
          <w:spacing w:val="3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500-800</w:t>
      </w:r>
      <w:r>
        <w:rPr>
          <w:spacing w:val="25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sz w:val="18"/>
          <w:szCs w:val="18"/>
        </w:rPr>
        <w:t>元的价格带形成。酒企积极在</w:t>
      </w:r>
      <w:r>
        <w:rPr>
          <w:rFonts w:ascii="STXihei" w:eastAsia="STXihei" w:hAnsi="STXihei" w:cs="STXihei"/>
          <w:spacing w:val="2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500-800</w:t>
      </w:r>
      <w:r>
        <w:rPr>
          <w:spacing w:val="25"/>
          <w:sz w:val="18"/>
          <w:szCs w:val="18"/>
        </w:rPr>
        <w:t xml:space="preserve"> </w:t>
      </w:r>
      <w:r>
        <w:rPr>
          <w:rFonts w:ascii="STXihei" w:eastAsia="STXihei" w:hAnsi="STXihei" w:cs="STXihei"/>
          <w:spacing w:val="-1"/>
          <w:sz w:val="18"/>
          <w:szCs w:val="18"/>
        </w:rPr>
        <w:t>元价格带进行</w:t>
      </w:r>
    </w:p>
    <w:p>
      <w:pPr>
        <w:pStyle w:val="BodyText"/>
        <w:spacing w:before="105" w:line="197" w:lineRule="auto"/>
        <w:ind w:left="21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7"/>
          <w:sz w:val="18"/>
          <w:szCs w:val="18"/>
        </w:rPr>
        <w:t>战略性产品布局，</w:t>
      </w:r>
      <w:r>
        <w:rPr>
          <w:rFonts w:ascii="STXihei" w:eastAsia="STXihei" w:hAnsi="STXihei" w:cs="STXihei"/>
          <w:spacing w:val="12"/>
          <w:sz w:val="18"/>
          <w:szCs w:val="18"/>
        </w:rPr>
        <w:t xml:space="preserve">  </w:t>
      </w:r>
      <w:r>
        <w:rPr>
          <w:spacing w:val="-7"/>
          <w:sz w:val="18"/>
          <w:szCs w:val="18"/>
        </w:rPr>
        <w:t xml:space="preserve">2018 </w:t>
      </w:r>
      <w:r>
        <w:rPr>
          <w:rFonts w:ascii="STXihei" w:eastAsia="STXihei" w:hAnsi="STXihei" w:cs="STXihei"/>
          <w:spacing w:val="-7"/>
          <w:sz w:val="18"/>
          <w:szCs w:val="18"/>
        </w:rPr>
        <w:t xml:space="preserve">年以来古 </w:t>
      </w:r>
      <w:r>
        <w:rPr>
          <w:spacing w:val="-7"/>
          <w:sz w:val="18"/>
          <w:szCs w:val="18"/>
        </w:rPr>
        <w:t>20</w:t>
      </w:r>
      <w:r>
        <w:rPr>
          <w:rFonts w:ascii="STXihei" w:eastAsia="STXihei" w:hAnsi="STXihei" w:cs="STXihei"/>
          <w:spacing w:val="-7"/>
          <w:sz w:val="18"/>
          <w:szCs w:val="18"/>
        </w:rPr>
        <w:t xml:space="preserve">、国缘 </w:t>
      </w:r>
      <w:r>
        <w:rPr>
          <w:spacing w:val="-7"/>
          <w:sz w:val="18"/>
          <w:szCs w:val="18"/>
        </w:rPr>
        <w:t>V</w:t>
      </w:r>
      <w:r>
        <w:rPr>
          <w:spacing w:val="-8"/>
          <w:sz w:val="18"/>
          <w:szCs w:val="18"/>
        </w:rPr>
        <w:t>3</w:t>
      </w:r>
      <w:r>
        <w:rPr>
          <w:rFonts w:ascii="STXihei" w:eastAsia="STXihei" w:hAnsi="STXihei" w:cs="STXihei"/>
          <w:spacing w:val="-8"/>
          <w:sz w:val="18"/>
          <w:szCs w:val="18"/>
        </w:rPr>
        <w:t>、</w:t>
      </w:r>
      <w:r>
        <w:rPr>
          <w:spacing w:val="-8"/>
          <w:sz w:val="18"/>
          <w:szCs w:val="18"/>
        </w:rPr>
        <w:t>M6+</w:t>
      </w:r>
      <w:r>
        <w:rPr>
          <w:rFonts w:ascii="STXihei" w:eastAsia="STXihei" w:hAnsi="STXihei" w:cs="STXihei"/>
          <w:spacing w:val="-8"/>
          <w:sz w:val="18"/>
          <w:szCs w:val="18"/>
        </w:rPr>
        <w:t>、新版井台等产品涌现，   价格带逐</w:t>
      </w:r>
    </w:p>
    <w:p>
      <w:pPr>
        <w:spacing w:before="105" w:line="197" w:lineRule="auto"/>
        <w:ind w:left="16"/>
        <w:rPr>
          <w:rFonts w:ascii="STXihei" w:eastAsia="STXihei" w:hAnsi="STXihei" w:cs="STXihei"/>
          <w:sz w:val="18"/>
          <w:szCs w:val="18"/>
        </w:rPr>
      </w:pPr>
      <w:r>
        <w:rPr>
          <w:rFonts w:ascii="STXihei" w:eastAsia="STXihei" w:hAnsi="STXihei" w:cs="STXihei"/>
          <w:spacing w:val="-6"/>
          <w:sz w:val="18"/>
          <w:szCs w:val="18"/>
        </w:rPr>
        <w:t>渐充实。</w:t>
      </w:r>
    </w:p>
    <w:p>
      <w:pPr>
        <w:spacing w:line="125" w:lineRule="exact"/>
      </w:pPr>
    </w:p>
    <w:p>
      <w:pPr>
        <w:spacing w:line="125" w:lineRule="exact"/>
        <w:sectPr>
          <w:headerReference w:type="default" r:id="rId290"/>
          <w:footerReference w:type="default" r:id="rId291"/>
          <w:pgSz w:w="11907" w:h="16839"/>
          <w:pgMar w:top="1350" w:right="749" w:bottom="970" w:left="842" w:header="851" w:footer="713" w:gutter="0"/>
          <w:pgNumType w:start="53"/>
          <w:cols w:num="1" w:space="708" w:equalWidth="0">
            <w:col w:w="10315" w:space="0"/>
          </w:cols>
        </w:sectPr>
      </w:pPr>
    </w:p>
    <w:p>
      <w:pPr>
        <w:pStyle w:val="BodyText"/>
        <w:spacing w:before="44" w:line="254" w:lineRule="exact"/>
        <w:ind w:left="28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 xml:space="preserve">图  </w:t>
      </w:r>
      <w:r>
        <w:rPr>
          <w:spacing w:val="-1"/>
          <w:position w:val="3"/>
          <w:sz w:val="16"/>
          <w:szCs w:val="16"/>
        </w:rPr>
        <w:t>27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：高端酒价格上升红利下次高端新价格带形成（单位：元）</w:t>
      </w:r>
    </w:p>
    <w:p>
      <w:pPr>
        <w:pStyle w:val="BodyText"/>
        <w:spacing w:before="152" w:line="208" w:lineRule="auto"/>
        <w:ind w:left="186"/>
        <w:rPr>
          <w:sz w:val="12"/>
          <w:szCs w:val="12"/>
        </w:rPr>
      </w:pPr>
      <w:r>
        <w:rPr>
          <w:sz w:val="12"/>
          <w:szCs w:val="12"/>
        </w:rPr>
        <w:t>120</w:t>
      </w:r>
      <w:r>
        <w:rPr>
          <w:spacing w:val="-12"/>
          <w:sz w:val="12"/>
          <w:szCs w:val="12"/>
        </w:rPr>
        <w:t xml:space="preserve"> </w:t>
      </w:r>
      <w:r>
        <w:rPr>
          <w:sz w:val="12"/>
          <w:szCs w:val="12"/>
        </w:rPr>
        <w:t>0</w:t>
      </w:r>
    </w:p>
    <w:p>
      <w:pPr>
        <w:pStyle w:val="BodyText"/>
        <w:spacing w:before="79" w:line="208" w:lineRule="auto"/>
        <w:ind w:left="186"/>
        <w:rPr>
          <w:sz w:val="12"/>
          <w:szCs w:val="12"/>
        </w:rPr>
      </w:pPr>
      <w:r>
        <w:rPr>
          <w:sz w:val="12"/>
          <w:szCs w:val="12"/>
        </w:rPr>
        <w:t>110</w:t>
      </w:r>
      <w:r>
        <w:rPr>
          <w:spacing w:val="-12"/>
          <w:sz w:val="12"/>
          <w:szCs w:val="12"/>
        </w:rPr>
        <w:t xml:space="preserve"> </w:t>
      </w:r>
      <w:r>
        <w:rPr>
          <w:sz w:val="12"/>
          <w:szCs w:val="12"/>
        </w:rPr>
        <w:t>0</w:t>
      </w:r>
    </w:p>
    <w:p>
      <w:pPr>
        <w:pStyle w:val="BodyText"/>
        <w:spacing w:before="138" w:line="1362" w:lineRule="exact"/>
        <w:ind w:firstLine="575"/>
      </w:pPr>
      <w:r>
        <w:rPr>
          <w:position w:val="-27"/>
        </w:rPr>
        <w:pict>
          <v:group id="_x0000_i1289" style="width:207.4pt;height:68.15pt;mso-position-horizontal-relative:char;mso-position-vertical-relative:line" coordorigin="0,0" coordsize="4147,1363" filled="f" stroked="f">
            <v:shape id="_x0000_s1290" type="#_x0000_t75" style="width:4147;height:1363;position:absolute" filled="f" stroked="f">
              <v:imagedata r:id="rId292" o:title=""/>
            </v:shape>
            <v:shape id="_x0000_s1291" type="#_x0000_t202" style="width:4187;height:140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4" w:line="189" w:lineRule="auto"/>
                      <w:ind w:left="2253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  <w:t>500-800价格带</w:t>
                    </w:r>
                  </w:p>
                  <w:p>
                    <w:pPr>
                      <w:spacing w:before="259" w:line="189" w:lineRule="auto"/>
                      <w:ind w:left="1581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15"/>
                        <w:szCs w:val="15"/>
                      </w:rPr>
                      <w:t>300-500价格带</w:t>
                    </w:r>
                    <w:r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  <w:br/>
                    </w:r>
                    <w:r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  <w:br/>
                    </w:r>
                  </w:p>
                  <w:p>
                    <w:pPr>
                      <w:kinsoku/>
                      <w:autoSpaceDE/>
                      <w:autoSpaceDN/>
                      <w:adjustRightInd/>
                      <w:snapToGrid/>
                      <w:spacing w:after="0" w:line="240" w:lineRule="auto"/>
                      <w:jc w:val="left"/>
                      <w:textAlignment w:val="auto"/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293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noProof w:val="0"/>
                          <w:snapToGrid/>
                          <w:color w:val="0000EE"/>
                          <w:kern w:val="0"/>
                          <w:sz w:val="30"/>
                          <w:szCs w:val="30"/>
                          <w:u w:val="single" w:color="0000EE"/>
                        </w:rPr>
                        <w:t>https://d.book118.com/866055224014010053</w:t>
                      </w:r>
                    </w:hyperlink>
                  </w:p>
                  <w:p>
                    <w:pPr>
                      <w:spacing w:before="259" w:line="189" w:lineRule="auto"/>
                      <w:ind w:left="1581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</w:p>
                </w:txbxContent>
              </v:textbox>
            </v:shape>
            <w10:wrap type="none"/>
          </v:group>
        </w:pict>
      </w:r>
    </w:p>
    <w:sectPr>
      <w:headerReference w:type="default" r:id="rId294"/>
      <w:footerReference w:type="default" r:id="rId295"/>
      <w:type w:val="continuous"/>
      <w:pgSz w:w="11907" w:h="16839"/>
      <w:pgMar w:top="1350" w:right="749" w:bottom="970" w:left="842" w:header="851" w:footer="713" w:gutter="0"/>
      <w:pgNumType w:start="54"/>
      <w:cols w:num="2" w:space="708" w:equalWidth="0">
        <w:col w:w="5155" w:space="100"/>
        <w:col w:w="50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0" style="width:510.5pt;height:0.5pt;margin-top:793.42pt;margin-left:42.12pt;mso-position-horizontal-relative:page;mso-position-vertical-relative:page;position:absolute;z-index:25165824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5.65pt;height:9.65pt;margin-top:3.17pt;margin-left:485.85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1"/>
                    <w:sz w:val="16"/>
                    <w:szCs w:val="16"/>
                  </w:rPr>
                  <w:t>4</w:t>
                </w:r>
                <w:r>
                  <w:rPr>
                    <w:b/>
                    <w:bCs/>
                    <w:spacing w:val="36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1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3" style="width:510.5pt;height:0.5pt;margin-top:793.42pt;margin-left:42.12pt;mso-position-horizontal-relative:page;mso-position-vertical-relative:page;position:absolute;z-index:25166028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5.65pt;height:9.65pt;margin-top:3.17pt;margin-left:485.85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1"/>
                    <w:sz w:val="16"/>
                    <w:szCs w:val="16"/>
                  </w:rPr>
                  <w:t>4</w:t>
                </w:r>
                <w:r>
                  <w:rPr>
                    <w:b/>
                    <w:bCs/>
                    <w:spacing w:val="36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1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5" style="width:510.5pt;height:0.5pt;margin-top:793.42pt;margin-left:42.12pt;mso-position-horizontal-relative:page;mso-position-vertical-relative:page;position:absolute;z-index:25166233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5.45pt;height:9.65pt;margin-top:3.17pt;margin-left:486.05pt;position:absolute;z-index:2516633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5</w:t>
                </w:r>
                <w:r>
                  <w:rPr>
                    <w:b/>
                    <w:bCs/>
                    <w:spacing w:val="37"/>
                    <w:w w:val="102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8" style="width:510.5pt;height:0.5pt;margin-top:793.42pt;margin-left:42.12pt;mso-position-horizontal-relative:page;mso-position-vertical-relative:page;position:absolute;z-index:25166438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5.45pt;height:9.65pt;margin-top:3.17pt;margin-left:486.05pt;position:absolute;z-index:2516654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5</w:t>
                </w:r>
                <w:r>
                  <w:rPr>
                    <w:b/>
                    <w:bCs/>
                    <w:spacing w:val="37"/>
                    <w:w w:val="102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61" style="width:510.5pt;height:0.5pt;margin-top:793.42pt;margin-left:42.12pt;mso-position-horizontal-relative:page;mso-position-vertical-relative:page;position:absolute;z-index:25166643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5.5pt;height:9.65pt;margin-top:3.17pt;margin-left:486.04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6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64" style="width:510.5pt;height:0.5pt;margin-top:793.42pt;margin-left:42.12pt;mso-position-horizontal-relative:page;mso-position-vertical-relative:page;position:absolute;z-index:25166848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5.5pt;height:9.65pt;margin-top:3.17pt;margin-left:486.04pt;position:absolute;z-index:2516695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7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67" style="width:510.5pt;height:0.5pt;margin-top:793.42pt;margin-left:42.12pt;mso-position-horizontal-relative:page;mso-position-vertical-relative:page;position:absolute;z-index:25167052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5.5pt;height:9.65pt;margin-top:3.17pt;margin-left:486.04pt;position:absolute;z-index:2516715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7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70" style="width:510.5pt;height:0.5pt;margin-top:793.42pt;margin-left:42.12pt;mso-position-horizontal-relative:page;mso-position-vertical-relative:page;position:absolute;z-index:25167257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5.5pt;height:9.65pt;margin-top:3.17pt;margin-left:486.03pt;position:absolute;z-index:2516736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8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73" style="width:510.5pt;height:0.5pt;margin-top:793.42pt;margin-left:42.12pt;mso-position-horizontal-relative:page;mso-position-vertical-relative:page;position:absolute;z-index:25167462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5.5pt;height:9.65pt;margin-top:3.17pt;margin-left:486.03pt;position:absolute;z-index:2516756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8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76" style="width:510.5pt;height:0.5pt;margin-top:793.42pt;margin-left:42.12pt;mso-position-horizontal-relative:page;mso-position-vertical-relative:page;position:absolute;z-index:25167667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5.5pt;height:9.65pt;margin-top:3.17pt;margin-left:486.03pt;position:absolute;z-index:25167769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8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79" style="width:510.5pt;height:0.5pt;margin-top:793.42pt;margin-left:42.12pt;mso-position-horizontal-relative:page;mso-position-vertical-relative:page;position:absolute;z-index:25167872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5.5pt;height:9.65pt;margin-top:3.17pt;margin-left:486.03pt;position:absolute;z-index:2516797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8</w:t>
                </w:r>
                <w:r>
                  <w:rPr>
                    <w:b/>
                    <w:bCs/>
                    <w:spacing w:val="38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83" style="width:510.5pt;height:0.5pt;margin-top:793.42pt;margin-left:42.12pt;mso-position-horizontal-relative:page;mso-position-vertical-relative:page;position:absolute;z-index:25168076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5.55pt;height:9.65pt;margin-top:3.17pt;margin-left:499.77pt;position:absolute;z-index:25168179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86" style="width:510.5pt;height:0.5pt;margin-top:793.42pt;margin-left:42.12pt;mso-position-horizontal-relative:page;mso-position-vertical-relative:page;position:absolute;z-index:25168281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5.55pt;height:9.65pt;margin-top:3.17pt;margin-left:499.77pt;position:absolute;z-index:2516838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89" style="width:510.5pt;height:0.5pt;margin-top:793.42pt;margin-left:42.12pt;mso-position-horizontal-relative:page;mso-position-vertical-relative:page;position:absolute;z-index:25168486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5.55pt;height:9.65pt;margin-top:3.17pt;margin-left:499.77pt;position:absolute;z-index:2516858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92" style="width:510.5pt;height:0.5pt;margin-top:793.42pt;margin-left:42.12pt;mso-position-horizontal-relative:page;mso-position-vertical-relative:page;position:absolute;z-index:25168691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5.55pt;height:9.65pt;margin-top:3.17pt;margin-left:499.77pt;position:absolute;z-index:2516879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95" style="width:510.5pt;height:0.5pt;margin-top:793.42pt;margin-left:42.12pt;mso-position-horizontal-relative:page;mso-position-vertical-relative:page;position:absolute;z-index:25168896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5.55pt;height:9.65pt;margin-top:3.17pt;margin-left:499.77pt;position:absolute;z-index:2516899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83"/>
      <w:rPr>
        <w:rFonts w:ascii="SimHei" w:eastAsia="SimHei" w:hAnsi="SimHei" w:cs="SimHei"/>
        <w:sz w:val="16"/>
        <w:szCs w:val="16"/>
      </w:rPr>
    </w:pPr>
    <w:r>
      <w:pict>
        <v:shape id="_x0000_s2098" style="width:510.5pt;height:0.5pt;margin-top:793.42pt;margin-left:42.12pt;mso-position-horizontal-relative:page;mso-position-vertical-relative:page;position:absolute;z-index:25169100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5.55pt;height:9.65pt;margin-top:3.17pt;margin-left:499.77pt;position:absolute;z-index:2516920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9</w:t>
                </w:r>
                <w:r>
                  <w:rPr>
                    <w:b/>
                    <w:bCs/>
                    <w:spacing w:val="39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2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01" style="width:510.5pt;height:0.5pt;margin-top:793.42pt;margin-left:42.12pt;mso-position-horizontal-relative:page;mso-position-vertical-relative:page;position:absolute;z-index:25169305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.6pt;height:9.65pt;margin-top:3.17pt;margin-left:481.9pt;position:absolute;z-index:2516940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10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04" style="width:510.5pt;height:0.5pt;margin-top:793.42pt;margin-left:42.12pt;mso-position-horizontal-relative:page;mso-position-vertical-relative:page;position:absolute;z-index:25169510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9.6pt;height:9.65pt;margin-top:3.17pt;margin-left:481.9pt;position:absolute;z-index:2516961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10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07" style="width:510.5pt;height:0.5pt;margin-top:793.42pt;margin-left:42.12pt;mso-position-horizontal-relative:page;mso-position-vertical-relative:page;position:absolute;z-index:25169715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.6pt;height:9.65pt;margin-top:3.17pt;margin-left:481.9pt;position:absolute;z-index:2516981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10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09" style="width:510.5pt;height:0.5pt;margin-top:793.42pt;margin-left:42.12pt;mso-position-horizontal-relative:page;mso-position-vertical-relative:page;position:absolute;z-index:25169920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.15pt;height:9.65pt;margin-top:3.17pt;margin-left:482.38pt;position:absolute;z-index:2517002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5"/>
                    <w:sz w:val="16"/>
                    <w:szCs w:val="16"/>
                  </w:rPr>
                  <w:t>11</w:t>
                </w:r>
                <w:r>
                  <w:rPr>
                    <w:b/>
                    <w:bCs/>
                    <w:spacing w:val="35"/>
                    <w:w w:val="102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5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44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5"/>
                    <w:sz w:val="16"/>
                    <w:szCs w:val="16"/>
                  </w:rPr>
                  <w:t>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12" style="width:510.5pt;height:0.5pt;margin-top:793.42pt;margin-left:42.12pt;mso-position-horizontal-relative:page;mso-position-vertical-relative:page;position:absolute;z-index:25170124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9.6pt;height:9.65pt;margin-top:3.17pt;margin-left:481.9pt;position:absolute;z-index:2517022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15" style="width:510.5pt;height:0.5pt;margin-top:793.42pt;margin-left:42.12pt;mso-position-horizontal-relative:page;mso-position-vertical-relative:page;position:absolute;z-index:25170329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9.6pt;height:9.65pt;margin-top:3.17pt;margin-left:481.9pt;position:absolute;z-index:2517043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18" style="width:510.5pt;height:0.5pt;margin-top:793.42pt;margin-left:42.12pt;mso-position-horizontal-relative:page;mso-position-vertical-relative:page;position:absolute;z-index:25170534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9.6pt;height:9.65pt;margin-top:3.17pt;margin-left:481.9pt;position:absolute;z-index:2517063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21" style="width:510.5pt;height:0.5pt;margin-top:793.42pt;margin-left:42.12pt;mso-position-horizontal-relative:page;mso-position-vertical-relative:page;position:absolute;z-index:25170739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9.6pt;height:9.65pt;margin-top:3.17pt;margin-left:481.9pt;position:absolute;z-index:2517084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24" style="width:510.5pt;height:0.5pt;margin-top:793.42pt;margin-left:42.12pt;mso-position-horizontal-relative:page;mso-position-vertical-relative:page;position:absolute;z-index:25170944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9.6pt;height:9.65pt;margin-top:3.17pt;margin-left:481.9pt;position:absolute;z-index:2517104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27" style="width:510.5pt;height:0.5pt;margin-top:793.42pt;margin-left:42.12pt;mso-position-horizontal-relative:page;mso-position-vertical-relative:page;position:absolute;z-index:25171148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9.6pt;height:9.65pt;margin-top:3.17pt;margin-left:481.9pt;position:absolute;z-index:2517125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12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30" style="width:510.5pt;height:0.5pt;margin-top:793.42pt;margin-left:42.12pt;mso-position-horizontal-relative:page;mso-position-vertical-relative:page;position:absolute;z-index:25171353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9.6pt;height:9.65pt;margin-top:3.17pt;margin-left:481.9pt;position:absolute;z-index:2517145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13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33" style="width:510.5pt;height:0.5pt;margin-top:793.42pt;margin-left:42.12pt;mso-position-horizontal-relative:page;mso-position-vertical-relative:page;position:absolute;z-index:25171558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9.6pt;height:9.65pt;margin-top:3.17pt;margin-left:481.9pt;position:absolute;z-index:2517166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13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36" style="width:510.5pt;height:0.5pt;margin-top:793.42pt;margin-left:42.12pt;mso-position-horizontal-relative:page;mso-position-vertical-relative:page;position:absolute;z-index:25171763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29.6pt;height:9.65pt;margin-top:3.17pt;margin-left:481.9pt;position:absolute;z-index:2517186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14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39" style="width:510.5pt;height:0.5pt;margin-top:793.42pt;margin-left:42.12pt;mso-position-horizontal-relative:page;mso-position-vertical-relative:page;position:absolute;z-index:25171968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9.6pt;height:9.65pt;margin-top:3.17pt;margin-left:481.9pt;position:absolute;z-index:2517207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14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42" style="width:510.5pt;height:0.5pt;margin-top:793.42pt;margin-left:42.12pt;mso-position-horizontal-relative:page;mso-position-vertical-relative:page;position:absolute;z-index:25172172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29.6pt;height:9.65pt;margin-top:3.17pt;margin-left:481.9pt;position:absolute;z-index:2517227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14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45" style="width:510.5pt;height:0.5pt;margin-top:793.42pt;margin-left:42.12pt;mso-position-horizontal-relative:page;mso-position-vertical-relative:page;position:absolute;z-index:25172377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9.6pt;height:9.65pt;margin-top:3.17pt;margin-left:481.9pt;position:absolute;z-index:2517248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14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48" style="width:510.5pt;height:0.5pt;margin-top:793.42pt;margin-left:42.12pt;mso-position-horizontal-relative:page;mso-position-vertical-relative:page;position:absolute;z-index:25172582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29.6pt;height:9.65pt;margin-top:3.17pt;margin-left:481.9pt;position:absolute;z-index:2517268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51" style="width:510.5pt;height:0.5pt;margin-top:793.42pt;margin-left:42.12pt;mso-position-horizontal-relative:page;mso-position-vertical-relative:page;position:absolute;z-index:25172787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9.6pt;height:9.65pt;margin-top:3.17pt;margin-left:481.9pt;position:absolute;z-index:25172889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54" style="width:510.5pt;height:0.5pt;margin-top:793.42pt;margin-left:42.12pt;mso-position-horizontal-relative:page;mso-position-vertical-relative:page;position:absolute;z-index:25172992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29.6pt;height:9.65pt;margin-top:3.17pt;margin-left:481.9pt;position:absolute;z-index:2517309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57" style="width:510.5pt;height:0.5pt;margin-top:793.42pt;margin-left:42.12pt;mso-position-horizontal-relative:page;mso-position-vertical-relative:page;position:absolute;z-index:25173196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9.6pt;height:9.65pt;margin-top:3.17pt;margin-left:481.9pt;position:absolute;z-index:25173299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60" style="width:510.5pt;height:0.5pt;margin-top:793.42pt;margin-left:42.12pt;mso-position-horizontal-relative:page;mso-position-vertical-relative:page;position:absolute;z-index:25173401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29.6pt;height:9.65pt;margin-top:3.17pt;margin-left:481.9pt;position:absolute;z-index:2517350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64" style="width:510.5pt;height:0.5pt;margin-top:793.42pt;margin-left:42.12pt;mso-position-horizontal-relative:page;mso-position-vertical-relative:page;position:absolute;z-index:25173606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29.6pt;height:9.65pt;margin-top:3.17pt;margin-left:503.6pt;position:absolute;z-index:2517370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67" style="width:510.5pt;height:0.5pt;margin-top:793.42pt;margin-left:42.12pt;mso-position-horizontal-relative:page;mso-position-vertical-relative:page;position:absolute;z-index:25173811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29.6pt;height:9.65pt;margin-top:3.17pt;margin-left:503.6pt;position:absolute;z-index:2517391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70" style="width:510.5pt;height:0.5pt;margin-top:793.42pt;margin-left:42.12pt;mso-position-horizontal-relative:page;mso-position-vertical-relative:page;position:absolute;z-index:25174016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29.6pt;height:9.65pt;margin-top:3.17pt;margin-left:503.6pt;position:absolute;z-index:2517411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73" style="width:510.5pt;height:0.5pt;margin-top:793.42pt;margin-left:42.12pt;mso-position-horizontal-relative:page;mso-position-vertical-relative:page;position:absolute;z-index:25174220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29.6pt;height:9.65pt;margin-top:3.17pt;margin-left:503.6pt;position:absolute;z-index:2517432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76" style="width:510.5pt;height:0.5pt;margin-top:793.42pt;margin-left:42.12pt;mso-position-horizontal-relative:page;mso-position-vertical-relative:page;position:absolute;z-index:25174425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29.6pt;height:9.65pt;margin-top:3.17pt;margin-left:503.6pt;position:absolute;z-index:2517452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441"/>
      <w:rPr>
        <w:rFonts w:ascii="SimHei" w:eastAsia="SimHei" w:hAnsi="SimHei" w:cs="SimHei"/>
        <w:sz w:val="16"/>
        <w:szCs w:val="16"/>
      </w:rPr>
    </w:pPr>
    <w:r>
      <w:pict>
        <v:shape id="_x0000_s2179" style="width:510.5pt;height:0.5pt;margin-top:793.42pt;margin-left:42.12pt;mso-position-horizontal-relative:page;mso-position-vertical-relative:page;position:absolute;z-index:25174630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29.6pt;height:9.65pt;margin-top:3.17pt;margin-left:503.6pt;position:absolute;z-index:2517473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16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82" style="width:510.5pt;height:0.5pt;margin-top:793.42pt;margin-left:42.12pt;mso-position-horizontal-relative:page;mso-position-vertical-relative:page;position:absolute;z-index:25174835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29.6pt;height:9.65pt;margin-top:3.17pt;margin-left:481.9pt;position:absolute;z-index:2517493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17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185" style="width:510.5pt;height:0.5pt;margin-top:793.42pt;margin-left:42.12pt;mso-position-horizontal-relative:page;mso-position-vertical-relative:page;position:absolute;z-index:25175040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29.6pt;height:9.65pt;margin-top:3.17pt;margin-left:481.9pt;position:absolute;z-index:2517514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17</w:t>
                </w:r>
                <w:r>
                  <w:rPr>
                    <w:b/>
                    <w:bCs/>
                    <w:spacing w:val="4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  39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78076094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076094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72686300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86300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58599815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99815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2289285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89285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4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1931652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31652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5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66433710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433710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5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7236618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36618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60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40878730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78730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6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58861339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861339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66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73602981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02981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6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630147008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147008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7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89751261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1261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75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0697763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97763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78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41699419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699419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08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" w:name="bookmark19"/>
    <w:bookmarkEnd w:id="6"/>
    <w:bookmarkStart w:id="7" w:name="bookmark20"/>
    <w:bookmarkEnd w:id="7"/>
    <w:bookmarkStart w:id="8" w:name="bookmark21"/>
    <w:bookmarkEnd w:id="8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8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412181783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181783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" w:name="bookmark19_0"/>
    <w:bookmarkEnd w:id="9"/>
    <w:bookmarkStart w:id="10" w:name="bookmark20_0"/>
    <w:bookmarkEnd w:id="10"/>
    <w:bookmarkStart w:id="11" w:name="bookmark21_0"/>
    <w:bookmarkEnd w:id="11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85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602679977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679977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2" w:name="bookmark19_1"/>
    <w:bookmarkEnd w:id="12"/>
    <w:bookmarkStart w:id="13" w:name="bookmark20_1"/>
    <w:bookmarkEnd w:id="13"/>
    <w:bookmarkStart w:id="14" w:name="bookmark21_1"/>
    <w:bookmarkEnd w:id="14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88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7079087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790870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5" w:name="bookmark19_2"/>
    <w:bookmarkEnd w:id="15"/>
    <w:bookmarkStart w:id="16" w:name="bookmark20_2"/>
    <w:bookmarkEnd w:id="16"/>
    <w:bookmarkStart w:id="17" w:name="bookmark21_2"/>
    <w:bookmarkEnd w:id="17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9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55796638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966380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8" w:name="bookmark19_3"/>
    <w:bookmarkEnd w:id="18"/>
    <w:bookmarkStart w:id="19" w:name="bookmark20_3"/>
    <w:bookmarkEnd w:id="19"/>
    <w:bookmarkStart w:id="20" w:name="bookmark21_3"/>
    <w:bookmarkEnd w:id="20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94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859463911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9463911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1" w:name="bookmark19_4"/>
    <w:bookmarkEnd w:id="21"/>
    <w:bookmarkStart w:id="22" w:name="bookmark20_4"/>
    <w:bookmarkEnd w:id="22"/>
    <w:bookmarkStart w:id="23" w:name="bookmark21_4"/>
    <w:bookmarkEnd w:id="23"/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284"/>
    </w:pPr>
    <w:r>
      <w:rPr>
        <w:position w:val="-1"/>
      </w:rPr>
      <w:pict>
        <v:shape id="_x0000_i209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002455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2455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00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49624586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624586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0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81819959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19959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06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88659262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659262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1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35716656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716656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14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84843834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43834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1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487085592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7085592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20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43181672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181672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2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68180690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180690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26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09009827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09827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2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93763863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763863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3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38734604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734604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35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24642248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42248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38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89868063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68063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4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57593868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593868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44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93268632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68632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4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92895957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895957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50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3185740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85740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5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19172932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72932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56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06235782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235782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5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25560282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60282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6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456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6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6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780844030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844030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66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157887461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887461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6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860492199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492199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7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035995469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5995469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75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841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845066683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066683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442"/>
    </w:pPr>
    <w:r>
      <w:rPr>
        <w:position w:val="-1"/>
      </w:rPr>
      <w:pict>
        <v:shape id="_x0000_i2178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1944351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44351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8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5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71046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78770903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70903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3"/>
        <w:position w:val="2"/>
        <w:sz w:val="16"/>
        <w:szCs w:val="16"/>
      </w:rPr>
      <w:t>行业研究</w:t>
    </w:r>
    <w:r>
      <w:rPr>
        <w:rFonts w:ascii="SimHei" w:eastAsia="SimHei" w:hAnsi="SimHei" w:cs="SimHei"/>
        <w:spacing w:val="17"/>
        <w:position w:val="2"/>
        <w:sz w:val="16"/>
        <w:szCs w:val="16"/>
      </w:rPr>
      <w:t xml:space="preserve"> </w:t>
    </w:r>
    <w:r>
      <w:rPr>
        <w:spacing w:val="-3"/>
        <w:position w:val="2"/>
        <w:sz w:val="16"/>
        <w:szCs w:val="16"/>
      </w:rPr>
      <w:t>|</w:t>
    </w:r>
    <w:r>
      <w:rPr>
        <w:spacing w:val="41"/>
        <w:w w:val="101"/>
        <w:position w:val="2"/>
        <w:sz w:val="16"/>
        <w:szCs w:val="16"/>
      </w:rPr>
      <w:t xml:space="preserve"> </w:t>
    </w:r>
    <w:r>
      <w:rPr>
        <w:rFonts w:ascii="SimHei" w:eastAsia="SimHei" w:hAnsi="SimHei" w:cs="SimHei"/>
        <w:spacing w:val="-3"/>
        <w:position w:val="2"/>
        <w:sz w:val="16"/>
        <w:szCs w:val="16"/>
      </w:rPr>
      <w:t>深度报告</w:t>
    </w:r>
  </w:p>
  <w:p>
    <w:pPr>
      <w:spacing w:before="61" w:line="15" w:lineRule="exact"/>
      <w:ind w:firstLine="8"/>
    </w:pPr>
    <w:r>
      <w:rPr>
        <w:position w:val="-1"/>
      </w:rPr>
      <w:pict>
        <v:shape id="_x0000_i2184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TXihei" w:eastAsia="STXihei" w:hAnsi="STXihei" w:cs="STXi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63.png" /><Relationship Id="rId101" Type="http://schemas.openxmlformats.org/officeDocument/2006/relationships/image" Target="media/image64.png" /><Relationship Id="rId102" Type="http://schemas.openxmlformats.org/officeDocument/2006/relationships/image" Target="media/image65.png" /><Relationship Id="rId103" Type="http://schemas.openxmlformats.org/officeDocument/2006/relationships/image" Target="media/image66.png" /><Relationship Id="rId104" Type="http://schemas.openxmlformats.org/officeDocument/2006/relationships/image" Target="media/image67.png" /><Relationship Id="rId105" Type="http://schemas.openxmlformats.org/officeDocument/2006/relationships/image" Target="media/image68.png" /><Relationship Id="rId106" Type="http://schemas.openxmlformats.org/officeDocument/2006/relationships/image" Target="media/image69.png" /><Relationship Id="rId107" Type="http://schemas.openxmlformats.org/officeDocument/2006/relationships/image" Target="media/image70.png" /><Relationship Id="rId108" Type="http://schemas.openxmlformats.org/officeDocument/2006/relationships/image" Target="media/image71.png" /><Relationship Id="rId109" Type="http://schemas.openxmlformats.org/officeDocument/2006/relationships/image" Target="media/image72.png" /><Relationship Id="rId11" Type="http://schemas.openxmlformats.org/officeDocument/2006/relationships/image" Target="media/image7.png" /><Relationship Id="rId110" Type="http://schemas.openxmlformats.org/officeDocument/2006/relationships/image" Target="media/image73.png" /><Relationship Id="rId111" Type="http://schemas.openxmlformats.org/officeDocument/2006/relationships/image" Target="media/image74.png" /><Relationship Id="rId112" Type="http://schemas.openxmlformats.org/officeDocument/2006/relationships/image" Target="media/image75.png" /><Relationship Id="rId113" Type="http://schemas.openxmlformats.org/officeDocument/2006/relationships/image" Target="media/image76.png" /><Relationship Id="rId114" Type="http://schemas.openxmlformats.org/officeDocument/2006/relationships/image" Target="media/image77.png" /><Relationship Id="rId115" Type="http://schemas.openxmlformats.org/officeDocument/2006/relationships/image" Target="media/image78.png" /><Relationship Id="rId116" Type="http://schemas.openxmlformats.org/officeDocument/2006/relationships/image" Target="media/image79.png" /><Relationship Id="rId117" Type="http://schemas.openxmlformats.org/officeDocument/2006/relationships/image" Target="media/image80.png" /><Relationship Id="rId118" Type="http://schemas.openxmlformats.org/officeDocument/2006/relationships/image" Target="media/image81.png" /><Relationship Id="rId119" Type="http://schemas.openxmlformats.org/officeDocument/2006/relationships/image" Target="media/image82.png" /><Relationship Id="rId12" Type="http://schemas.openxmlformats.org/officeDocument/2006/relationships/header" Target="header4.xml" /><Relationship Id="rId120" Type="http://schemas.openxmlformats.org/officeDocument/2006/relationships/image" Target="media/image83.png" /><Relationship Id="rId121" Type="http://schemas.openxmlformats.org/officeDocument/2006/relationships/image" Target="media/image84.png" /><Relationship Id="rId122" Type="http://schemas.openxmlformats.org/officeDocument/2006/relationships/header" Target="header22.xml" /><Relationship Id="rId123" Type="http://schemas.openxmlformats.org/officeDocument/2006/relationships/footer" Target="footer16.xml" /><Relationship Id="rId124" Type="http://schemas.openxmlformats.org/officeDocument/2006/relationships/header" Target="header23.xml" /><Relationship Id="rId125" Type="http://schemas.openxmlformats.org/officeDocument/2006/relationships/footer" Target="footer17.xml" /><Relationship Id="rId126" Type="http://schemas.openxmlformats.org/officeDocument/2006/relationships/image" Target="media/image85.png" /><Relationship Id="rId127" Type="http://schemas.openxmlformats.org/officeDocument/2006/relationships/image" Target="media/image86.png" /><Relationship Id="rId128" Type="http://schemas.openxmlformats.org/officeDocument/2006/relationships/image" Target="media/image87.jpeg" /><Relationship Id="rId129" Type="http://schemas.openxmlformats.org/officeDocument/2006/relationships/image" Target="media/image88.jpeg" /><Relationship Id="rId13" Type="http://schemas.openxmlformats.org/officeDocument/2006/relationships/header" Target="header5.xml" /><Relationship Id="rId130" Type="http://schemas.openxmlformats.org/officeDocument/2006/relationships/image" Target="media/image89.jpeg" /><Relationship Id="rId131" Type="http://schemas.openxmlformats.org/officeDocument/2006/relationships/image" Target="media/image90.jpeg" /><Relationship Id="rId132" Type="http://schemas.openxmlformats.org/officeDocument/2006/relationships/image" Target="media/image91.jpeg" /><Relationship Id="rId133" Type="http://schemas.openxmlformats.org/officeDocument/2006/relationships/image" Target="media/image92.png" /><Relationship Id="rId134" Type="http://schemas.openxmlformats.org/officeDocument/2006/relationships/image" Target="media/image93.jpeg" /><Relationship Id="rId135" Type="http://schemas.openxmlformats.org/officeDocument/2006/relationships/image" Target="media/image94.png" /><Relationship Id="rId136" Type="http://schemas.openxmlformats.org/officeDocument/2006/relationships/header" Target="header24.xml" /><Relationship Id="rId137" Type="http://schemas.openxmlformats.org/officeDocument/2006/relationships/footer" Target="footer18.xml" /><Relationship Id="rId138" Type="http://schemas.openxmlformats.org/officeDocument/2006/relationships/header" Target="header25.xml" /><Relationship Id="rId139" Type="http://schemas.openxmlformats.org/officeDocument/2006/relationships/footer" Target="footer19.xml" /><Relationship Id="rId14" Type="http://schemas.openxmlformats.org/officeDocument/2006/relationships/header" Target="header6.xml" /><Relationship Id="rId140" Type="http://schemas.openxmlformats.org/officeDocument/2006/relationships/header" Target="header26.xml" /><Relationship Id="rId141" Type="http://schemas.openxmlformats.org/officeDocument/2006/relationships/footer" Target="footer20.xml" /><Relationship Id="rId142" Type="http://schemas.openxmlformats.org/officeDocument/2006/relationships/image" Target="media/image95.png" /><Relationship Id="rId143" Type="http://schemas.openxmlformats.org/officeDocument/2006/relationships/image" Target="media/image96.png" /><Relationship Id="rId144" Type="http://schemas.openxmlformats.org/officeDocument/2006/relationships/image" Target="media/image97.png" /><Relationship Id="rId145" Type="http://schemas.openxmlformats.org/officeDocument/2006/relationships/header" Target="header27.xml" /><Relationship Id="rId146" Type="http://schemas.openxmlformats.org/officeDocument/2006/relationships/footer" Target="footer21.xml" /><Relationship Id="rId147" Type="http://schemas.openxmlformats.org/officeDocument/2006/relationships/image" Target="media/image98.png" /><Relationship Id="rId148" Type="http://schemas.openxmlformats.org/officeDocument/2006/relationships/header" Target="header28.xml" /><Relationship Id="rId149" Type="http://schemas.openxmlformats.org/officeDocument/2006/relationships/footer" Target="footer22.xml" /><Relationship Id="rId15" Type="http://schemas.openxmlformats.org/officeDocument/2006/relationships/image" Target="media/image8.png" /><Relationship Id="rId150" Type="http://schemas.openxmlformats.org/officeDocument/2006/relationships/image" Target="media/image99.png" /><Relationship Id="rId151" Type="http://schemas.openxmlformats.org/officeDocument/2006/relationships/image" Target="media/image100.png" /><Relationship Id="rId152" Type="http://schemas.openxmlformats.org/officeDocument/2006/relationships/image" Target="media/image101.png" /><Relationship Id="rId153" Type="http://schemas.openxmlformats.org/officeDocument/2006/relationships/image" Target="media/image102.png" /><Relationship Id="rId154" Type="http://schemas.openxmlformats.org/officeDocument/2006/relationships/header" Target="header29.xml" /><Relationship Id="rId155" Type="http://schemas.openxmlformats.org/officeDocument/2006/relationships/footer" Target="footer23.xml" /><Relationship Id="rId156" Type="http://schemas.openxmlformats.org/officeDocument/2006/relationships/image" Target="media/image103.png" /><Relationship Id="rId157" Type="http://schemas.openxmlformats.org/officeDocument/2006/relationships/header" Target="header30.xml" /><Relationship Id="rId158" Type="http://schemas.openxmlformats.org/officeDocument/2006/relationships/footer" Target="footer24.xml" /><Relationship Id="rId159" Type="http://schemas.openxmlformats.org/officeDocument/2006/relationships/image" Target="media/image104.png" /><Relationship Id="rId16" Type="http://schemas.openxmlformats.org/officeDocument/2006/relationships/header" Target="header7.xml" /><Relationship Id="rId160" Type="http://schemas.openxmlformats.org/officeDocument/2006/relationships/image" Target="media/image105.png" /><Relationship Id="rId161" Type="http://schemas.openxmlformats.org/officeDocument/2006/relationships/image" Target="media/image106.png" /><Relationship Id="rId162" Type="http://schemas.openxmlformats.org/officeDocument/2006/relationships/header" Target="header31.xml" /><Relationship Id="rId163" Type="http://schemas.openxmlformats.org/officeDocument/2006/relationships/footer" Target="footer25.xml" /><Relationship Id="rId164" Type="http://schemas.openxmlformats.org/officeDocument/2006/relationships/header" Target="header32.xml" /><Relationship Id="rId165" Type="http://schemas.openxmlformats.org/officeDocument/2006/relationships/footer" Target="footer26.xml" /><Relationship Id="rId166" Type="http://schemas.openxmlformats.org/officeDocument/2006/relationships/header" Target="header33.xml" /><Relationship Id="rId167" Type="http://schemas.openxmlformats.org/officeDocument/2006/relationships/footer" Target="footer27.xml" /><Relationship Id="rId168" Type="http://schemas.openxmlformats.org/officeDocument/2006/relationships/image" Target="media/image107.png" /><Relationship Id="rId169" Type="http://schemas.openxmlformats.org/officeDocument/2006/relationships/image" Target="media/image108.png" /><Relationship Id="rId17" Type="http://schemas.openxmlformats.org/officeDocument/2006/relationships/footer" Target="footer1.xml" /><Relationship Id="rId170" Type="http://schemas.openxmlformats.org/officeDocument/2006/relationships/image" Target="media/image109.png" /><Relationship Id="rId171" Type="http://schemas.openxmlformats.org/officeDocument/2006/relationships/image" Target="media/image110.png" /><Relationship Id="rId172" Type="http://schemas.openxmlformats.org/officeDocument/2006/relationships/image" Target="media/image111.png" /><Relationship Id="rId173" Type="http://schemas.openxmlformats.org/officeDocument/2006/relationships/image" Target="media/image112.png" /><Relationship Id="rId174" Type="http://schemas.openxmlformats.org/officeDocument/2006/relationships/image" Target="media/image113.png" /><Relationship Id="rId175" Type="http://schemas.openxmlformats.org/officeDocument/2006/relationships/image" Target="media/image114.png" /><Relationship Id="rId176" Type="http://schemas.openxmlformats.org/officeDocument/2006/relationships/image" Target="media/image115.png" /><Relationship Id="rId177" Type="http://schemas.openxmlformats.org/officeDocument/2006/relationships/header" Target="header34.xml" /><Relationship Id="rId178" Type="http://schemas.openxmlformats.org/officeDocument/2006/relationships/footer" Target="footer28.xml" /><Relationship Id="rId179" Type="http://schemas.openxmlformats.org/officeDocument/2006/relationships/header" Target="header35.xml" /><Relationship Id="rId18" Type="http://schemas.openxmlformats.org/officeDocument/2006/relationships/header" Target="header8.xml" /><Relationship Id="rId180" Type="http://schemas.openxmlformats.org/officeDocument/2006/relationships/footer" Target="footer29.xml" /><Relationship Id="rId181" Type="http://schemas.openxmlformats.org/officeDocument/2006/relationships/header" Target="header36.xml" /><Relationship Id="rId182" Type="http://schemas.openxmlformats.org/officeDocument/2006/relationships/footer" Target="footer30.xml" /><Relationship Id="rId183" Type="http://schemas.openxmlformats.org/officeDocument/2006/relationships/image" Target="media/image116.png" /><Relationship Id="rId184" Type="http://schemas.openxmlformats.org/officeDocument/2006/relationships/image" Target="media/image117.png" /><Relationship Id="rId185" Type="http://schemas.openxmlformats.org/officeDocument/2006/relationships/header" Target="header37.xml" /><Relationship Id="rId186" Type="http://schemas.openxmlformats.org/officeDocument/2006/relationships/footer" Target="footer31.xml" /><Relationship Id="rId187" Type="http://schemas.openxmlformats.org/officeDocument/2006/relationships/header" Target="header38.xml" /><Relationship Id="rId188" Type="http://schemas.openxmlformats.org/officeDocument/2006/relationships/footer" Target="footer32.xml" /><Relationship Id="rId189" Type="http://schemas.openxmlformats.org/officeDocument/2006/relationships/header" Target="header39.xml" /><Relationship Id="rId19" Type="http://schemas.openxmlformats.org/officeDocument/2006/relationships/footer" Target="footer2.xml" /><Relationship Id="rId190" Type="http://schemas.openxmlformats.org/officeDocument/2006/relationships/footer" Target="footer33.xml" /><Relationship Id="rId191" Type="http://schemas.openxmlformats.org/officeDocument/2006/relationships/image" Target="media/image118.png" /><Relationship Id="rId192" Type="http://schemas.openxmlformats.org/officeDocument/2006/relationships/image" Target="media/image119.png" /><Relationship Id="rId193" Type="http://schemas.openxmlformats.org/officeDocument/2006/relationships/image" Target="media/image120.png" /><Relationship Id="rId194" Type="http://schemas.openxmlformats.org/officeDocument/2006/relationships/image" Target="media/image121.png" /><Relationship Id="rId195" Type="http://schemas.openxmlformats.org/officeDocument/2006/relationships/image" Target="media/image122.png" /><Relationship Id="rId196" Type="http://schemas.openxmlformats.org/officeDocument/2006/relationships/image" Target="media/image123.png" /><Relationship Id="rId197" Type="http://schemas.openxmlformats.org/officeDocument/2006/relationships/header" Target="header40.xml" /><Relationship Id="rId198" Type="http://schemas.openxmlformats.org/officeDocument/2006/relationships/footer" Target="footer34.xml" /><Relationship Id="rId199" Type="http://schemas.openxmlformats.org/officeDocument/2006/relationships/header" Target="header41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00" Type="http://schemas.openxmlformats.org/officeDocument/2006/relationships/footer" Target="footer35.xml" /><Relationship Id="rId201" Type="http://schemas.openxmlformats.org/officeDocument/2006/relationships/header" Target="header42.xml" /><Relationship Id="rId202" Type="http://schemas.openxmlformats.org/officeDocument/2006/relationships/footer" Target="footer36.xml" /><Relationship Id="rId203" Type="http://schemas.openxmlformats.org/officeDocument/2006/relationships/image" Target="media/image124.png" /><Relationship Id="rId204" Type="http://schemas.openxmlformats.org/officeDocument/2006/relationships/image" Target="media/image125.png" /><Relationship Id="rId205" Type="http://schemas.openxmlformats.org/officeDocument/2006/relationships/image" Target="media/image126.png" /><Relationship Id="rId206" Type="http://schemas.openxmlformats.org/officeDocument/2006/relationships/image" Target="media/image127.png" /><Relationship Id="rId207" Type="http://schemas.openxmlformats.org/officeDocument/2006/relationships/header" Target="header43.xml" /><Relationship Id="rId208" Type="http://schemas.openxmlformats.org/officeDocument/2006/relationships/footer" Target="footer37.xml" /><Relationship Id="rId209" Type="http://schemas.openxmlformats.org/officeDocument/2006/relationships/image" Target="media/image128.png" /><Relationship Id="rId21" Type="http://schemas.openxmlformats.org/officeDocument/2006/relationships/image" Target="media/image10.png" /><Relationship Id="rId210" Type="http://schemas.openxmlformats.org/officeDocument/2006/relationships/image" Target="media/image129.png" /><Relationship Id="rId211" Type="http://schemas.openxmlformats.org/officeDocument/2006/relationships/image" Target="media/image130.png" /><Relationship Id="rId212" Type="http://schemas.openxmlformats.org/officeDocument/2006/relationships/image" Target="media/image131.png" /><Relationship Id="rId213" Type="http://schemas.openxmlformats.org/officeDocument/2006/relationships/image" Target="media/image132.png" /><Relationship Id="rId214" Type="http://schemas.openxmlformats.org/officeDocument/2006/relationships/image" Target="media/image133.png" /><Relationship Id="rId215" Type="http://schemas.openxmlformats.org/officeDocument/2006/relationships/image" Target="media/image134.png" /><Relationship Id="rId216" Type="http://schemas.openxmlformats.org/officeDocument/2006/relationships/image" Target="media/image135.png" /><Relationship Id="rId217" Type="http://schemas.openxmlformats.org/officeDocument/2006/relationships/image" Target="media/image136.png" /><Relationship Id="rId218" Type="http://schemas.openxmlformats.org/officeDocument/2006/relationships/image" Target="media/image137.png" /><Relationship Id="rId219" Type="http://schemas.openxmlformats.org/officeDocument/2006/relationships/image" Target="media/image138.png" /><Relationship Id="rId22" Type="http://schemas.openxmlformats.org/officeDocument/2006/relationships/header" Target="header9.xml" /><Relationship Id="rId220" Type="http://schemas.openxmlformats.org/officeDocument/2006/relationships/image" Target="media/image139.png" /><Relationship Id="rId221" Type="http://schemas.openxmlformats.org/officeDocument/2006/relationships/image" Target="media/image140.png" /><Relationship Id="rId222" Type="http://schemas.openxmlformats.org/officeDocument/2006/relationships/image" Target="media/image141.png" /><Relationship Id="rId223" Type="http://schemas.openxmlformats.org/officeDocument/2006/relationships/image" Target="media/image142.png" /><Relationship Id="rId224" Type="http://schemas.openxmlformats.org/officeDocument/2006/relationships/image" Target="media/image143.png" /><Relationship Id="rId225" Type="http://schemas.openxmlformats.org/officeDocument/2006/relationships/image" Target="media/image144.png" /><Relationship Id="rId226" Type="http://schemas.openxmlformats.org/officeDocument/2006/relationships/image" Target="media/image145.png" /><Relationship Id="rId227" Type="http://schemas.openxmlformats.org/officeDocument/2006/relationships/image" Target="media/image146.png" /><Relationship Id="rId228" Type="http://schemas.openxmlformats.org/officeDocument/2006/relationships/image" Target="media/image147.png" /><Relationship Id="rId229" Type="http://schemas.openxmlformats.org/officeDocument/2006/relationships/image" Target="media/image148.png" /><Relationship Id="rId23" Type="http://schemas.openxmlformats.org/officeDocument/2006/relationships/footer" Target="footer3.xml" /><Relationship Id="rId230" Type="http://schemas.openxmlformats.org/officeDocument/2006/relationships/image" Target="media/image149.png" /><Relationship Id="rId231" Type="http://schemas.openxmlformats.org/officeDocument/2006/relationships/image" Target="media/image150.png" /><Relationship Id="rId232" Type="http://schemas.openxmlformats.org/officeDocument/2006/relationships/image" Target="media/image151.png" /><Relationship Id="rId233" Type="http://schemas.openxmlformats.org/officeDocument/2006/relationships/image" Target="media/image152.png" /><Relationship Id="rId234" Type="http://schemas.openxmlformats.org/officeDocument/2006/relationships/image" Target="media/image153.png" /><Relationship Id="rId235" Type="http://schemas.openxmlformats.org/officeDocument/2006/relationships/image" Target="media/image154.png" /><Relationship Id="rId236" Type="http://schemas.openxmlformats.org/officeDocument/2006/relationships/image" Target="media/image155.png" /><Relationship Id="rId237" Type="http://schemas.openxmlformats.org/officeDocument/2006/relationships/image" Target="media/image156.png" /><Relationship Id="rId238" Type="http://schemas.openxmlformats.org/officeDocument/2006/relationships/image" Target="media/image157.png" /><Relationship Id="rId239" Type="http://schemas.openxmlformats.org/officeDocument/2006/relationships/image" Target="media/image158.png" /><Relationship Id="rId24" Type="http://schemas.openxmlformats.org/officeDocument/2006/relationships/header" Target="header10.xml" /><Relationship Id="rId240" Type="http://schemas.openxmlformats.org/officeDocument/2006/relationships/image" Target="media/image159.png" /><Relationship Id="rId241" Type="http://schemas.openxmlformats.org/officeDocument/2006/relationships/image" Target="media/image160.png" /><Relationship Id="rId242" Type="http://schemas.openxmlformats.org/officeDocument/2006/relationships/image" Target="media/image161.png" /><Relationship Id="rId243" Type="http://schemas.openxmlformats.org/officeDocument/2006/relationships/image" Target="media/image162.png" /><Relationship Id="rId244" Type="http://schemas.openxmlformats.org/officeDocument/2006/relationships/image" Target="media/image163.png" /><Relationship Id="rId245" Type="http://schemas.openxmlformats.org/officeDocument/2006/relationships/header" Target="header44.xml" /><Relationship Id="rId246" Type="http://schemas.openxmlformats.org/officeDocument/2006/relationships/footer" Target="footer38.xml" /><Relationship Id="rId247" Type="http://schemas.openxmlformats.org/officeDocument/2006/relationships/header" Target="header45.xml" /><Relationship Id="rId248" Type="http://schemas.openxmlformats.org/officeDocument/2006/relationships/footer" Target="footer39.xml" /><Relationship Id="rId249" Type="http://schemas.openxmlformats.org/officeDocument/2006/relationships/header" Target="header46.xml" /><Relationship Id="rId25" Type="http://schemas.openxmlformats.org/officeDocument/2006/relationships/footer" Target="footer4.xml" /><Relationship Id="rId250" Type="http://schemas.openxmlformats.org/officeDocument/2006/relationships/footer" Target="footer40.xml" /><Relationship Id="rId251" Type="http://schemas.openxmlformats.org/officeDocument/2006/relationships/image" Target="media/image164.png" /><Relationship Id="rId252" Type="http://schemas.openxmlformats.org/officeDocument/2006/relationships/image" Target="media/image165.png" /><Relationship Id="rId253" Type="http://schemas.openxmlformats.org/officeDocument/2006/relationships/image" Target="media/image166.png" /><Relationship Id="rId254" Type="http://schemas.openxmlformats.org/officeDocument/2006/relationships/image" Target="media/image167.png" /><Relationship Id="rId255" Type="http://schemas.openxmlformats.org/officeDocument/2006/relationships/image" Target="media/image168.png" /><Relationship Id="rId256" Type="http://schemas.openxmlformats.org/officeDocument/2006/relationships/image" Target="media/image169.png" /><Relationship Id="rId257" Type="http://schemas.openxmlformats.org/officeDocument/2006/relationships/image" Target="media/image170.png" /><Relationship Id="rId258" Type="http://schemas.openxmlformats.org/officeDocument/2006/relationships/image" Target="media/image171.png" /><Relationship Id="rId259" Type="http://schemas.openxmlformats.org/officeDocument/2006/relationships/image" Target="media/image172.png" /><Relationship Id="rId26" Type="http://schemas.openxmlformats.org/officeDocument/2006/relationships/header" Target="header11.xml" /><Relationship Id="rId260" Type="http://schemas.openxmlformats.org/officeDocument/2006/relationships/image" Target="media/image173.png" /><Relationship Id="rId261" Type="http://schemas.openxmlformats.org/officeDocument/2006/relationships/image" Target="media/image174.png" /><Relationship Id="rId262" Type="http://schemas.openxmlformats.org/officeDocument/2006/relationships/image" Target="media/image175.png" /><Relationship Id="rId263" Type="http://schemas.openxmlformats.org/officeDocument/2006/relationships/image" Target="media/image176.png" /><Relationship Id="rId264" Type="http://schemas.openxmlformats.org/officeDocument/2006/relationships/image" Target="media/image177.png" /><Relationship Id="rId265" Type="http://schemas.openxmlformats.org/officeDocument/2006/relationships/image" Target="media/image178.png" /><Relationship Id="rId266" Type="http://schemas.openxmlformats.org/officeDocument/2006/relationships/header" Target="header47.xml" /><Relationship Id="rId267" Type="http://schemas.openxmlformats.org/officeDocument/2006/relationships/footer" Target="footer41.xml" /><Relationship Id="rId268" Type="http://schemas.openxmlformats.org/officeDocument/2006/relationships/image" Target="media/image179.png" /><Relationship Id="rId269" Type="http://schemas.openxmlformats.org/officeDocument/2006/relationships/image" Target="media/image180.jpeg" /><Relationship Id="rId27" Type="http://schemas.openxmlformats.org/officeDocument/2006/relationships/footer" Target="footer5.xml" /><Relationship Id="rId270" Type="http://schemas.openxmlformats.org/officeDocument/2006/relationships/image" Target="media/image181.png" /><Relationship Id="rId271" Type="http://schemas.openxmlformats.org/officeDocument/2006/relationships/header" Target="header48.xml" /><Relationship Id="rId272" Type="http://schemas.openxmlformats.org/officeDocument/2006/relationships/footer" Target="footer42.xml" /><Relationship Id="rId273" Type="http://schemas.openxmlformats.org/officeDocument/2006/relationships/image" Target="media/image182.png" /><Relationship Id="rId274" Type="http://schemas.openxmlformats.org/officeDocument/2006/relationships/image" Target="media/image183.png" /><Relationship Id="rId275" Type="http://schemas.openxmlformats.org/officeDocument/2006/relationships/image" Target="media/image184.png" /><Relationship Id="rId276" Type="http://schemas.openxmlformats.org/officeDocument/2006/relationships/header" Target="header49.xml" /><Relationship Id="rId277" Type="http://schemas.openxmlformats.org/officeDocument/2006/relationships/footer" Target="footer43.xml" /><Relationship Id="rId278" Type="http://schemas.openxmlformats.org/officeDocument/2006/relationships/header" Target="header50.xml" /><Relationship Id="rId279" Type="http://schemas.openxmlformats.org/officeDocument/2006/relationships/footer" Target="footer44.xml" /><Relationship Id="rId28" Type="http://schemas.openxmlformats.org/officeDocument/2006/relationships/header" Target="header12.xml" /><Relationship Id="rId280" Type="http://schemas.openxmlformats.org/officeDocument/2006/relationships/header" Target="header51.xml" /><Relationship Id="rId281" Type="http://schemas.openxmlformats.org/officeDocument/2006/relationships/footer" Target="footer45.xml" /><Relationship Id="rId282" Type="http://schemas.openxmlformats.org/officeDocument/2006/relationships/image" Target="media/image185.png" /><Relationship Id="rId283" Type="http://schemas.openxmlformats.org/officeDocument/2006/relationships/image" Target="media/image186.png" /><Relationship Id="rId284" Type="http://schemas.openxmlformats.org/officeDocument/2006/relationships/image" Target="media/image187.png" /><Relationship Id="rId285" Type="http://schemas.openxmlformats.org/officeDocument/2006/relationships/header" Target="header52.xml" /><Relationship Id="rId286" Type="http://schemas.openxmlformats.org/officeDocument/2006/relationships/footer" Target="footer46.xml" /><Relationship Id="rId287" Type="http://schemas.openxmlformats.org/officeDocument/2006/relationships/header" Target="header53.xml" /><Relationship Id="rId288" Type="http://schemas.openxmlformats.org/officeDocument/2006/relationships/footer" Target="footer47.xml" /><Relationship Id="rId289" Type="http://schemas.openxmlformats.org/officeDocument/2006/relationships/image" Target="media/image188.png" /><Relationship Id="rId29" Type="http://schemas.openxmlformats.org/officeDocument/2006/relationships/footer" Target="footer6.xml" /><Relationship Id="rId290" Type="http://schemas.openxmlformats.org/officeDocument/2006/relationships/header" Target="header54.xml" /><Relationship Id="rId291" Type="http://schemas.openxmlformats.org/officeDocument/2006/relationships/footer" Target="footer48.xml" /><Relationship Id="rId292" Type="http://schemas.openxmlformats.org/officeDocument/2006/relationships/image" Target="media/image189.png" /><Relationship Id="rId293" Type="http://schemas.openxmlformats.org/officeDocument/2006/relationships/hyperlink" Target="https://d.book118.com/866055224014010053" TargetMode="External" /><Relationship Id="rId294" Type="http://schemas.openxmlformats.org/officeDocument/2006/relationships/header" Target="header55.xml" /><Relationship Id="rId295" Type="http://schemas.openxmlformats.org/officeDocument/2006/relationships/footer" Target="footer49.xml" /><Relationship Id="rId296" Type="http://schemas.openxmlformats.org/officeDocument/2006/relationships/theme" Target="theme/theme1.xml" /><Relationship Id="rId297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7.xml" /><Relationship Id="rId32" Type="http://schemas.openxmlformats.org/officeDocument/2006/relationships/header" Target="header14.xml" /><Relationship Id="rId33" Type="http://schemas.openxmlformats.org/officeDocument/2006/relationships/footer" Target="footer8.xml" /><Relationship Id="rId34" Type="http://schemas.openxmlformats.org/officeDocument/2006/relationships/image" Target="media/image11.png" /><Relationship Id="rId35" Type="http://schemas.openxmlformats.org/officeDocument/2006/relationships/image" Target="media/image12.png" /><Relationship Id="rId36" Type="http://schemas.openxmlformats.org/officeDocument/2006/relationships/image" Target="media/image13.png" /><Relationship Id="rId37" Type="http://schemas.openxmlformats.org/officeDocument/2006/relationships/image" Target="media/image14.png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image" Target="media/image17.png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image" Target="media/image21.png" /><Relationship Id="rId45" Type="http://schemas.openxmlformats.org/officeDocument/2006/relationships/header" Target="header15.xml" /><Relationship Id="rId46" Type="http://schemas.openxmlformats.org/officeDocument/2006/relationships/footer" Target="footer9.xml" /><Relationship Id="rId47" Type="http://schemas.openxmlformats.org/officeDocument/2006/relationships/header" Target="header16.xml" /><Relationship Id="rId48" Type="http://schemas.openxmlformats.org/officeDocument/2006/relationships/footer" Target="footer10.xml" /><Relationship Id="rId49" Type="http://schemas.openxmlformats.org/officeDocument/2006/relationships/image" Target="media/image22.jpeg" /><Relationship Id="rId5" Type="http://schemas.openxmlformats.org/officeDocument/2006/relationships/header" Target="header2.xml" /><Relationship Id="rId50" Type="http://schemas.openxmlformats.org/officeDocument/2006/relationships/header" Target="header17.xml" /><Relationship Id="rId51" Type="http://schemas.openxmlformats.org/officeDocument/2006/relationships/footer" Target="footer11.xml" /><Relationship Id="rId52" Type="http://schemas.openxmlformats.org/officeDocument/2006/relationships/image" Target="media/image23.png" /><Relationship Id="rId53" Type="http://schemas.openxmlformats.org/officeDocument/2006/relationships/image" Target="media/image24.png" /><Relationship Id="rId54" Type="http://schemas.openxmlformats.org/officeDocument/2006/relationships/image" Target="media/image25.png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image" Target="media/image2.png" /><Relationship Id="rId60" Type="http://schemas.openxmlformats.org/officeDocument/2006/relationships/image" Target="media/image31.png" /><Relationship Id="rId61" Type="http://schemas.openxmlformats.org/officeDocument/2006/relationships/image" Target="media/image32.png" /><Relationship Id="rId62" Type="http://schemas.openxmlformats.org/officeDocument/2006/relationships/image" Target="media/image33.png" /><Relationship Id="rId63" Type="http://schemas.openxmlformats.org/officeDocument/2006/relationships/image" Target="media/image34.png" /><Relationship Id="rId64" Type="http://schemas.openxmlformats.org/officeDocument/2006/relationships/image" Target="media/image35.png" /><Relationship Id="rId65" Type="http://schemas.openxmlformats.org/officeDocument/2006/relationships/image" Target="media/image36.png" /><Relationship Id="rId66" Type="http://schemas.openxmlformats.org/officeDocument/2006/relationships/image" Target="media/image37.png" /><Relationship Id="rId67" Type="http://schemas.openxmlformats.org/officeDocument/2006/relationships/image" Target="media/image38.png" /><Relationship Id="rId68" Type="http://schemas.openxmlformats.org/officeDocument/2006/relationships/image" Target="media/image39.png" /><Relationship Id="rId69" Type="http://schemas.openxmlformats.org/officeDocument/2006/relationships/image" Target="media/image40.png" /><Relationship Id="rId7" Type="http://schemas.openxmlformats.org/officeDocument/2006/relationships/image" Target="media/image3.png" /><Relationship Id="rId70" Type="http://schemas.openxmlformats.org/officeDocument/2006/relationships/image" Target="media/image41.png" /><Relationship Id="rId71" Type="http://schemas.openxmlformats.org/officeDocument/2006/relationships/image" Target="media/image42.png" /><Relationship Id="rId72" Type="http://schemas.openxmlformats.org/officeDocument/2006/relationships/image" Target="media/image43.png" /><Relationship Id="rId73" Type="http://schemas.openxmlformats.org/officeDocument/2006/relationships/image" Target="media/image44.png" /><Relationship Id="rId74" Type="http://schemas.openxmlformats.org/officeDocument/2006/relationships/image" Target="media/image45.png" /><Relationship Id="rId75" Type="http://schemas.openxmlformats.org/officeDocument/2006/relationships/image" Target="media/image46.png" /><Relationship Id="rId76" Type="http://schemas.openxmlformats.org/officeDocument/2006/relationships/image" Target="media/image47.png" /><Relationship Id="rId77" Type="http://schemas.openxmlformats.org/officeDocument/2006/relationships/image" Target="media/image48.png" /><Relationship Id="rId78" Type="http://schemas.openxmlformats.org/officeDocument/2006/relationships/image" Target="media/image49.png" /><Relationship Id="rId79" Type="http://schemas.openxmlformats.org/officeDocument/2006/relationships/image" Target="media/image50.png" /><Relationship Id="rId8" Type="http://schemas.openxmlformats.org/officeDocument/2006/relationships/image" Target="media/image4.png" /><Relationship Id="rId80" Type="http://schemas.openxmlformats.org/officeDocument/2006/relationships/image" Target="media/image51.png" /><Relationship Id="rId81" Type="http://schemas.openxmlformats.org/officeDocument/2006/relationships/image" Target="media/image52.png" /><Relationship Id="rId82" Type="http://schemas.openxmlformats.org/officeDocument/2006/relationships/image" Target="media/image53.png" /><Relationship Id="rId83" Type="http://schemas.openxmlformats.org/officeDocument/2006/relationships/image" Target="media/image54.png" /><Relationship Id="rId84" Type="http://schemas.openxmlformats.org/officeDocument/2006/relationships/image" Target="media/image55.png" /><Relationship Id="rId85" Type="http://schemas.openxmlformats.org/officeDocument/2006/relationships/image" Target="media/image56.png" /><Relationship Id="rId86" Type="http://schemas.openxmlformats.org/officeDocument/2006/relationships/image" Target="media/image57.png" /><Relationship Id="rId87" Type="http://schemas.openxmlformats.org/officeDocument/2006/relationships/image" Target="media/image58.png" /><Relationship Id="rId88" Type="http://schemas.openxmlformats.org/officeDocument/2006/relationships/header" Target="header18.xml" /><Relationship Id="rId89" Type="http://schemas.openxmlformats.org/officeDocument/2006/relationships/footer" Target="footer12.xml" /><Relationship Id="rId9" Type="http://schemas.openxmlformats.org/officeDocument/2006/relationships/header" Target="header3.xml" /><Relationship Id="rId90" Type="http://schemas.openxmlformats.org/officeDocument/2006/relationships/header" Target="header19.xml" /><Relationship Id="rId91" Type="http://schemas.openxmlformats.org/officeDocument/2006/relationships/footer" Target="footer13.xml" /><Relationship Id="rId92" Type="http://schemas.openxmlformats.org/officeDocument/2006/relationships/header" Target="header20.xml" /><Relationship Id="rId93" Type="http://schemas.openxmlformats.org/officeDocument/2006/relationships/footer" Target="footer14.xml" /><Relationship Id="rId94" Type="http://schemas.openxmlformats.org/officeDocument/2006/relationships/image" Target="media/image59.jpeg" /><Relationship Id="rId95" Type="http://schemas.openxmlformats.org/officeDocument/2006/relationships/header" Target="header21.xml" /><Relationship Id="rId96" Type="http://schemas.openxmlformats.org/officeDocument/2006/relationships/footer" Target="footer15.xml" /><Relationship Id="rId97" Type="http://schemas.openxmlformats.org/officeDocument/2006/relationships/image" Target="media/image60.png" /><Relationship Id="rId98" Type="http://schemas.openxmlformats.org/officeDocument/2006/relationships/image" Target="media/image61.png" /><Relationship Id="rId99" Type="http://schemas.openxmlformats.org/officeDocument/2006/relationships/image" Target="media/image6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2024-02-28T21:31:17Z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2024-02-28T22:05:27Z</vt:filetime>
  </property>
  <property fmtid="{D5CDD505-2E9C-101B-9397-08002B2CF9AE}" pid="3" name="CRO">
    <vt:lpwstr>wqlLaW5nc29mdCBQREYgdG8gV1BTIDkw</vt:lpwstr>
  </property>
</Properties>
</file>