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油墨及类似产品项目规划设计方案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7" w:history="1">
        <w:r>
          <w:rPr>
            <w:rFonts w:ascii="仿宋" w:eastAsia="仿宋" w:hAnsi="仿宋" w:cs="仿宋" w:hint="eastAsia"/>
            <w:lang w:eastAsia="zh-CN"/>
          </w:rPr>
          <w:t>前言</w:t>
        </w:r>
        <w:r>
          <w:tab/>
        </w:r>
        <w:r>
          <w:fldChar w:fldCharType="begin"/>
        </w:r>
        <w:r>
          <w:instrText xml:space="preserve"> PAGEREF _Toc18417 \h </w:instrText>
        </w:r>
        <w:r>
          <w:fldChar w:fldCharType="separate"/>
        </w:r>
        <w:r>
          <w:t>3</w:t>
        </w:r>
        <w:r>
          <w:fldChar w:fldCharType="end"/>
        </w:r>
      </w:hyperlink>
    </w:p>
    <w:p>
      <w:pPr>
        <w:pStyle w:val="TOC1"/>
        <w:tabs>
          <w:tab w:val="right" w:leader="dot" w:pos="8306"/>
        </w:tabs>
      </w:pPr>
      <w:hyperlink w:anchor="_Toc18792" w:history="1">
        <w:r>
          <w:rPr>
            <w:rFonts w:ascii="仿宋" w:eastAsia="仿宋" w:hAnsi="仿宋" w:cs="仿宋" w:hint="eastAsia"/>
            <w:lang w:eastAsia="zh-CN"/>
          </w:rPr>
          <w:t>一、油墨及类似产品项目可持续发展</w:t>
        </w:r>
        <w:r>
          <w:tab/>
        </w:r>
        <w:r>
          <w:fldChar w:fldCharType="begin"/>
        </w:r>
        <w:r>
          <w:instrText xml:space="preserve"> PAGEREF _Toc18792 \h </w:instrText>
        </w:r>
        <w:r>
          <w:fldChar w:fldCharType="separate"/>
        </w:r>
        <w:r>
          <w:t>3</w:t>
        </w:r>
        <w:r>
          <w:fldChar w:fldCharType="end"/>
        </w:r>
      </w:hyperlink>
    </w:p>
    <w:p>
      <w:pPr>
        <w:pStyle w:val="TOC2"/>
        <w:tabs>
          <w:tab w:val="right" w:leader="dot" w:pos="8306"/>
        </w:tabs>
      </w:pPr>
      <w:hyperlink w:anchor="_Toc15482" w:history="1">
        <w:r>
          <w:rPr>
            <w:rFonts w:ascii="仿宋" w:eastAsia="仿宋" w:hAnsi="仿宋" w:cs="仿宋" w:hint="eastAsia"/>
            <w:lang w:eastAsia="zh-CN"/>
          </w:rPr>
          <w:t>(一)、可持续战略与实践</w:t>
        </w:r>
        <w:r>
          <w:tab/>
        </w:r>
        <w:r>
          <w:fldChar w:fldCharType="begin"/>
        </w:r>
        <w:r>
          <w:instrText xml:space="preserve"> PAGEREF _Toc15482 \h </w:instrText>
        </w:r>
        <w:r>
          <w:fldChar w:fldCharType="separate"/>
        </w:r>
        <w:r>
          <w:t>3</w:t>
        </w:r>
        <w:r>
          <w:fldChar w:fldCharType="end"/>
        </w:r>
      </w:hyperlink>
    </w:p>
    <w:p>
      <w:pPr>
        <w:pStyle w:val="TOC2"/>
        <w:tabs>
          <w:tab w:val="right" w:leader="dot" w:pos="8306"/>
        </w:tabs>
      </w:pPr>
      <w:hyperlink w:anchor="_Toc29077" w:history="1">
        <w:r>
          <w:rPr>
            <w:rFonts w:ascii="仿宋" w:eastAsia="仿宋" w:hAnsi="仿宋" w:cs="仿宋" w:hint="eastAsia"/>
            <w:lang w:eastAsia="zh-CN"/>
          </w:rPr>
          <w:t>(二)、环保与社会责任</w:t>
        </w:r>
        <w:r>
          <w:tab/>
        </w:r>
        <w:r>
          <w:fldChar w:fldCharType="begin"/>
        </w:r>
        <w:r>
          <w:instrText xml:space="preserve"> PAGEREF _Toc29077 \h </w:instrText>
        </w:r>
        <w:r>
          <w:fldChar w:fldCharType="separate"/>
        </w:r>
        <w:r>
          <w:t>4</w:t>
        </w:r>
        <w:r>
          <w:fldChar w:fldCharType="end"/>
        </w:r>
      </w:hyperlink>
    </w:p>
    <w:p>
      <w:pPr>
        <w:pStyle w:val="TOC1"/>
        <w:tabs>
          <w:tab w:val="right" w:leader="dot" w:pos="8306"/>
        </w:tabs>
      </w:pPr>
      <w:hyperlink w:anchor="_Toc2372" w:history="1">
        <w:r>
          <w:rPr>
            <w:rFonts w:ascii="仿宋" w:eastAsia="仿宋" w:hAnsi="仿宋" w:cs="仿宋" w:hint="eastAsia"/>
            <w:lang w:eastAsia="zh-CN"/>
          </w:rPr>
          <w:t>二、油墨及类似产品项目土建工程</w:t>
        </w:r>
        <w:r>
          <w:tab/>
        </w:r>
        <w:r>
          <w:fldChar w:fldCharType="begin"/>
        </w:r>
        <w:r>
          <w:instrText xml:space="preserve"> PAGEREF _Toc2372 \h </w:instrText>
        </w:r>
        <w:r>
          <w:fldChar w:fldCharType="separate"/>
        </w:r>
        <w:r>
          <w:t>5</w:t>
        </w:r>
        <w:r>
          <w:fldChar w:fldCharType="end"/>
        </w:r>
      </w:hyperlink>
    </w:p>
    <w:p>
      <w:pPr>
        <w:pStyle w:val="TOC2"/>
        <w:tabs>
          <w:tab w:val="right" w:leader="dot" w:pos="8306"/>
        </w:tabs>
      </w:pPr>
      <w:hyperlink w:anchor="_Toc14181" w:history="1">
        <w:r>
          <w:rPr>
            <w:rFonts w:ascii="仿宋" w:eastAsia="仿宋" w:hAnsi="仿宋" w:cs="仿宋" w:hint="eastAsia"/>
            <w:lang w:eastAsia="zh-CN"/>
          </w:rPr>
          <w:t>(一)、建筑工程设计原则</w:t>
        </w:r>
        <w:r>
          <w:tab/>
        </w:r>
        <w:r>
          <w:fldChar w:fldCharType="begin"/>
        </w:r>
        <w:r>
          <w:instrText xml:space="preserve"> PAGEREF _Toc14181 \h </w:instrText>
        </w:r>
        <w:r>
          <w:fldChar w:fldCharType="separate"/>
        </w:r>
        <w:r>
          <w:t>5</w:t>
        </w:r>
        <w:r>
          <w:fldChar w:fldCharType="end"/>
        </w:r>
      </w:hyperlink>
    </w:p>
    <w:p>
      <w:pPr>
        <w:pStyle w:val="TOC2"/>
        <w:tabs>
          <w:tab w:val="right" w:leader="dot" w:pos="8306"/>
        </w:tabs>
      </w:pPr>
      <w:hyperlink w:anchor="_Toc16105" w:history="1">
        <w:r>
          <w:rPr>
            <w:rFonts w:ascii="仿宋" w:eastAsia="仿宋" w:hAnsi="仿宋" w:cs="仿宋" w:hint="eastAsia"/>
            <w:lang w:eastAsia="zh-CN"/>
          </w:rPr>
          <w:t>(二)、土建工程设计年限及安全等级</w:t>
        </w:r>
        <w:r>
          <w:tab/>
        </w:r>
        <w:r>
          <w:fldChar w:fldCharType="begin"/>
        </w:r>
        <w:r>
          <w:instrText xml:space="preserve"> PAGEREF _Toc16105 \h </w:instrText>
        </w:r>
        <w:r>
          <w:fldChar w:fldCharType="separate"/>
        </w:r>
        <w:r>
          <w:t>6</w:t>
        </w:r>
        <w:r>
          <w:fldChar w:fldCharType="end"/>
        </w:r>
      </w:hyperlink>
    </w:p>
    <w:p>
      <w:pPr>
        <w:pStyle w:val="TOC2"/>
        <w:tabs>
          <w:tab w:val="right" w:leader="dot" w:pos="8306"/>
        </w:tabs>
      </w:pPr>
      <w:hyperlink w:anchor="_Toc24152" w:history="1">
        <w:r>
          <w:rPr>
            <w:rFonts w:ascii="仿宋" w:eastAsia="仿宋" w:hAnsi="仿宋" w:cs="仿宋" w:hint="eastAsia"/>
            <w:lang w:eastAsia="zh-CN"/>
          </w:rPr>
          <w:t>(三)、建筑工程设计总体要求</w:t>
        </w:r>
        <w:r>
          <w:tab/>
        </w:r>
        <w:r>
          <w:fldChar w:fldCharType="begin"/>
        </w:r>
        <w:r>
          <w:instrText xml:space="preserve"> PAGEREF _Toc24152 \h </w:instrText>
        </w:r>
        <w:r>
          <w:fldChar w:fldCharType="separate"/>
        </w:r>
        <w:r>
          <w:t>7</w:t>
        </w:r>
        <w:r>
          <w:fldChar w:fldCharType="end"/>
        </w:r>
      </w:hyperlink>
    </w:p>
    <w:p>
      <w:pPr>
        <w:pStyle w:val="TOC2"/>
        <w:tabs>
          <w:tab w:val="right" w:leader="dot" w:pos="8306"/>
        </w:tabs>
      </w:pPr>
      <w:hyperlink w:anchor="_Toc23308" w:history="1">
        <w:r>
          <w:rPr>
            <w:rFonts w:ascii="仿宋" w:eastAsia="仿宋" w:hAnsi="仿宋" w:cs="仿宋" w:hint="eastAsia"/>
            <w:lang w:eastAsia="zh-CN"/>
          </w:rPr>
          <w:t>(四)、土建工程建设指标</w:t>
        </w:r>
        <w:r>
          <w:tab/>
        </w:r>
        <w:r>
          <w:fldChar w:fldCharType="begin"/>
        </w:r>
        <w:r>
          <w:instrText xml:space="preserve"> PAGEREF _Toc23308 \h </w:instrText>
        </w:r>
        <w:r>
          <w:fldChar w:fldCharType="separate"/>
        </w:r>
        <w:r>
          <w:t>8</w:t>
        </w:r>
        <w:r>
          <w:fldChar w:fldCharType="end"/>
        </w:r>
      </w:hyperlink>
    </w:p>
    <w:p>
      <w:pPr>
        <w:pStyle w:val="TOC1"/>
        <w:tabs>
          <w:tab w:val="right" w:leader="dot" w:pos="8306"/>
        </w:tabs>
      </w:pPr>
      <w:hyperlink w:anchor="_Toc7454" w:history="1">
        <w:r>
          <w:rPr>
            <w:rFonts w:ascii="仿宋" w:eastAsia="仿宋" w:hAnsi="仿宋" w:cs="仿宋" w:hint="eastAsia"/>
            <w:lang w:eastAsia="zh-CN"/>
          </w:rPr>
          <w:t>三、油墨及类似产品项目危机管理</w:t>
        </w:r>
        <w:r>
          <w:tab/>
        </w:r>
        <w:r>
          <w:fldChar w:fldCharType="begin"/>
        </w:r>
        <w:r>
          <w:instrText xml:space="preserve"> PAGEREF _Toc7454 \h </w:instrText>
        </w:r>
        <w:r>
          <w:fldChar w:fldCharType="separate"/>
        </w:r>
        <w:r>
          <w:t>8</w:t>
        </w:r>
        <w:r>
          <w:fldChar w:fldCharType="end"/>
        </w:r>
      </w:hyperlink>
    </w:p>
    <w:p>
      <w:pPr>
        <w:pStyle w:val="TOC2"/>
        <w:tabs>
          <w:tab w:val="right" w:leader="dot" w:pos="8306"/>
        </w:tabs>
      </w:pPr>
      <w:hyperlink w:anchor="_Toc4813" w:history="1">
        <w:r>
          <w:rPr>
            <w:rFonts w:ascii="仿宋" w:eastAsia="仿宋" w:hAnsi="仿宋" w:cs="仿宋" w:hint="eastAsia"/>
            <w:lang w:eastAsia="zh-CN"/>
          </w:rPr>
          <w:t>(一)、危机预警与识别</w:t>
        </w:r>
        <w:r>
          <w:tab/>
        </w:r>
        <w:r>
          <w:fldChar w:fldCharType="begin"/>
        </w:r>
        <w:r>
          <w:instrText xml:space="preserve"> PAGEREF _Toc4813 \h </w:instrText>
        </w:r>
        <w:r>
          <w:fldChar w:fldCharType="separate"/>
        </w:r>
        <w:r>
          <w:t>8</w:t>
        </w:r>
        <w:r>
          <w:fldChar w:fldCharType="end"/>
        </w:r>
      </w:hyperlink>
    </w:p>
    <w:p>
      <w:pPr>
        <w:pStyle w:val="TOC2"/>
        <w:tabs>
          <w:tab w:val="right" w:leader="dot" w:pos="8306"/>
        </w:tabs>
      </w:pPr>
      <w:hyperlink w:anchor="_Toc4289" w:history="1">
        <w:r>
          <w:rPr>
            <w:rFonts w:ascii="仿宋" w:eastAsia="仿宋" w:hAnsi="仿宋" w:cs="仿宋" w:hint="eastAsia"/>
            <w:lang w:eastAsia="zh-CN"/>
          </w:rPr>
          <w:t>(二)、危机应对与恢复</w:t>
        </w:r>
        <w:r>
          <w:tab/>
        </w:r>
        <w:r>
          <w:fldChar w:fldCharType="begin"/>
        </w:r>
        <w:r>
          <w:instrText xml:space="preserve"> PAGEREF _Toc4289 \h </w:instrText>
        </w:r>
        <w:r>
          <w:fldChar w:fldCharType="separate"/>
        </w:r>
        <w:r>
          <w:t>9</w:t>
        </w:r>
        <w:r>
          <w:fldChar w:fldCharType="end"/>
        </w:r>
      </w:hyperlink>
    </w:p>
    <w:p>
      <w:pPr>
        <w:pStyle w:val="TOC1"/>
        <w:tabs>
          <w:tab w:val="right" w:leader="dot" w:pos="8306"/>
        </w:tabs>
      </w:pPr>
      <w:hyperlink w:anchor="_Toc464" w:history="1">
        <w:r>
          <w:rPr>
            <w:rFonts w:ascii="仿宋" w:eastAsia="仿宋" w:hAnsi="仿宋" w:cs="仿宋" w:hint="eastAsia"/>
            <w:lang w:eastAsia="zh-CN"/>
          </w:rPr>
          <w:t>四、油墨及类似产品项目建设背景及必要性分析</w:t>
        </w:r>
        <w:r>
          <w:tab/>
        </w:r>
        <w:r>
          <w:fldChar w:fldCharType="begin"/>
        </w:r>
        <w:r>
          <w:instrText xml:space="preserve"> PAGEREF _Toc464 \h </w:instrText>
        </w:r>
        <w:r>
          <w:fldChar w:fldCharType="separate"/>
        </w:r>
        <w:r>
          <w:t>11</w:t>
        </w:r>
        <w:r>
          <w:fldChar w:fldCharType="end"/>
        </w:r>
      </w:hyperlink>
    </w:p>
    <w:p>
      <w:pPr>
        <w:pStyle w:val="TOC2"/>
        <w:tabs>
          <w:tab w:val="right" w:leader="dot" w:pos="8306"/>
        </w:tabs>
      </w:pPr>
      <w:hyperlink w:anchor="_Toc5645" w:history="1">
        <w:r>
          <w:rPr>
            <w:rFonts w:ascii="仿宋" w:eastAsia="仿宋" w:hAnsi="仿宋" w:cs="仿宋" w:hint="eastAsia"/>
            <w:lang w:eastAsia="zh-CN"/>
          </w:rPr>
          <w:t>(一)、油墨及类似产品项目背景分析</w:t>
        </w:r>
        <w:r>
          <w:tab/>
        </w:r>
        <w:r>
          <w:fldChar w:fldCharType="begin"/>
        </w:r>
        <w:r>
          <w:instrText xml:space="preserve"> PAGEREF _Toc5645 \h </w:instrText>
        </w:r>
        <w:r>
          <w:fldChar w:fldCharType="separate"/>
        </w:r>
        <w:r>
          <w:t>11</w:t>
        </w:r>
        <w:r>
          <w:fldChar w:fldCharType="end"/>
        </w:r>
      </w:hyperlink>
    </w:p>
    <w:p>
      <w:pPr>
        <w:pStyle w:val="TOC2"/>
        <w:tabs>
          <w:tab w:val="right" w:leader="dot" w:pos="8306"/>
        </w:tabs>
      </w:pPr>
      <w:hyperlink w:anchor="_Toc27268" w:history="1">
        <w:r>
          <w:rPr>
            <w:rFonts w:ascii="仿宋" w:eastAsia="仿宋" w:hAnsi="仿宋" w:cs="仿宋" w:hint="eastAsia"/>
            <w:lang w:eastAsia="zh-CN"/>
          </w:rPr>
          <w:t>(二)、油墨及类似产品项目建设必要性分析</w:t>
        </w:r>
        <w:r>
          <w:tab/>
        </w:r>
        <w:r>
          <w:fldChar w:fldCharType="begin"/>
        </w:r>
        <w:r>
          <w:instrText xml:space="preserve"> PAGEREF _Toc27268 \h </w:instrText>
        </w:r>
        <w:r>
          <w:fldChar w:fldCharType="separate"/>
        </w:r>
        <w:r>
          <w:t>12</w:t>
        </w:r>
        <w:r>
          <w:fldChar w:fldCharType="end"/>
        </w:r>
      </w:hyperlink>
    </w:p>
    <w:p>
      <w:pPr>
        <w:pStyle w:val="TOC1"/>
        <w:tabs>
          <w:tab w:val="right" w:leader="dot" w:pos="8306"/>
        </w:tabs>
      </w:pPr>
      <w:hyperlink w:anchor="_Toc9028" w:history="1">
        <w:r>
          <w:rPr>
            <w:rFonts w:ascii="仿宋" w:eastAsia="仿宋" w:hAnsi="仿宋" w:cs="仿宋" w:hint="eastAsia"/>
            <w:lang w:eastAsia="zh-CN"/>
          </w:rPr>
          <w:t>五、油墨及类似产品项目选址可行性分析</w:t>
        </w:r>
        <w:r>
          <w:tab/>
        </w:r>
        <w:r>
          <w:fldChar w:fldCharType="begin"/>
        </w:r>
        <w:r>
          <w:instrText xml:space="preserve"> PAGEREF _Toc9028 \h </w:instrText>
        </w:r>
        <w:r>
          <w:fldChar w:fldCharType="separate"/>
        </w:r>
        <w:r>
          <w:t>14</w:t>
        </w:r>
        <w:r>
          <w:fldChar w:fldCharType="end"/>
        </w:r>
      </w:hyperlink>
    </w:p>
    <w:p>
      <w:pPr>
        <w:pStyle w:val="TOC2"/>
        <w:tabs>
          <w:tab w:val="right" w:leader="dot" w:pos="8306"/>
        </w:tabs>
      </w:pPr>
      <w:hyperlink w:anchor="_Toc22922" w:history="1">
        <w:r>
          <w:rPr>
            <w:rFonts w:ascii="仿宋" w:eastAsia="仿宋" w:hAnsi="仿宋" w:cs="仿宋" w:hint="eastAsia"/>
            <w:lang w:eastAsia="zh-CN"/>
          </w:rPr>
          <w:t>(一)、油墨及类似产品项目选址</w:t>
        </w:r>
        <w:r>
          <w:tab/>
        </w:r>
        <w:r>
          <w:fldChar w:fldCharType="begin"/>
        </w:r>
        <w:r>
          <w:instrText xml:space="preserve"> PAGEREF _Toc22922 \h </w:instrText>
        </w:r>
        <w:r>
          <w:fldChar w:fldCharType="separate"/>
        </w:r>
        <w:r>
          <w:t>14</w:t>
        </w:r>
        <w:r>
          <w:fldChar w:fldCharType="end"/>
        </w:r>
      </w:hyperlink>
    </w:p>
    <w:p>
      <w:pPr>
        <w:pStyle w:val="TOC2"/>
        <w:tabs>
          <w:tab w:val="right" w:leader="dot" w:pos="8306"/>
        </w:tabs>
      </w:pPr>
      <w:hyperlink w:anchor="_Toc19548" w:history="1">
        <w:r>
          <w:rPr>
            <w:rFonts w:ascii="仿宋" w:eastAsia="仿宋" w:hAnsi="仿宋" w:cs="仿宋" w:hint="eastAsia"/>
            <w:lang w:eastAsia="zh-CN"/>
          </w:rPr>
          <w:t>(二)、用地控制指标</w:t>
        </w:r>
        <w:r>
          <w:tab/>
        </w:r>
        <w:r>
          <w:fldChar w:fldCharType="begin"/>
        </w:r>
        <w:r>
          <w:instrText xml:space="preserve"> PAGEREF _Toc19548 \h </w:instrText>
        </w:r>
        <w:r>
          <w:fldChar w:fldCharType="separate"/>
        </w:r>
        <w:r>
          <w:t>14</w:t>
        </w:r>
        <w:r>
          <w:fldChar w:fldCharType="end"/>
        </w:r>
      </w:hyperlink>
    </w:p>
    <w:p>
      <w:pPr>
        <w:pStyle w:val="TOC2"/>
        <w:tabs>
          <w:tab w:val="right" w:leader="dot" w:pos="8306"/>
        </w:tabs>
      </w:pPr>
      <w:hyperlink w:anchor="_Toc19818" w:history="1">
        <w:r>
          <w:rPr>
            <w:rFonts w:ascii="仿宋" w:eastAsia="仿宋" w:hAnsi="仿宋" w:cs="仿宋" w:hint="eastAsia"/>
            <w:lang w:eastAsia="zh-CN"/>
          </w:rPr>
          <w:t>(三)、节约用地措施</w:t>
        </w:r>
        <w:r>
          <w:tab/>
        </w:r>
        <w:r>
          <w:fldChar w:fldCharType="begin"/>
        </w:r>
        <w:r>
          <w:instrText xml:space="preserve"> PAGEREF _Toc19818 \h </w:instrText>
        </w:r>
        <w:r>
          <w:fldChar w:fldCharType="separate"/>
        </w:r>
        <w:r>
          <w:t>16</w:t>
        </w:r>
        <w:r>
          <w:fldChar w:fldCharType="end"/>
        </w:r>
      </w:hyperlink>
    </w:p>
    <w:p>
      <w:pPr>
        <w:pStyle w:val="TOC2"/>
        <w:tabs>
          <w:tab w:val="right" w:leader="dot" w:pos="8306"/>
        </w:tabs>
      </w:pPr>
      <w:hyperlink w:anchor="_Toc11873" w:history="1">
        <w:r>
          <w:rPr>
            <w:rFonts w:ascii="仿宋" w:eastAsia="仿宋" w:hAnsi="仿宋" w:cs="仿宋" w:hint="eastAsia"/>
            <w:lang w:eastAsia="zh-CN"/>
          </w:rPr>
          <w:t>(四)、总图布置方案</w:t>
        </w:r>
        <w:r>
          <w:tab/>
        </w:r>
        <w:r>
          <w:fldChar w:fldCharType="begin"/>
        </w:r>
        <w:r>
          <w:instrText xml:space="preserve"> PAGEREF _Toc11873 \h </w:instrText>
        </w:r>
        <w:r>
          <w:fldChar w:fldCharType="separate"/>
        </w:r>
        <w:r>
          <w:t>17</w:t>
        </w:r>
        <w:r>
          <w:fldChar w:fldCharType="end"/>
        </w:r>
      </w:hyperlink>
    </w:p>
    <w:p>
      <w:pPr>
        <w:pStyle w:val="TOC2"/>
        <w:tabs>
          <w:tab w:val="right" w:leader="dot" w:pos="8306"/>
        </w:tabs>
      </w:pPr>
      <w:hyperlink w:anchor="_Toc19718" w:history="1">
        <w:r>
          <w:rPr>
            <w:rFonts w:ascii="仿宋" w:eastAsia="仿宋" w:hAnsi="仿宋" w:cs="仿宋" w:hint="eastAsia"/>
            <w:lang w:eastAsia="zh-CN"/>
          </w:rPr>
          <w:t>(五)、选址综合评价</w:t>
        </w:r>
        <w:r>
          <w:tab/>
        </w:r>
        <w:r>
          <w:fldChar w:fldCharType="begin"/>
        </w:r>
        <w:r>
          <w:instrText xml:space="preserve"> PAGEREF _Toc19718 \h </w:instrText>
        </w:r>
        <w:r>
          <w:fldChar w:fldCharType="separate"/>
        </w:r>
        <w:r>
          <w:t>18</w:t>
        </w:r>
        <w:r>
          <w:fldChar w:fldCharType="end"/>
        </w:r>
      </w:hyperlink>
    </w:p>
    <w:p>
      <w:pPr>
        <w:pStyle w:val="TOC1"/>
        <w:tabs>
          <w:tab w:val="right" w:leader="dot" w:pos="8306"/>
        </w:tabs>
      </w:pPr>
      <w:hyperlink w:anchor="_Toc8879" w:history="1">
        <w:r>
          <w:rPr>
            <w:rFonts w:ascii="仿宋" w:eastAsia="仿宋" w:hAnsi="仿宋" w:cs="仿宋" w:hint="eastAsia"/>
            <w:lang w:eastAsia="zh-CN"/>
          </w:rPr>
          <w:t>六、市场分析、调研</w:t>
        </w:r>
        <w:r>
          <w:tab/>
        </w:r>
        <w:r>
          <w:fldChar w:fldCharType="begin"/>
        </w:r>
        <w:r>
          <w:instrText xml:space="preserve"> PAGEREF _Toc8879 \h </w:instrText>
        </w:r>
        <w:r>
          <w:fldChar w:fldCharType="separate"/>
        </w:r>
        <w:r>
          <w:t>19</w:t>
        </w:r>
        <w:r>
          <w:fldChar w:fldCharType="end"/>
        </w:r>
      </w:hyperlink>
    </w:p>
    <w:p>
      <w:pPr>
        <w:pStyle w:val="TOC2"/>
        <w:tabs>
          <w:tab w:val="right" w:leader="dot" w:pos="8306"/>
        </w:tabs>
      </w:pPr>
      <w:hyperlink w:anchor="_Toc27224" w:history="1">
        <w:r>
          <w:rPr>
            <w:rFonts w:ascii="仿宋" w:eastAsia="仿宋" w:hAnsi="仿宋" w:cs="仿宋" w:hint="eastAsia"/>
            <w:lang w:eastAsia="zh-CN"/>
          </w:rPr>
          <w:t>(一)、油墨及类似产品行业分析</w:t>
        </w:r>
        <w:r>
          <w:tab/>
        </w:r>
        <w:r>
          <w:fldChar w:fldCharType="begin"/>
        </w:r>
        <w:r>
          <w:instrText xml:space="preserve"> PAGEREF _Toc27224 \h </w:instrText>
        </w:r>
        <w:r>
          <w:fldChar w:fldCharType="separate"/>
        </w:r>
        <w:r>
          <w:t>19</w:t>
        </w:r>
        <w:r>
          <w:fldChar w:fldCharType="end"/>
        </w:r>
      </w:hyperlink>
    </w:p>
    <w:p>
      <w:pPr>
        <w:pStyle w:val="TOC2"/>
        <w:tabs>
          <w:tab w:val="right" w:leader="dot" w:pos="8306"/>
        </w:tabs>
      </w:pPr>
      <w:hyperlink w:anchor="_Toc24859" w:history="1">
        <w:r>
          <w:rPr>
            <w:rFonts w:ascii="仿宋" w:eastAsia="仿宋" w:hAnsi="仿宋" w:cs="仿宋" w:hint="eastAsia"/>
            <w:lang w:eastAsia="zh-CN"/>
          </w:rPr>
          <w:t>(二)、油墨及类似产品市场分析预测</w:t>
        </w:r>
        <w:r>
          <w:tab/>
        </w:r>
        <w:r>
          <w:fldChar w:fldCharType="begin"/>
        </w:r>
        <w:r>
          <w:instrText xml:space="preserve"> PAGEREF _Toc24859 \h </w:instrText>
        </w:r>
        <w:r>
          <w:fldChar w:fldCharType="separate"/>
        </w:r>
        <w:r>
          <w:t>20</w:t>
        </w:r>
        <w:r>
          <w:fldChar w:fldCharType="end"/>
        </w:r>
      </w:hyperlink>
    </w:p>
    <w:p>
      <w:pPr>
        <w:pStyle w:val="TOC1"/>
        <w:tabs>
          <w:tab w:val="right" w:leader="dot" w:pos="8306"/>
        </w:tabs>
      </w:pPr>
      <w:hyperlink w:anchor="_Toc23691" w:history="1">
        <w:r>
          <w:rPr>
            <w:rFonts w:ascii="仿宋" w:eastAsia="仿宋" w:hAnsi="仿宋" w:cs="仿宋" w:hint="eastAsia"/>
            <w:lang w:eastAsia="zh-CN"/>
          </w:rPr>
          <w:t>七、油墨及类似产品项目技术管理</w:t>
        </w:r>
        <w:r>
          <w:tab/>
        </w:r>
        <w:r>
          <w:fldChar w:fldCharType="begin"/>
        </w:r>
        <w:r>
          <w:instrText xml:space="preserve"> PAGEREF _Toc23691 \h </w:instrText>
        </w:r>
        <w:r>
          <w:fldChar w:fldCharType="separate"/>
        </w:r>
        <w:r>
          <w:t>21</w:t>
        </w:r>
        <w:r>
          <w:fldChar w:fldCharType="end"/>
        </w:r>
      </w:hyperlink>
    </w:p>
    <w:p>
      <w:pPr>
        <w:pStyle w:val="TOC2"/>
        <w:tabs>
          <w:tab w:val="right" w:leader="dot" w:pos="8306"/>
        </w:tabs>
      </w:pPr>
      <w:hyperlink w:anchor="_Toc12357" w:history="1">
        <w:r>
          <w:rPr>
            <w:rFonts w:ascii="仿宋" w:eastAsia="仿宋" w:hAnsi="仿宋" w:cs="仿宋" w:hint="eastAsia"/>
            <w:lang w:eastAsia="zh-CN"/>
          </w:rPr>
          <w:t>(一)、技术方案选用方向</w:t>
        </w:r>
        <w:r>
          <w:tab/>
        </w:r>
        <w:r>
          <w:fldChar w:fldCharType="begin"/>
        </w:r>
        <w:r>
          <w:instrText xml:space="preserve"> PAGEREF _Toc12357 \h </w:instrText>
        </w:r>
        <w:r>
          <w:fldChar w:fldCharType="separate"/>
        </w:r>
        <w:r>
          <w:t>21</w:t>
        </w:r>
        <w:r>
          <w:fldChar w:fldCharType="end"/>
        </w:r>
      </w:hyperlink>
    </w:p>
    <w:p>
      <w:pPr>
        <w:pStyle w:val="TOC2"/>
        <w:tabs>
          <w:tab w:val="right" w:leader="dot" w:pos="8306"/>
        </w:tabs>
      </w:pPr>
      <w:hyperlink w:anchor="_Toc29547" w:history="1">
        <w:r>
          <w:rPr>
            <w:rFonts w:ascii="仿宋" w:eastAsia="仿宋" w:hAnsi="仿宋" w:cs="仿宋" w:hint="eastAsia"/>
            <w:lang w:eastAsia="zh-CN"/>
          </w:rPr>
          <w:t>(二)、工艺技术方案选用原则</w:t>
        </w:r>
        <w:r>
          <w:tab/>
        </w:r>
        <w:r>
          <w:fldChar w:fldCharType="begin"/>
        </w:r>
        <w:r>
          <w:instrText xml:space="preserve"> PAGEREF _Toc29547 \h </w:instrText>
        </w:r>
        <w:r>
          <w:fldChar w:fldCharType="separate"/>
        </w:r>
        <w:r>
          <w:t>23</w:t>
        </w:r>
        <w:r>
          <w:fldChar w:fldCharType="end"/>
        </w:r>
      </w:hyperlink>
    </w:p>
    <w:p>
      <w:pPr>
        <w:pStyle w:val="TOC2"/>
        <w:tabs>
          <w:tab w:val="right" w:leader="dot" w:pos="8306"/>
        </w:tabs>
      </w:pPr>
      <w:hyperlink w:anchor="_Toc32172" w:history="1">
        <w:r>
          <w:rPr>
            <w:rFonts w:ascii="仿宋" w:eastAsia="仿宋" w:hAnsi="仿宋" w:cs="仿宋" w:hint="eastAsia"/>
            <w:lang w:eastAsia="zh-CN"/>
          </w:rPr>
          <w:t>(三)、工艺技术方案要求</w:t>
        </w:r>
        <w:r>
          <w:tab/>
        </w:r>
        <w:r>
          <w:fldChar w:fldCharType="begin"/>
        </w:r>
        <w:r>
          <w:instrText xml:space="preserve"> PAGEREF _Toc32172 \h </w:instrText>
        </w:r>
        <w:r>
          <w:fldChar w:fldCharType="separate"/>
        </w:r>
        <w:r>
          <w:t>25</w:t>
        </w:r>
        <w:r>
          <w:fldChar w:fldCharType="end"/>
        </w:r>
      </w:hyperlink>
    </w:p>
    <w:p>
      <w:pPr>
        <w:pStyle w:val="TOC1"/>
        <w:tabs>
          <w:tab w:val="right" w:leader="dot" w:pos="8306"/>
        </w:tabs>
      </w:pPr>
      <w:hyperlink w:anchor="_Toc30653" w:history="1">
        <w:r>
          <w:rPr>
            <w:rFonts w:ascii="仿宋" w:eastAsia="仿宋" w:hAnsi="仿宋" w:cs="仿宋" w:hint="eastAsia"/>
            <w:lang w:eastAsia="zh-CN"/>
          </w:rPr>
          <w:t>八、油墨及类似产品项目经营效益</w:t>
        </w:r>
        <w:r>
          <w:tab/>
        </w:r>
        <w:r>
          <w:fldChar w:fldCharType="begin"/>
        </w:r>
        <w:r>
          <w:instrText xml:space="preserve"> PAGEREF _Toc30653 \h </w:instrText>
        </w:r>
        <w:r>
          <w:fldChar w:fldCharType="separate"/>
        </w:r>
        <w:r>
          <w:t>27</w:t>
        </w:r>
        <w:r>
          <w:fldChar w:fldCharType="end"/>
        </w:r>
      </w:hyperlink>
    </w:p>
    <w:p>
      <w:pPr>
        <w:pStyle w:val="TOC2"/>
        <w:tabs>
          <w:tab w:val="right" w:leader="dot" w:pos="8306"/>
        </w:tabs>
      </w:pPr>
      <w:hyperlink w:anchor="_Toc17215" w:history="1">
        <w:r>
          <w:rPr>
            <w:rFonts w:ascii="仿宋" w:eastAsia="仿宋" w:hAnsi="仿宋" w:cs="仿宋" w:hint="eastAsia"/>
            <w:lang w:eastAsia="zh-CN"/>
          </w:rPr>
          <w:t>(一)、经济评价财务测算</w:t>
        </w:r>
        <w:r>
          <w:tab/>
        </w:r>
        <w:r>
          <w:fldChar w:fldCharType="begin"/>
        </w:r>
        <w:r>
          <w:instrText xml:space="preserve"> PAGEREF _Toc17215 \h </w:instrText>
        </w:r>
        <w:r>
          <w:fldChar w:fldCharType="separate"/>
        </w:r>
        <w:r>
          <w:t>27</w:t>
        </w:r>
        <w:r>
          <w:fldChar w:fldCharType="end"/>
        </w:r>
      </w:hyperlink>
    </w:p>
    <w:p>
      <w:pPr>
        <w:pStyle w:val="TOC2"/>
        <w:tabs>
          <w:tab w:val="right" w:leader="dot" w:pos="8306"/>
        </w:tabs>
      </w:pPr>
      <w:hyperlink w:anchor="_Toc26375" w:history="1">
        <w:r>
          <w:rPr>
            <w:rFonts w:ascii="仿宋" w:eastAsia="仿宋" w:hAnsi="仿宋" w:cs="仿宋" w:hint="eastAsia"/>
            <w:lang w:eastAsia="zh-CN"/>
          </w:rPr>
          <w:t>(二)、油墨及类似产品项目盈利能力分析</w:t>
        </w:r>
        <w:r>
          <w:tab/>
        </w:r>
        <w:r>
          <w:fldChar w:fldCharType="begin"/>
        </w:r>
        <w:r>
          <w:instrText xml:space="preserve"> PAGEREF _Toc26375 \h </w:instrText>
        </w:r>
        <w:r>
          <w:fldChar w:fldCharType="separate"/>
        </w:r>
        <w:r>
          <w:t>28</w:t>
        </w:r>
        <w:r>
          <w:fldChar w:fldCharType="end"/>
        </w:r>
      </w:hyperlink>
    </w:p>
    <w:p>
      <w:pPr>
        <w:pStyle w:val="TOC1"/>
        <w:tabs>
          <w:tab w:val="right" w:leader="dot" w:pos="8306"/>
        </w:tabs>
      </w:pPr>
      <w:hyperlink w:anchor="_Toc3703" w:history="1">
        <w:r>
          <w:rPr>
            <w:rFonts w:ascii="仿宋" w:eastAsia="仿宋" w:hAnsi="仿宋" w:cs="仿宋" w:hint="eastAsia"/>
            <w:lang w:eastAsia="zh-CN"/>
          </w:rPr>
          <w:t>九、油墨及类似产品项目人力资源培养与发展</w:t>
        </w:r>
        <w:r>
          <w:tab/>
        </w:r>
        <w:r>
          <w:fldChar w:fldCharType="begin"/>
        </w:r>
        <w:r>
          <w:instrText xml:space="preserve"> PAGEREF _Toc3703 \h </w:instrText>
        </w:r>
        <w:r>
          <w:fldChar w:fldCharType="separate"/>
        </w:r>
        <w:r>
          <w:t>29</w:t>
        </w:r>
        <w:r>
          <w:fldChar w:fldCharType="end"/>
        </w:r>
      </w:hyperlink>
    </w:p>
    <w:p>
      <w:pPr>
        <w:pStyle w:val="TOC2"/>
        <w:tabs>
          <w:tab w:val="right" w:leader="dot" w:pos="8306"/>
        </w:tabs>
      </w:pPr>
      <w:hyperlink w:anchor="_Toc11970" w:history="1">
        <w:r>
          <w:rPr>
            <w:rFonts w:ascii="仿宋" w:eastAsia="仿宋" w:hAnsi="仿宋" w:cs="仿宋" w:hint="eastAsia"/>
            <w:lang w:eastAsia="zh-CN"/>
          </w:rPr>
          <w:t>(一)、人才需求与规划</w:t>
        </w:r>
        <w:r>
          <w:tab/>
        </w:r>
        <w:r>
          <w:fldChar w:fldCharType="begin"/>
        </w:r>
        <w:r>
          <w:instrText xml:space="preserve"> PAGEREF _Toc11970 \h </w:instrText>
        </w:r>
        <w:r>
          <w:fldChar w:fldCharType="separate"/>
        </w:r>
        <w:r>
          <w:t>29</w:t>
        </w:r>
        <w:r>
          <w:fldChar w:fldCharType="end"/>
        </w:r>
      </w:hyperlink>
    </w:p>
    <w:p>
      <w:pPr>
        <w:pStyle w:val="TOC2"/>
        <w:tabs>
          <w:tab w:val="right" w:leader="dot" w:pos="8306"/>
        </w:tabs>
      </w:pPr>
      <w:hyperlink w:anchor="_Toc23871" w:history="1">
        <w:r>
          <w:rPr>
            <w:rFonts w:ascii="仿宋" w:eastAsia="仿宋" w:hAnsi="仿宋" w:cs="仿宋" w:hint="eastAsia"/>
            <w:lang w:eastAsia="zh-CN"/>
          </w:rPr>
          <w:t>(二)、培训与发展计划</w:t>
        </w:r>
        <w:r>
          <w:tab/>
        </w:r>
        <w:r>
          <w:fldChar w:fldCharType="begin"/>
        </w:r>
        <w:r>
          <w:instrText xml:space="preserve"> PAGEREF _Toc23871 \h </w:instrText>
        </w:r>
        <w:r>
          <w:fldChar w:fldCharType="separate"/>
        </w:r>
        <w:r>
          <w:t>30</w:t>
        </w:r>
        <w:r>
          <w:fldChar w:fldCharType="end"/>
        </w:r>
      </w:hyperlink>
    </w:p>
    <w:p>
      <w:pPr>
        <w:pStyle w:val="TOC1"/>
        <w:tabs>
          <w:tab w:val="right" w:leader="dot" w:pos="8306"/>
        </w:tabs>
      </w:pPr>
      <w:hyperlink w:anchor="_Toc27163" w:history="1">
        <w:r>
          <w:rPr>
            <w:rFonts w:ascii="仿宋" w:eastAsia="仿宋" w:hAnsi="仿宋" w:cs="仿宋" w:hint="eastAsia"/>
            <w:lang w:eastAsia="zh-CN"/>
          </w:rPr>
          <w:t>十、生产安全保护</w:t>
        </w:r>
        <w:r>
          <w:tab/>
        </w:r>
        <w:r>
          <w:fldChar w:fldCharType="begin"/>
        </w:r>
        <w:r>
          <w:instrText xml:space="preserve"> PAGEREF _Toc27163 \h </w:instrText>
        </w:r>
        <w:r>
          <w:fldChar w:fldCharType="separate"/>
        </w:r>
        <w:r>
          <w:t>30</w:t>
        </w:r>
        <w:r>
          <w:fldChar w:fldCharType="end"/>
        </w:r>
      </w:hyperlink>
    </w:p>
    <w:p>
      <w:pPr>
        <w:pStyle w:val="TOC2"/>
        <w:tabs>
          <w:tab w:val="right" w:leader="dot" w:pos="8306"/>
        </w:tabs>
      </w:pPr>
      <w:hyperlink w:anchor="_Toc26430" w:history="1">
        <w:r>
          <w:rPr>
            <w:rFonts w:ascii="仿宋" w:eastAsia="仿宋" w:hAnsi="仿宋" w:cs="仿宋" w:hint="eastAsia"/>
            <w:lang w:eastAsia="zh-CN"/>
          </w:rPr>
          <w:t>(一)、消防安全</w:t>
        </w:r>
        <w:r>
          <w:tab/>
        </w:r>
        <w:r>
          <w:fldChar w:fldCharType="begin"/>
        </w:r>
        <w:r>
          <w:instrText xml:space="preserve"> PAGEREF _Toc26430 \h </w:instrText>
        </w:r>
        <w:r>
          <w:fldChar w:fldCharType="separate"/>
        </w:r>
        <w:r>
          <w:t>30</w:t>
        </w:r>
        <w:r>
          <w:fldChar w:fldCharType="end"/>
        </w:r>
      </w:hyperlink>
    </w:p>
    <w:p>
      <w:pPr>
        <w:pStyle w:val="TOC2"/>
        <w:tabs>
          <w:tab w:val="right" w:leader="dot" w:pos="8306"/>
        </w:tabs>
      </w:pPr>
      <w:hyperlink w:anchor="_Toc32420" w:history="1">
        <w:r>
          <w:rPr>
            <w:rFonts w:ascii="仿宋" w:eastAsia="仿宋" w:hAnsi="仿宋" w:cs="仿宋" w:hint="eastAsia"/>
            <w:lang w:eastAsia="zh-CN"/>
          </w:rPr>
          <w:t>(二)、防火防爆总图布置措施</w:t>
        </w:r>
        <w:r>
          <w:tab/>
        </w:r>
        <w:r>
          <w:fldChar w:fldCharType="begin"/>
        </w:r>
        <w:r>
          <w:instrText xml:space="preserve"> PAGEREF _Toc32420 \h </w:instrText>
        </w:r>
        <w:r>
          <w:fldChar w:fldCharType="separate"/>
        </w:r>
        <w:r>
          <w:t>32</w:t>
        </w:r>
        <w:r>
          <w:fldChar w:fldCharType="end"/>
        </w:r>
      </w:hyperlink>
    </w:p>
    <w:p>
      <w:pPr>
        <w:pStyle w:val="TOC2"/>
        <w:tabs>
          <w:tab w:val="right" w:leader="dot" w:pos="8306"/>
        </w:tabs>
      </w:pPr>
      <w:hyperlink w:anchor="_Toc24117" w:history="1">
        <w:r>
          <w:rPr>
            <w:rFonts w:ascii="仿宋" w:eastAsia="仿宋" w:hAnsi="仿宋" w:cs="仿宋" w:hint="eastAsia"/>
            <w:lang w:eastAsia="zh-CN"/>
          </w:rPr>
          <w:t>(三)、自然灾害防范措施</w:t>
        </w:r>
        <w:r>
          <w:tab/>
        </w:r>
        <w:r>
          <w:fldChar w:fldCharType="begin"/>
        </w:r>
        <w:r>
          <w:instrText xml:space="preserve"> PAGEREF _Toc24117 \h </w:instrText>
        </w:r>
        <w:r>
          <w:fldChar w:fldCharType="separate"/>
        </w:r>
        <w:r>
          <w:t>33</w:t>
        </w:r>
        <w:r>
          <w:fldChar w:fldCharType="end"/>
        </w:r>
      </w:hyperlink>
    </w:p>
    <w:p>
      <w:pPr>
        <w:pStyle w:val="TOC2"/>
        <w:tabs>
          <w:tab w:val="right" w:leader="dot" w:pos="8306"/>
        </w:tabs>
      </w:pPr>
      <w:hyperlink w:anchor="_Toc6054" w:history="1">
        <w:r>
          <w:rPr>
            <w:rFonts w:ascii="仿宋" w:eastAsia="仿宋" w:hAnsi="仿宋" w:cs="仿宋" w:hint="eastAsia"/>
            <w:lang w:eastAsia="zh-CN"/>
          </w:rPr>
          <w:t>(四)、安全色及安全标志使用要求</w:t>
        </w:r>
        <w:r>
          <w:tab/>
        </w:r>
        <w:r>
          <w:fldChar w:fldCharType="begin"/>
        </w:r>
        <w:r>
          <w:instrText xml:space="preserve"> PAGEREF _Toc6054 \h </w:instrText>
        </w:r>
        <w:r>
          <w:fldChar w:fldCharType="separate"/>
        </w:r>
        <w:r>
          <w:t>34</w:t>
        </w:r>
        <w:r>
          <w:fldChar w:fldCharType="end"/>
        </w:r>
      </w:hyperlink>
    </w:p>
    <w:p>
      <w:pPr>
        <w:pStyle w:val="TOC2"/>
        <w:tabs>
          <w:tab w:val="right" w:leader="dot" w:pos="8306"/>
        </w:tabs>
      </w:pPr>
      <w:hyperlink w:anchor="_Toc18069" w:history="1">
        <w:r>
          <w:rPr>
            <w:rFonts w:ascii="仿宋" w:eastAsia="仿宋" w:hAnsi="仿宋" w:cs="仿宋" w:hint="eastAsia"/>
            <w:lang w:eastAsia="zh-CN"/>
          </w:rPr>
          <w:t>(五)、防尘防毒措施</w:t>
        </w:r>
        <w:r>
          <w:tab/>
        </w:r>
        <w:r>
          <w:fldChar w:fldCharType="begin"/>
        </w:r>
        <w:r>
          <w:instrText xml:space="preserve"> PAGEREF _Toc18069 \h </w:instrText>
        </w:r>
        <w:r>
          <w:fldChar w:fldCharType="separate"/>
        </w:r>
        <w:r>
          <w:t>35</w:t>
        </w:r>
        <w:r>
          <w:fldChar w:fldCharType="end"/>
        </w:r>
      </w:hyperlink>
    </w:p>
    <w:p>
      <w:pPr>
        <w:pStyle w:val="TOC2"/>
        <w:tabs>
          <w:tab w:val="right" w:leader="dot" w:pos="8306"/>
        </w:tabs>
      </w:pPr>
      <w:hyperlink w:anchor="_Toc15606" w:history="1">
        <w:r>
          <w:rPr>
            <w:rFonts w:ascii="仿宋" w:eastAsia="仿宋" w:hAnsi="仿宋" w:cs="仿宋" w:hint="eastAsia"/>
            <w:lang w:eastAsia="zh-CN"/>
          </w:rPr>
          <w:t>(六)、防静电、触电防护及防雷措施</w:t>
        </w:r>
        <w:r>
          <w:tab/>
        </w:r>
        <w:r>
          <w:fldChar w:fldCharType="begin"/>
        </w:r>
        <w:r>
          <w:instrText xml:space="preserve"> PAGEREF _Toc15606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54" w:history="1">
        <w:r>
          <w:rPr>
            <w:rFonts w:ascii="仿宋" w:eastAsia="仿宋" w:hAnsi="仿宋" w:cs="仿宋" w:hint="eastAsia"/>
            <w:lang w:eastAsia="zh-CN"/>
          </w:rPr>
          <w:t>(七)、机械设备安全保障措施</w:t>
        </w:r>
        <w:r>
          <w:tab/>
        </w:r>
        <w:r>
          <w:fldChar w:fldCharType="begin"/>
        </w:r>
        <w:r>
          <w:instrText xml:space="preserve"> PAGEREF _Toc20854 \h </w:instrText>
        </w:r>
        <w:r>
          <w:fldChar w:fldCharType="separate"/>
        </w:r>
        <w:r>
          <w:t>37</w:t>
        </w:r>
        <w:r>
          <w:fldChar w:fldCharType="end"/>
        </w:r>
      </w:hyperlink>
    </w:p>
    <w:p>
      <w:pPr>
        <w:pStyle w:val="TOC1"/>
        <w:tabs>
          <w:tab w:val="right" w:leader="dot" w:pos="8306"/>
        </w:tabs>
      </w:pPr>
      <w:hyperlink w:anchor="_Toc27002" w:history="1">
        <w:r>
          <w:rPr>
            <w:rFonts w:ascii="仿宋" w:eastAsia="仿宋" w:hAnsi="仿宋" w:cs="仿宋" w:hint="eastAsia"/>
            <w:lang w:eastAsia="zh-CN"/>
          </w:rPr>
          <w:t>十一、油墨及类似产品项目环境影响分析</w:t>
        </w:r>
        <w:r>
          <w:tab/>
        </w:r>
        <w:r>
          <w:fldChar w:fldCharType="begin"/>
        </w:r>
        <w:r>
          <w:instrText xml:space="preserve"> PAGEREF _Toc27002 \h </w:instrText>
        </w:r>
        <w:r>
          <w:fldChar w:fldCharType="separate"/>
        </w:r>
        <w:r>
          <w:t>38</w:t>
        </w:r>
        <w:r>
          <w:fldChar w:fldCharType="end"/>
        </w:r>
      </w:hyperlink>
    </w:p>
    <w:p>
      <w:pPr>
        <w:pStyle w:val="TOC2"/>
        <w:tabs>
          <w:tab w:val="right" w:leader="dot" w:pos="8306"/>
        </w:tabs>
      </w:pPr>
      <w:hyperlink w:anchor="_Toc11158" w:history="1">
        <w:r>
          <w:rPr>
            <w:rFonts w:ascii="仿宋" w:eastAsia="仿宋" w:hAnsi="仿宋" w:cs="仿宋" w:hint="eastAsia"/>
            <w:lang w:eastAsia="zh-CN"/>
          </w:rPr>
          <w:t>(一)、建设区域环境质量现状</w:t>
        </w:r>
        <w:r>
          <w:tab/>
        </w:r>
        <w:r>
          <w:fldChar w:fldCharType="begin"/>
        </w:r>
        <w:r>
          <w:instrText xml:space="preserve"> PAGEREF _Toc11158 \h </w:instrText>
        </w:r>
        <w:r>
          <w:fldChar w:fldCharType="separate"/>
        </w:r>
        <w:r>
          <w:t>38</w:t>
        </w:r>
        <w:r>
          <w:fldChar w:fldCharType="end"/>
        </w:r>
      </w:hyperlink>
    </w:p>
    <w:p>
      <w:pPr>
        <w:pStyle w:val="TOC2"/>
        <w:tabs>
          <w:tab w:val="right" w:leader="dot" w:pos="8306"/>
        </w:tabs>
      </w:pPr>
      <w:hyperlink w:anchor="_Toc26299" w:history="1">
        <w:r>
          <w:rPr>
            <w:rFonts w:ascii="仿宋" w:eastAsia="仿宋" w:hAnsi="仿宋" w:cs="仿宋" w:hint="eastAsia"/>
            <w:lang w:eastAsia="zh-CN"/>
          </w:rPr>
          <w:t>(二)、建设期环境保护</w:t>
        </w:r>
        <w:r>
          <w:tab/>
        </w:r>
        <w:r>
          <w:fldChar w:fldCharType="begin"/>
        </w:r>
        <w:r>
          <w:instrText xml:space="preserve"> PAGEREF _Toc26299 \h </w:instrText>
        </w:r>
        <w:r>
          <w:fldChar w:fldCharType="separate"/>
        </w:r>
        <w:r>
          <w:t>40</w:t>
        </w:r>
        <w:r>
          <w:fldChar w:fldCharType="end"/>
        </w:r>
      </w:hyperlink>
    </w:p>
    <w:p>
      <w:pPr>
        <w:pStyle w:val="TOC2"/>
        <w:tabs>
          <w:tab w:val="right" w:leader="dot" w:pos="8306"/>
        </w:tabs>
      </w:pPr>
      <w:hyperlink w:anchor="_Toc4367" w:history="1">
        <w:r>
          <w:rPr>
            <w:rFonts w:ascii="仿宋" w:eastAsia="仿宋" w:hAnsi="仿宋" w:cs="仿宋" w:hint="eastAsia"/>
            <w:lang w:eastAsia="zh-CN"/>
          </w:rPr>
          <w:t>(三)、运营期环境保护</w:t>
        </w:r>
        <w:r>
          <w:tab/>
        </w:r>
        <w:r>
          <w:fldChar w:fldCharType="begin"/>
        </w:r>
        <w:r>
          <w:instrText xml:space="preserve"> PAGEREF _Toc4367 \h </w:instrText>
        </w:r>
        <w:r>
          <w:fldChar w:fldCharType="separate"/>
        </w:r>
        <w:r>
          <w:t>41</w:t>
        </w:r>
        <w:r>
          <w:fldChar w:fldCharType="end"/>
        </w:r>
      </w:hyperlink>
    </w:p>
    <w:p>
      <w:pPr>
        <w:pStyle w:val="TOC2"/>
        <w:tabs>
          <w:tab w:val="right" w:leader="dot" w:pos="8306"/>
        </w:tabs>
      </w:pPr>
      <w:hyperlink w:anchor="_Toc7744" w:history="1">
        <w:r>
          <w:rPr>
            <w:rFonts w:ascii="仿宋" w:eastAsia="仿宋" w:hAnsi="仿宋" w:cs="仿宋" w:hint="eastAsia"/>
            <w:lang w:eastAsia="zh-CN"/>
          </w:rPr>
          <w:t>(四)、油墨及类似产品项目建设对区域经济的影响</w:t>
        </w:r>
        <w:r>
          <w:tab/>
        </w:r>
        <w:r>
          <w:fldChar w:fldCharType="begin"/>
        </w:r>
        <w:r>
          <w:instrText xml:space="preserve"> PAGEREF _Toc7744 \h </w:instrText>
        </w:r>
        <w:r>
          <w:fldChar w:fldCharType="separate"/>
        </w:r>
        <w:r>
          <w:t>43</w:t>
        </w:r>
        <w:r>
          <w:fldChar w:fldCharType="end"/>
        </w:r>
      </w:hyperlink>
    </w:p>
    <w:p>
      <w:pPr>
        <w:pStyle w:val="TOC2"/>
        <w:tabs>
          <w:tab w:val="right" w:leader="dot" w:pos="8306"/>
        </w:tabs>
      </w:pPr>
      <w:hyperlink w:anchor="_Toc13271" w:history="1">
        <w:r>
          <w:rPr>
            <w:rFonts w:ascii="仿宋" w:eastAsia="仿宋" w:hAnsi="仿宋" w:cs="仿宋" w:hint="eastAsia"/>
            <w:lang w:eastAsia="zh-CN"/>
          </w:rPr>
          <w:t>(五)、废弃物处理</w:t>
        </w:r>
        <w:r>
          <w:tab/>
        </w:r>
        <w:r>
          <w:fldChar w:fldCharType="begin"/>
        </w:r>
        <w:r>
          <w:instrText xml:space="preserve"> PAGEREF _Toc13271 \h </w:instrText>
        </w:r>
        <w:r>
          <w:fldChar w:fldCharType="separate"/>
        </w:r>
        <w:r>
          <w:t>44</w:t>
        </w:r>
        <w:r>
          <w:fldChar w:fldCharType="end"/>
        </w:r>
      </w:hyperlink>
    </w:p>
    <w:p>
      <w:pPr>
        <w:pStyle w:val="TOC2"/>
        <w:tabs>
          <w:tab w:val="right" w:leader="dot" w:pos="8306"/>
        </w:tabs>
      </w:pPr>
      <w:hyperlink w:anchor="_Toc22147" w:history="1">
        <w:r>
          <w:rPr>
            <w:rFonts w:ascii="仿宋" w:eastAsia="仿宋" w:hAnsi="仿宋" w:cs="仿宋" w:hint="eastAsia"/>
            <w:lang w:eastAsia="zh-CN"/>
          </w:rPr>
          <w:t>(六)、特殊环境影响分析</w:t>
        </w:r>
        <w:r>
          <w:tab/>
        </w:r>
        <w:r>
          <w:fldChar w:fldCharType="begin"/>
        </w:r>
        <w:r>
          <w:instrText xml:space="preserve"> PAGEREF _Toc22147 \h </w:instrText>
        </w:r>
        <w:r>
          <w:fldChar w:fldCharType="separate"/>
        </w:r>
        <w:r>
          <w:t>46</w:t>
        </w:r>
        <w:r>
          <w:fldChar w:fldCharType="end"/>
        </w:r>
      </w:hyperlink>
    </w:p>
    <w:p>
      <w:pPr>
        <w:pStyle w:val="TOC2"/>
        <w:tabs>
          <w:tab w:val="right" w:leader="dot" w:pos="8306"/>
        </w:tabs>
      </w:pPr>
      <w:hyperlink w:anchor="_Toc13144" w:history="1">
        <w:r>
          <w:rPr>
            <w:rFonts w:ascii="仿宋" w:eastAsia="仿宋" w:hAnsi="仿宋" w:cs="仿宋" w:hint="eastAsia"/>
            <w:lang w:eastAsia="zh-CN"/>
          </w:rPr>
          <w:t>(七)、清洁生产</w:t>
        </w:r>
        <w:r>
          <w:tab/>
        </w:r>
        <w:r>
          <w:fldChar w:fldCharType="begin"/>
        </w:r>
        <w:r>
          <w:instrText xml:space="preserve"> PAGEREF _Toc13144 \h </w:instrText>
        </w:r>
        <w:r>
          <w:fldChar w:fldCharType="separate"/>
        </w:r>
        <w:r>
          <w:t>47</w:t>
        </w:r>
        <w:r>
          <w:fldChar w:fldCharType="end"/>
        </w:r>
      </w:hyperlink>
    </w:p>
    <w:p>
      <w:pPr>
        <w:pStyle w:val="TOC2"/>
        <w:tabs>
          <w:tab w:val="right" w:leader="dot" w:pos="8306"/>
        </w:tabs>
      </w:pPr>
      <w:hyperlink w:anchor="_Toc16572" w:history="1">
        <w:r>
          <w:rPr>
            <w:rFonts w:ascii="仿宋" w:eastAsia="仿宋" w:hAnsi="仿宋" w:cs="仿宋" w:hint="eastAsia"/>
            <w:lang w:eastAsia="zh-CN"/>
          </w:rPr>
          <w:t>(八)、环境保护综合评价</w:t>
        </w:r>
        <w:r>
          <w:tab/>
        </w:r>
        <w:r>
          <w:fldChar w:fldCharType="begin"/>
        </w:r>
        <w:r>
          <w:instrText xml:space="preserve"> PAGEREF _Toc16572 \h </w:instrText>
        </w:r>
        <w:r>
          <w:fldChar w:fldCharType="separate"/>
        </w:r>
        <w:r>
          <w:t>48</w:t>
        </w:r>
        <w:r>
          <w:fldChar w:fldCharType="end"/>
        </w:r>
      </w:hyperlink>
    </w:p>
    <w:p>
      <w:pPr>
        <w:pStyle w:val="TOC1"/>
        <w:tabs>
          <w:tab w:val="right" w:leader="dot" w:pos="8306"/>
        </w:tabs>
      </w:pPr>
      <w:hyperlink w:anchor="_Toc5529" w:history="1">
        <w:r>
          <w:rPr>
            <w:rFonts w:ascii="仿宋" w:eastAsia="仿宋" w:hAnsi="仿宋" w:cs="仿宋" w:hint="eastAsia"/>
            <w:lang w:eastAsia="zh-CN"/>
          </w:rPr>
          <w:t>十二、油墨及类似产品项目计划安排</w:t>
        </w:r>
        <w:r>
          <w:tab/>
        </w:r>
        <w:r>
          <w:fldChar w:fldCharType="begin"/>
        </w:r>
        <w:r>
          <w:instrText xml:space="preserve"> PAGEREF _Toc5529 \h </w:instrText>
        </w:r>
        <w:r>
          <w:fldChar w:fldCharType="separate"/>
        </w:r>
        <w:r>
          <w:t>49</w:t>
        </w:r>
        <w:r>
          <w:fldChar w:fldCharType="end"/>
        </w:r>
      </w:hyperlink>
    </w:p>
    <w:p>
      <w:pPr>
        <w:pStyle w:val="TOC2"/>
        <w:tabs>
          <w:tab w:val="right" w:leader="dot" w:pos="8306"/>
        </w:tabs>
      </w:pPr>
      <w:hyperlink w:anchor="_Toc9687" w:history="1">
        <w:r>
          <w:rPr>
            <w:rFonts w:ascii="仿宋" w:eastAsia="仿宋" w:hAnsi="仿宋" w:cs="仿宋" w:hint="eastAsia"/>
            <w:lang w:eastAsia="zh-CN"/>
          </w:rPr>
          <w:t>(一)、建设周期</w:t>
        </w:r>
        <w:r>
          <w:tab/>
        </w:r>
        <w:r>
          <w:fldChar w:fldCharType="begin"/>
        </w:r>
        <w:r>
          <w:instrText xml:space="preserve"> PAGEREF _Toc9687 \h </w:instrText>
        </w:r>
        <w:r>
          <w:fldChar w:fldCharType="separate"/>
        </w:r>
        <w:r>
          <w:t>49</w:t>
        </w:r>
        <w:r>
          <w:fldChar w:fldCharType="end"/>
        </w:r>
      </w:hyperlink>
    </w:p>
    <w:p>
      <w:pPr>
        <w:pStyle w:val="TOC2"/>
        <w:tabs>
          <w:tab w:val="right" w:leader="dot" w:pos="8306"/>
        </w:tabs>
      </w:pPr>
      <w:hyperlink w:anchor="_Toc30412" w:history="1">
        <w:r>
          <w:rPr>
            <w:rFonts w:ascii="仿宋" w:eastAsia="仿宋" w:hAnsi="仿宋" w:cs="仿宋" w:hint="eastAsia"/>
            <w:lang w:eastAsia="zh-CN"/>
          </w:rPr>
          <w:t>(二)、建设进度</w:t>
        </w:r>
        <w:r>
          <w:tab/>
        </w:r>
        <w:r>
          <w:fldChar w:fldCharType="begin"/>
        </w:r>
        <w:r>
          <w:instrText xml:space="preserve"> PAGEREF _Toc30412 \h </w:instrText>
        </w:r>
        <w:r>
          <w:fldChar w:fldCharType="separate"/>
        </w:r>
        <w:r>
          <w:t>50</w:t>
        </w:r>
        <w:r>
          <w:fldChar w:fldCharType="end"/>
        </w:r>
      </w:hyperlink>
    </w:p>
    <w:p>
      <w:pPr>
        <w:pStyle w:val="TOC2"/>
        <w:tabs>
          <w:tab w:val="right" w:leader="dot" w:pos="8306"/>
        </w:tabs>
      </w:pPr>
      <w:hyperlink w:anchor="_Toc13394" w:history="1">
        <w:r>
          <w:rPr>
            <w:rFonts w:ascii="仿宋" w:eastAsia="仿宋" w:hAnsi="仿宋" w:cs="仿宋" w:hint="eastAsia"/>
            <w:lang w:eastAsia="zh-CN"/>
          </w:rPr>
          <w:t>(三)、进度安排注意事项</w:t>
        </w:r>
        <w:r>
          <w:tab/>
        </w:r>
        <w:r>
          <w:fldChar w:fldCharType="begin"/>
        </w:r>
        <w:r>
          <w:instrText xml:space="preserve"> PAGEREF _Toc13394 \h </w:instrText>
        </w:r>
        <w:r>
          <w:fldChar w:fldCharType="separate"/>
        </w:r>
        <w:r>
          <w:t>51</w:t>
        </w:r>
        <w:r>
          <w:fldChar w:fldCharType="end"/>
        </w:r>
      </w:hyperlink>
    </w:p>
    <w:p>
      <w:pPr>
        <w:pStyle w:val="TOC2"/>
        <w:tabs>
          <w:tab w:val="right" w:leader="dot" w:pos="8306"/>
        </w:tabs>
      </w:pPr>
      <w:hyperlink w:anchor="_Toc2626" w:history="1">
        <w:r>
          <w:rPr>
            <w:rFonts w:ascii="仿宋" w:eastAsia="仿宋" w:hAnsi="仿宋" w:cs="仿宋" w:hint="eastAsia"/>
            <w:lang w:eastAsia="zh-CN"/>
          </w:rPr>
          <w:t>(四)、人力资源配置</w:t>
        </w:r>
        <w:r>
          <w:tab/>
        </w:r>
        <w:r>
          <w:fldChar w:fldCharType="begin"/>
        </w:r>
        <w:r>
          <w:instrText xml:space="preserve"> PAGEREF _Toc2626 \h </w:instrText>
        </w:r>
        <w:r>
          <w:fldChar w:fldCharType="separate"/>
        </w:r>
        <w:r>
          <w:t>53</w:t>
        </w:r>
        <w:r>
          <w:fldChar w:fldCharType="end"/>
        </w:r>
      </w:hyperlink>
    </w:p>
    <w:p>
      <w:pPr>
        <w:pStyle w:val="TOC1"/>
        <w:tabs>
          <w:tab w:val="right" w:leader="dot" w:pos="8306"/>
        </w:tabs>
      </w:pPr>
      <w:hyperlink w:anchor="_Toc15831" w:history="1">
        <w:r>
          <w:rPr>
            <w:rFonts w:ascii="仿宋" w:eastAsia="仿宋" w:hAnsi="仿宋" w:cs="仿宋" w:hint="eastAsia"/>
            <w:lang w:eastAsia="zh-CN"/>
          </w:rPr>
          <w:t>十三、利益相关者分析与沟通计划</w:t>
        </w:r>
        <w:r>
          <w:tab/>
        </w:r>
        <w:r>
          <w:fldChar w:fldCharType="begin"/>
        </w:r>
        <w:r>
          <w:instrText xml:space="preserve"> PAGEREF _Toc15831 \h </w:instrText>
        </w:r>
        <w:r>
          <w:fldChar w:fldCharType="separate"/>
        </w:r>
        <w:r>
          <w:t>54</w:t>
        </w:r>
        <w:r>
          <w:fldChar w:fldCharType="end"/>
        </w:r>
      </w:hyperlink>
    </w:p>
    <w:p>
      <w:pPr>
        <w:pStyle w:val="TOC2"/>
        <w:tabs>
          <w:tab w:val="right" w:leader="dot" w:pos="8306"/>
        </w:tabs>
      </w:pPr>
      <w:hyperlink w:anchor="_Toc8215" w:history="1">
        <w:r>
          <w:rPr>
            <w:rFonts w:ascii="仿宋" w:eastAsia="仿宋" w:hAnsi="仿宋" w:cs="仿宋" w:hint="eastAsia"/>
            <w:lang w:eastAsia="zh-CN"/>
          </w:rPr>
          <w:t>(一)、利益相关者分析</w:t>
        </w:r>
        <w:r>
          <w:tab/>
        </w:r>
        <w:r>
          <w:fldChar w:fldCharType="begin"/>
        </w:r>
        <w:r>
          <w:instrText xml:space="preserve"> PAGEREF _Toc8215 \h </w:instrText>
        </w:r>
        <w:r>
          <w:fldChar w:fldCharType="separate"/>
        </w:r>
        <w:r>
          <w:t>54</w:t>
        </w:r>
        <w:r>
          <w:fldChar w:fldCharType="end"/>
        </w:r>
      </w:hyperlink>
    </w:p>
    <w:p>
      <w:pPr>
        <w:pStyle w:val="TOC2"/>
        <w:tabs>
          <w:tab w:val="right" w:leader="dot" w:pos="8306"/>
        </w:tabs>
      </w:pPr>
      <w:hyperlink w:anchor="_Toc27337" w:history="1">
        <w:r>
          <w:rPr>
            <w:rFonts w:ascii="仿宋" w:eastAsia="仿宋" w:hAnsi="仿宋" w:cs="仿宋" w:hint="eastAsia"/>
            <w:lang w:eastAsia="zh-CN"/>
          </w:rPr>
          <w:t>(二)、沟通计划</w:t>
        </w:r>
        <w:r>
          <w:tab/>
        </w:r>
        <w:r>
          <w:fldChar w:fldCharType="begin"/>
        </w:r>
        <w:r>
          <w:instrText xml:space="preserve"> PAGEREF _Toc27337 \h </w:instrText>
        </w:r>
        <w:r>
          <w:fldChar w:fldCharType="separate"/>
        </w:r>
        <w:r>
          <w:t>55</w:t>
        </w:r>
        <w:r>
          <w:fldChar w:fldCharType="end"/>
        </w:r>
      </w:hyperlink>
    </w:p>
    <w:p>
      <w:pPr>
        <w:pStyle w:val="TOC1"/>
        <w:tabs>
          <w:tab w:val="right" w:leader="dot" w:pos="8306"/>
        </w:tabs>
      </w:pPr>
      <w:hyperlink w:anchor="_Toc15630" w:history="1">
        <w:r>
          <w:rPr>
            <w:rFonts w:ascii="仿宋" w:eastAsia="仿宋" w:hAnsi="仿宋" w:cs="仿宋" w:hint="eastAsia"/>
            <w:lang w:eastAsia="zh-CN"/>
          </w:rPr>
          <w:t>十四、油墨及类似产品项目工程方案分析</w:t>
        </w:r>
        <w:r>
          <w:tab/>
        </w:r>
        <w:r>
          <w:fldChar w:fldCharType="begin"/>
        </w:r>
        <w:r>
          <w:instrText xml:space="preserve"> PAGEREF _Toc15630 \h </w:instrText>
        </w:r>
        <w:r>
          <w:fldChar w:fldCharType="separate"/>
        </w:r>
        <w:r>
          <w:t>56</w:t>
        </w:r>
        <w:r>
          <w:fldChar w:fldCharType="end"/>
        </w:r>
      </w:hyperlink>
    </w:p>
    <w:p>
      <w:pPr>
        <w:pStyle w:val="TOC2"/>
        <w:tabs>
          <w:tab w:val="right" w:leader="dot" w:pos="8306"/>
        </w:tabs>
      </w:pPr>
      <w:hyperlink w:anchor="_Toc23330" w:history="1">
        <w:r>
          <w:rPr>
            <w:rFonts w:ascii="仿宋" w:eastAsia="仿宋" w:hAnsi="仿宋" w:cs="仿宋" w:hint="eastAsia"/>
            <w:lang w:eastAsia="zh-CN"/>
          </w:rPr>
          <w:t>(一)、建筑工程设计原则</w:t>
        </w:r>
        <w:r>
          <w:tab/>
        </w:r>
        <w:r>
          <w:fldChar w:fldCharType="begin"/>
        </w:r>
        <w:r>
          <w:instrText xml:space="preserve"> PAGEREF _Toc23330 \h </w:instrText>
        </w:r>
        <w:r>
          <w:fldChar w:fldCharType="separate"/>
        </w:r>
        <w:r>
          <w:t>56</w:t>
        </w:r>
        <w:r>
          <w:fldChar w:fldCharType="end"/>
        </w:r>
      </w:hyperlink>
    </w:p>
    <w:p>
      <w:pPr>
        <w:pStyle w:val="TOC2"/>
        <w:tabs>
          <w:tab w:val="right" w:leader="dot" w:pos="8306"/>
        </w:tabs>
      </w:pPr>
      <w:hyperlink w:anchor="_Toc32369" w:history="1">
        <w:r>
          <w:rPr>
            <w:rFonts w:ascii="仿宋" w:eastAsia="仿宋" w:hAnsi="仿宋" w:cs="仿宋" w:hint="eastAsia"/>
            <w:lang w:eastAsia="zh-CN"/>
          </w:rPr>
          <w:t>(二)、土建工程建设指标</w:t>
        </w:r>
        <w:r>
          <w:tab/>
        </w:r>
        <w:r>
          <w:fldChar w:fldCharType="begin"/>
        </w:r>
        <w:r>
          <w:instrText xml:space="preserve"> PAGEREF _Toc32369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792"/>
      <w:r>
        <w:rPr>
          <w:rFonts w:ascii="仿宋" w:eastAsia="仿宋" w:hAnsi="仿宋" w:cs="仿宋" w:hint="eastAsia"/>
          <w:sz w:val="28"/>
          <w:lang w:eastAsia="zh-CN"/>
        </w:rPr>
        <w:t>一、油墨及类似产品项目可持续发展</w:t>
      </w:r>
      <w:bookmarkEnd w:id="2"/>
    </w:p>
    <w:p>
      <w:pPr>
        <w:pStyle w:val="Heading2"/>
        <w:rPr>
          <w:rFonts w:ascii="仿宋" w:eastAsia="仿宋" w:hAnsi="仿宋" w:cs="仿宋" w:hint="eastAsia"/>
          <w:lang w:eastAsia="zh-CN"/>
        </w:rPr>
      </w:pPr>
      <w:bookmarkStart w:id="3" w:name="_Toc154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中，油墨及类似产品项目团队着眼于未来，明确了可持续发展的战略方向。制定的具体可持续发展目标包括降低资源使用、采用环保技术、最大化社会效益等。这一步骤不仅有助于油墨及类似产品项目在环保和社会责任方面达到最高标准，也为未来提供了明确的指引，确保油墨及类似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可持续实践的融入油墨及类似产品项目管理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油墨及类似产品项目管理周期。从油墨及类似产品项目规划开始，油墨及类似产品项目团队就考虑了环境和社会的因素。在执行阶段，油墨及类似产品项目团队积极推动绿色技术的应用，优化资源利用。此外，关注员工的社会责任，通过培训和沟通活动提高员工对可持续发展的认知，使他们能够在日常工作中践行可持续实践。这些举措不仅为油墨及类似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07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扎根于油墨及类似产品项目的可持续发展理念，我们深信环保与社会责任是油墨及类似产品项目成功的关键支柱。在油墨及类似产品项目的每一步，我们都致力于通过创新和实践，履行对环境和社会的坚定责任。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团队通过引入先进的环保技术、建立高效的废物处理系统以及推动能源节约措施，积极履行环保责任。定期的环保监测和评估确保油墨及类似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油墨及类似产品项目不仅致力于自身可持续发展，还注重对社会的回馈。通过支持社区油墨及类似产品项目、参与慈善事业、提供培训机会等方式，油墨及类似产品项目积极履行社会责任。与当地社区建立积极互动，关注员工的工作与生活平衡，以及员工的身心健康，是油墨及类似产品项目在社会责任层面的关键举措。这样的实践不仅增强了油墨及类似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72"/>
      <w:r>
        <w:rPr>
          <w:rFonts w:ascii="仿宋" w:eastAsia="仿宋" w:hAnsi="仿宋" w:cs="仿宋" w:hint="eastAsia"/>
          <w:sz w:val="28"/>
          <w:lang w:eastAsia="zh-CN"/>
        </w:rPr>
        <w:t>二、油墨及类似产品项目土建工程</w:t>
      </w:r>
      <w:bookmarkEnd w:id="5"/>
    </w:p>
    <w:p>
      <w:pPr>
        <w:pStyle w:val="Heading2"/>
        <w:rPr>
          <w:rFonts w:ascii="仿宋" w:eastAsia="仿宋" w:hAnsi="仿宋" w:cs="仿宋" w:hint="eastAsia"/>
          <w:lang w:eastAsia="zh-CN"/>
        </w:rPr>
      </w:pPr>
      <w:bookmarkStart w:id="6" w:name="_Toc1418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在油墨及类似产品项目的建筑工程设计中，我们将秉承一系列重要的设计原则，以确保油墨及类似产品项目建筑在功能、美观、可持续性等方面达到最佳效果。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首要原则是确保建筑的功能性得到最大化的发挥。我们将充分理解油墨及类似产品项目的实际需求，合理布局各个功能区域，保证建筑在满足业务需求的同时，提供高效的工作环境。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在建筑设计中，我们将综合考虑建设和运营成本。通过精细的经济效益分析，确保设计方案在高效利用资源的同时，对油墨及类似产品项目的长期盈利能力有积极的贡献。</w:t>
      </w:r>
    </w:p>
    <w:p>
      <w:pPr>
        <w:pStyle w:val="Heading2"/>
        <w:ind w:firstLine="560" w:firstLineChars="200"/>
        <w:rPr>
          <w:rFonts w:ascii="仿宋" w:eastAsia="仿宋" w:hAnsi="仿宋" w:cs="仿宋" w:hint="eastAsia"/>
          <w:sz w:val="28"/>
          <w:lang w:eastAsia="zh-CN"/>
        </w:rPr>
      </w:pPr>
      <w:bookmarkStart w:id="7" w:name="_Toc161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的土建工程设计中，我们将精准设定设计年限，结合油墨及类似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墨及类似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15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油墨及类似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墨及类似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墨及类似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30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本期工程油墨及类似产品项目预计总建筑面积XXX平方米，其中：计容建筑面积XXX平方米，计划建筑工程投资XX万元，占油墨及类似产品项目总投资的XX%。</w:t>
      </w:r>
    </w:p>
    <w:p>
      <w:pPr>
        <w:pStyle w:val="Heading1"/>
        <w:ind w:firstLine="560" w:firstLineChars="200"/>
        <w:rPr>
          <w:rFonts w:ascii="仿宋" w:eastAsia="仿宋" w:hAnsi="仿宋" w:cs="仿宋" w:hint="eastAsia"/>
          <w:sz w:val="28"/>
          <w:lang w:eastAsia="zh-CN"/>
        </w:rPr>
      </w:pPr>
      <w:bookmarkStart w:id="10" w:name="_Toc7454"/>
      <w:r>
        <w:rPr>
          <w:rFonts w:ascii="仿宋" w:eastAsia="仿宋" w:hAnsi="仿宋" w:cs="仿宋" w:hint="eastAsia"/>
          <w:sz w:val="28"/>
          <w:lang w:eastAsia="zh-CN"/>
        </w:rPr>
        <w:t>三、油墨及类似产品项目危机管理</w:t>
      </w:r>
      <w:bookmarkEnd w:id="10"/>
    </w:p>
    <w:p>
      <w:pPr>
        <w:pStyle w:val="Heading2"/>
        <w:rPr>
          <w:rFonts w:ascii="仿宋" w:eastAsia="仿宋" w:hAnsi="仿宋" w:cs="仿宋" w:hint="eastAsia"/>
          <w:lang w:eastAsia="zh-CN"/>
        </w:rPr>
      </w:pPr>
      <w:bookmarkStart w:id="11" w:name="_Toc4813"/>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危机管理中，危机预警与识别是确保油墨及类似产品项目稳健运行的核心步骤。通过建立全面的监测机制，油墨及类似产品项目团队旨在及时发现和理解潜在的风险和危机因素，以便采取及时的预防和应对措施，确保油墨及类似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墨及类似产品项目团队全面分析了整个油墨及类似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墨及类似产品项目团队着重于明确定义油墨及类似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墨及类似产品项目进展的持续监控，团队能够及时发现潜在问题并作出迅速反应。油墨及类似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在这一阶段，团队的专业素养和反应速度将发挥至关重要的作用，以确保潜在危机能够在初期得到有效的处理，最大程度地减轻负面影响。通过危机预警与识别，油墨及类似产品项目得以更有序、可控地推进。</w:t>
      </w:r>
    </w:p>
    <w:p>
      <w:pPr>
        <w:pStyle w:val="Heading2"/>
        <w:ind w:firstLine="560" w:firstLineChars="200"/>
        <w:rPr>
          <w:rFonts w:ascii="仿宋" w:eastAsia="仿宋" w:hAnsi="仿宋" w:cs="仿宋" w:hint="eastAsia"/>
          <w:sz w:val="28"/>
          <w:lang w:eastAsia="zh-CN"/>
        </w:rPr>
      </w:pPr>
      <w:bookmarkStart w:id="12" w:name="_Toc4289"/>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在危机发生时，油墨及类似产品项目团队立即行动，成立了应急小组。该小组的任务是迅速制定并实施紧急应对措施，以最小化潜在损失。以下是采取的主要措施：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暂停油墨及类似产品项目进度：为遏制危机蔓延，油墨及类似产品项目暂时停止进行，以便全面评估当前状况。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资源重新分配：重新评估油墨及类似产品项目资源的分配，确保最大限度地减小损失。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实时沟通：与关键利益相关者建立实时沟通机制，向他们传递油墨及类似产品项目危机的实际状况，保障油墨及类似产品项目核心利益。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在紧急应对的同时，油墨及类似产品项目团队强调了团队协作和有效沟通的重要性。以下是团队协作的关键举措：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信息共享机制：建立了信息共享平台，确保团队成员能够及时获取油墨及类似产品项目危机的实时信息。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领导者沟通：油墨及类似产品项目领导者通过定期会议和即时沟通工具，指导团队应对危机，保持团队稳定运行。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随着危机得到初步控制，油墨及类似产品项目团队转向制定恢复计划，以确保油墨及类似产品项目能够从中迅速恢复。主要恢复计划包括：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修复受损的进度计划：重新评估油墨及类似产品项目进度，制定修复计划，确保油墨及类似产品项目尽快回归正常进程。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重新调整资源分配：优化资源分配，确保油墨及类似产品项目在有限资源下高效运转。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风险管理机制加强：对油墨及类似产品项目风险进行全面评估，制定更强化的风险管理策略，以预防未来可能的危机。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464"/>
      <w:r>
        <w:rPr>
          <w:rFonts w:ascii="仿宋" w:eastAsia="仿宋" w:hAnsi="仿宋" w:cs="仿宋" w:hint="eastAsia"/>
          <w:sz w:val="28"/>
          <w:lang w:eastAsia="zh-CN"/>
        </w:rPr>
        <w:t>四、油墨及类似产品项目建设背景及必要性分析</w:t>
      </w:r>
      <w:bookmarkEnd w:id="13"/>
    </w:p>
    <w:p>
      <w:pPr>
        <w:pStyle w:val="Heading2"/>
        <w:rPr>
          <w:rFonts w:ascii="仿宋" w:eastAsia="仿宋" w:hAnsi="仿宋" w:cs="仿宋" w:hint="eastAsia"/>
          <w:lang w:eastAsia="zh-CN"/>
        </w:rPr>
      </w:pPr>
      <w:bookmarkStart w:id="14" w:name="_Toc5645"/>
      <w:r>
        <w:rPr>
          <w:rFonts w:ascii="仿宋" w:eastAsia="仿宋" w:hAnsi="仿宋" w:cs="仿宋" w:hint="eastAsia"/>
          <w:lang w:eastAsia="zh-CN"/>
        </w:rPr>
        <w:t>(一)、油墨及类似产品项目背景分析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墨及类似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墨及类似产品项目在这个潮流中的定位。同时，我们将关注行业内涌现的新兴机遇，以便油墨及类似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墨及类似产品项目提供了强大的发展动力。我们将聚焦于行业内最新的技术发展趋势，包括但不限于人工智能、大数据分析、物联网等领域。通过深度的技术研究，我们将确保油墨及类似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墨及类似产品项目发展的源泉。我们将投入更多的精力对市场需求进行深入剖析，超越表面的需求，深入挖掘潜在的市场痛点和机遇。通过对市场需求的细致了解，油墨及类似产品项目将更有针对性地设计解决方案，满足市场的多样化需求，从而更好地促进油墨及类似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墨及类似产品项目战略至关重要。我们将对竞争态势进行更为深入的分析，包括但不限于市场份额、产品特点、客户满意度等多个维度。通过深度的竞争分析，油墨及类似产品项目将能够更准确地把握市场脉搏，制定具有竞争力的油墨及类似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墨及类似产品项目的发展具有直接的影响。我们将进行更为全面的法规和政策分析，了解行业发展中的潜在法律风险和合规挑战。通过充分了解和遵守相关法规，油墨及类似产品项目将确保在法律框架内合法合规运营，为油墨及类似产品项目的稳健发展提供有力支持。</w:t>
      </w:r>
    </w:p>
    <w:p>
      <w:pPr>
        <w:pStyle w:val="Heading2"/>
        <w:ind w:firstLine="560" w:firstLineChars="200"/>
        <w:rPr>
          <w:rFonts w:ascii="仿宋" w:eastAsia="仿宋" w:hAnsi="仿宋" w:cs="仿宋" w:hint="eastAsia"/>
          <w:sz w:val="28"/>
          <w:lang w:eastAsia="zh-CN"/>
        </w:rPr>
      </w:pPr>
      <w:bookmarkStart w:id="15" w:name="_Toc27268"/>
      <w:r>
        <w:rPr>
          <w:rFonts w:ascii="仿宋" w:eastAsia="仿宋" w:hAnsi="仿宋" w:cs="仿宋" w:hint="eastAsia"/>
          <w:sz w:val="28"/>
          <w:lang w:eastAsia="zh-CN"/>
        </w:rPr>
        <w:t>(二)、油墨及类似产品项目建设必要性分析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建设的迫切性源于对行业发展趋势的深刻洞察。我们正处于一个行业变革的时代，科技创新、数字化转型成为企业发展的关键动力。油墨及类似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建设不仅仅是为了跟上潮流，更是为了通过技术创新推动企业的持续发展。通过引入先进的技术和解决方案，油墨及类似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墨及类似产品项目的建设成为必然选择，通过提高产品质量、拓展服务领域，从而在竞争中获得更多的机会。油墨及类似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油墨及类似产品项目建设的必要性体现在对客户需求更精准的满足。通过油墨及类似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建设的背后是对企业持续创新的追求。只有通过不断创新，企业才能在竞争中立于不败之地。油墨及类似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9028"/>
      <w:r>
        <w:rPr>
          <w:rFonts w:ascii="仿宋" w:eastAsia="仿宋" w:hAnsi="仿宋" w:cs="仿宋" w:hint="eastAsia"/>
          <w:sz w:val="28"/>
          <w:lang w:eastAsia="zh-CN"/>
        </w:rPr>
        <w:t>五、油墨及类似产品项目选址可行性分析</w:t>
      </w:r>
      <w:bookmarkEnd w:id="16"/>
    </w:p>
    <w:p>
      <w:pPr>
        <w:pStyle w:val="Heading2"/>
        <w:rPr>
          <w:rFonts w:ascii="仿宋" w:eastAsia="仿宋" w:hAnsi="仿宋" w:cs="仿宋" w:hint="eastAsia"/>
          <w:lang w:eastAsia="zh-CN"/>
        </w:rPr>
      </w:pPr>
      <w:bookmarkStart w:id="17" w:name="_Toc22922"/>
      <w:r>
        <w:rPr>
          <w:rFonts w:ascii="仿宋" w:eastAsia="仿宋" w:hAnsi="仿宋" w:cs="仿宋" w:hint="eastAsia"/>
          <w:lang w:eastAsia="zh-CN"/>
        </w:rPr>
        <w:t>(一)、油墨及类似产品项目选址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该油墨及类似产品项目选址位于XX省XX市XX区XXX街道</w:t>
      </w:r>
    </w:p>
    <w:p>
      <w:pPr>
        <w:pStyle w:val="Heading2"/>
        <w:ind w:firstLine="560" w:firstLineChars="200"/>
        <w:rPr>
          <w:rFonts w:ascii="仿宋" w:eastAsia="仿宋" w:hAnsi="仿宋" w:cs="仿宋" w:hint="eastAsia"/>
          <w:sz w:val="28"/>
          <w:lang w:eastAsia="zh-CN"/>
        </w:rPr>
      </w:pPr>
      <w:bookmarkStart w:id="18" w:name="_Toc1954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油墨及类似产品项目的征地面积将根据油墨及类似产品项目的实际规模和需求进行精确规划。具体面积XXX平方米，旨在确保油墨及类似产品项目不仅能够满足当前的发展需求，还能够预留空间以适应未来的扩展。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净用地面积是在征地面积基础上去除不可利用面积后的实际可开发用地。具体面积XXX平方米，考虑到环保、交通、安全等多方面因素，以确保油墨及类似产品项目在整体利用效率上达到最优。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油墨及类似产品项目计划建设的建筑总规模具体面积XXX平方米。这一规模的确定综合考虑了油墨及类似产品项目的性质、规模，以及城市规划的相关要求，确保建筑布局与周边环境协调一致。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绿地率是油墨及类似产品项目用地中被规划为绿地的比例。具体面积XXX平方米，旨在通过合理规划绿地，改善油墨及类似产品项目周边环境，提升居民生活质量，并符合城市整体绿化规划。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容积率是用地上可以建设的建筑总体积与用地面积之比。具体面积XXX，通过合理的容积率规划，确保油墨及类似产品项目建筑规模与周边环境和谐共生。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油墨及类似产品项目选址与当地城市规划相一致，具体面积XXX平方米。通过与城市规划部门深入沟通，确保油墨及类似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油墨及类似产品项目选址符合当地产业政策，具体面积XXX平方米。这包括油墨及类似产品项目对当地经济的促进作用，以及对相关产业的带动效应，确保油墨及类似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用地总体要求必须符合环保和可持续发展的原则，具体面积XXX平方米。通过采用绿色建筑设计、节能减排等措施，确保油墨及类似产品项目在建设和运营过程中对环境的影响最小化，达到可持续发展的要求。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确保油墨及类似产品项目选址具备必要的公共设施配套，具体面积XXX平方米。这包括交通便利性、教育、医疗等基础设施，以提高居民生活品质，使得油墨及类似产品项目选址更具吸引力。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考虑用地总体要求对当地社会稳定性的影响，具体面积XXX平方米。通过深入了解当地社区反馈，确保油墨及类似产品项目的选址和建设过程对当地社会和谐稳定产生积极作用。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油墨及类似产品项目选址不仅符合法规和规划，还在实际操作中具有可行性。这一全面规划将为油墨及类似产品项目的成功实施提供坚实的基础，确保油墨及类似产品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981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墨及类似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https://d.book118.com/866103151203010101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3B50E7"/>
    <w:rsid w:val="483B50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10315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2024-03-01T02:03:00Z</dcterms:created>
  <dcterms:modified xsi:type="dcterms:W3CDTF">2024-03-01T02:04:18Z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E0EBAEF8263A4BC5A98D707D70F6D18C_11</vt:lpwstr>
  </property>
  <property fmtid="{D5CDD505-2E9C-101B-9397-08002B2CF9AE}" pid="3" name="KSOProductBuildVer">
    <vt:lpwstr>2052-12.1.0.16388</vt:lpwstr>
  </property>
</Properties>
</file>