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2024年氧化炉行业趋势报告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7120"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_Toc27120 \h </w:instrText>
        </w:r>
        <w:r>
          <w:fldChar w:fldCharType="separate"/>
        </w:r>
        <w:r>
          <w:t>4</w:t>
        </w:r>
        <w:r>
          <w:fldChar w:fldCharType="end"/>
        </w:r>
      </w:hyperlink>
    </w:p>
    <w:p>
      <w:pPr>
        <w:pStyle w:val="TOC1"/>
        <w:tabs>
          <w:tab w:val="right" w:leader="dot" w:pos="8306"/>
        </w:tabs>
      </w:pPr>
      <w:hyperlink w:anchor="_Toc26038" w:history="1">
        <w:r>
          <w:rPr>
            <w:rFonts w:ascii="微软雅黑" w:eastAsia="微软雅黑" w:hAnsi="微软雅黑" w:cs="微软雅黑" w:hint="eastAsia"/>
            <w:color w:val="001CAC" w:themeColor="hyperlink" w:themeShade="BF"/>
            <w:szCs w:val="32"/>
            <w:lang w:eastAsia="zh-CN"/>
          </w:rPr>
          <w:t>一、氧化炉行业项目管理与实施</w:t>
        </w:r>
        <w:r>
          <w:tab/>
        </w:r>
        <w:r>
          <w:fldChar w:fldCharType="begin"/>
        </w:r>
        <w:r>
          <w:instrText xml:space="preserve"> PAGEREF _Toc26038 \h </w:instrText>
        </w:r>
        <w:r>
          <w:fldChar w:fldCharType="separate"/>
        </w:r>
        <w:r>
          <w:t>4</w:t>
        </w:r>
        <w:r>
          <w:fldChar w:fldCharType="end"/>
        </w:r>
      </w:hyperlink>
    </w:p>
    <w:p>
      <w:pPr>
        <w:pStyle w:val="TOC2"/>
        <w:tabs>
          <w:tab w:val="right" w:leader="dot" w:pos="8306"/>
        </w:tabs>
      </w:pPr>
      <w:hyperlink w:anchor="_Toc28293" w:history="1">
        <w:r>
          <w:rPr>
            <w:rFonts w:ascii="宋体" w:eastAsia="宋体" w:hAnsi="宋体" w:cs="宋体" w:hint="eastAsia"/>
            <w:bCs w:val="0"/>
            <w:szCs w:val="28"/>
            <w:lang w:eastAsia="zh-CN"/>
          </w:rPr>
          <w:t>(一)、项目进度安排</w:t>
        </w:r>
        <w:r>
          <w:tab/>
        </w:r>
        <w:r>
          <w:fldChar w:fldCharType="begin"/>
        </w:r>
        <w:r>
          <w:instrText xml:space="preserve"> PAGEREF _Toc28293 \h </w:instrText>
        </w:r>
        <w:r>
          <w:fldChar w:fldCharType="separate"/>
        </w:r>
        <w:r>
          <w:t>4</w:t>
        </w:r>
        <w:r>
          <w:fldChar w:fldCharType="end"/>
        </w:r>
      </w:hyperlink>
    </w:p>
    <w:p>
      <w:pPr>
        <w:pStyle w:val="TOC2"/>
        <w:tabs>
          <w:tab w:val="right" w:leader="dot" w:pos="8306"/>
        </w:tabs>
      </w:pPr>
      <w:hyperlink w:anchor="_Toc23847" w:history="1">
        <w:r>
          <w:rPr>
            <w:rFonts w:ascii="宋体" w:eastAsia="宋体" w:hAnsi="宋体" w:cs="宋体" w:hint="eastAsia"/>
            <w:bCs w:val="0"/>
            <w:szCs w:val="28"/>
            <w:lang w:eastAsia="zh-CN"/>
          </w:rPr>
          <w:t>(二)、项目实施保障措施</w:t>
        </w:r>
        <w:r>
          <w:tab/>
        </w:r>
        <w:r>
          <w:fldChar w:fldCharType="begin"/>
        </w:r>
        <w:r>
          <w:instrText xml:space="preserve"> PAGEREF _Toc23847 \h </w:instrText>
        </w:r>
        <w:r>
          <w:fldChar w:fldCharType="separate"/>
        </w:r>
        <w:r>
          <w:t>4</w:t>
        </w:r>
        <w:r>
          <w:fldChar w:fldCharType="end"/>
        </w:r>
      </w:hyperlink>
    </w:p>
    <w:p>
      <w:pPr>
        <w:pStyle w:val="TOC2"/>
        <w:tabs>
          <w:tab w:val="right" w:leader="dot" w:pos="8306"/>
        </w:tabs>
      </w:pPr>
      <w:hyperlink w:anchor="_Toc15814" w:history="1">
        <w:r>
          <w:rPr>
            <w:rFonts w:ascii="宋体" w:eastAsia="宋体" w:hAnsi="宋体" w:cs="宋体" w:hint="eastAsia"/>
            <w:bCs w:val="0"/>
            <w:szCs w:val="28"/>
            <w:lang w:eastAsia="zh-CN"/>
          </w:rPr>
          <w:t>(三)、项目风险分析与对策</w:t>
        </w:r>
        <w:r>
          <w:tab/>
        </w:r>
        <w:r>
          <w:fldChar w:fldCharType="begin"/>
        </w:r>
        <w:r>
          <w:instrText xml:space="preserve"> PAGEREF _Toc15814 \h </w:instrText>
        </w:r>
        <w:r>
          <w:fldChar w:fldCharType="separate"/>
        </w:r>
        <w:r>
          <w:t>5</w:t>
        </w:r>
        <w:r>
          <w:fldChar w:fldCharType="end"/>
        </w:r>
      </w:hyperlink>
    </w:p>
    <w:p>
      <w:pPr>
        <w:pStyle w:val="TOC1"/>
        <w:tabs>
          <w:tab w:val="right" w:leader="dot" w:pos="8306"/>
        </w:tabs>
      </w:pPr>
      <w:hyperlink w:anchor="_Toc32583" w:history="1">
        <w:r>
          <w:rPr>
            <w:rFonts w:ascii="微软雅黑" w:eastAsia="微软雅黑" w:hAnsi="微软雅黑" w:cs="微软雅黑" w:hint="eastAsia"/>
            <w:color w:val="001CAC" w:themeColor="hyperlink" w:themeShade="BF"/>
            <w:szCs w:val="32"/>
            <w:lang w:eastAsia="zh-CN"/>
          </w:rPr>
          <w:t>二、安全与劳动保护</w:t>
        </w:r>
        <w:r>
          <w:tab/>
        </w:r>
        <w:r>
          <w:fldChar w:fldCharType="begin"/>
        </w:r>
        <w:r>
          <w:instrText xml:space="preserve"> PAGEREF _Toc32583 \h </w:instrText>
        </w:r>
        <w:r>
          <w:fldChar w:fldCharType="separate"/>
        </w:r>
        <w:r>
          <w:t>6</w:t>
        </w:r>
        <w:r>
          <w:fldChar w:fldCharType="end"/>
        </w:r>
      </w:hyperlink>
    </w:p>
    <w:p>
      <w:pPr>
        <w:pStyle w:val="TOC2"/>
        <w:tabs>
          <w:tab w:val="right" w:leader="dot" w:pos="8306"/>
        </w:tabs>
      </w:pPr>
      <w:hyperlink w:anchor="_Toc5588" w:history="1">
        <w:r>
          <w:rPr>
            <w:rFonts w:ascii="宋体" w:eastAsia="宋体" w:hAnsi="宋体" w:cs="宋体" w:hint="eastAsia"/>
            <w:bCs w:val="0"/>
            <w:szCs w:val="28"/>
            <w:lang w:eastAsia="zh-CN"/>
          </w:rPr>
          <w:t>(一)、设计依据与法规合规</w:t>
        </w:r>
        <w:r>
          <w:tab/>
        </w:r>
        <w:r>
          <w:fldChar w:fldCharType="begin"/>
        </w:r>
        <w:r>
          <w:instrText xml:space="preserve"> PAGEREF _Toc5588 \h </w:instrText>
        </w:r>
        <w:r>
          <w:fldChar w:fldCharType="separate"/>
        </w:r>
        <w:r>
          <w:t>6</w:t>
        </w:r>
        <w:r>
          <w:fldChar w:fldCharType="end"/>
        </w:r>
      </w:hyperlink>
    </w:p>
    <w:p>
      <w:pPr>
        <w:pStyle w:val="TOC2"/>
        <w:tabs>
          <w:tab w:val="right" w:leader="dot" w:pos="8306"/>
        </w:tabs>
      </w:pPr>
      <w:hyperlink w:anchor="_Toc29034" w:history="1">
        <w:r>
          <w:rPr>
            <w:rFonts w:ascii="宋体" w:eastAsia="宋体" w:hAnsi="宋体" w:cs="宋体" w:hint="eastAsia"/>
            <w:bCs w:val="0"/>
            <w:szCs w:val="28"/>
            <w:lang w:eastAsia="zh-CN"/>
          </w:rPr>
          <w:t>(二)、劳动安全预期效果评价</w:t>
        </w:r>
        <w:r>
          <w:tab/>
        </w:r>
        <w:r>
          <w:fldChar w:fldCharType="begin"/>
        </w:r>
        <w:r>
          <w:instrText xml:space="preserve"> PAGEREF _Toc29034 \h </w:instrText>
        </w:r>
        <w:r>
          <w:fldChar w:fldCharType="separate"/>
        </w:r>
        <w:r>
          <w:t>6</w:t>
        </w:r>
        <w:r>
          <w:fldChar w:fldCharType="end"/>
        </w:r>
      </w:hyperlink>
    </w:p>
    <w:p>
      <w:pPr>
        <w:pStyle w:val="TOC2"/>
        <w:tabs>
          <w:tab w:val="right" w:leader="dot" w:pos="8306"/>
        </w:tabs>
      </w:pPr>
      <w:hyperlink w:anchor="_Toc12198" w:history="1">
        <w:r>
          <w:rPr>
            <w:rFonts w:ascii="宋体" w:eastAsia="宋体" w:hAnsi="宋体" w:cs="宋体" w:hint="eastAsia"/>
            <w:bCs w:val="0"/>
            <w:szCs w:val="28"/>
            <w:lang w:eastAsia="zh-CN"/>
          </w:rPr>
          <w:t>(三)、主要防范措施</w:t>
        </w:r>
        <w:r>
          <w:tab/>
        </w:r>
        <w:r>
          <w:fldChar w:fldCharType="begin"/>
        </w:r>
        <w:r>
          <w:instrText xml:space="preserve"> PAGEREF _Toc12198 \h </w:instrText>
        </w:r>
        <w:r>
          <w:fldChar w:fldCharType="separate"/>
        </w:r>
        <w:r>
          <w:t>6</w:t>
        </w:r>
        <w:r>
          <w:fldChar w:fldCharType="end"/>
        </w:r>
      </w:hyperlink>
    </w:p>
    <w:p>
      <w:pPr>
        <w:pStyle w:val="TOC1"/>
        <w:tabs>
          <w:tab w:val="right" w:leader="dot" w:pos="8306"/>
        </w:tabs>
      </w:pPr>
      <w:hyperlink w:anchor="_Toc13804" w:history="1">
        <w:r>
          <w:rPr>
            <w:rFonts w:ascii="微软雅黑" w:eastAsia="微软雅黑" w:hAnsi="微软雅黑" w:cs="微软雅黑" w:hint="eastAsia"/>
            <w:color w:val="001CAC" w:themeColor="hyperlink" w:themeShade="BF"/>
            <w:szCs w:val="32"/>
            <w:lang w:eastAsia="zh-CN"/>
          </w:rPr>
          <w:t>三、项目运营与管理</w:t>
        </w:r>
        <w:r>
          <w:tab/>
        </w:r>
        <w:r>
          <w:fldChar w:fldCharType="begin"/>
        </w:r>
        <w:r>
          <w:instrText xml:space="preserve"> PAGEREF _Toc13804 \h </w:instrText>
        </w:r>
        <w:r>
          <w:fldChar w:fldCharType="separate"/>
        </w:r>
        <w:r>
          <w:t>7</w:t>
        </w:r>
        <w:r>
          <w:fldChar w:fldCharType="end"/>
        </w:r>
      </w:hyperlink>
    </w:p>
    <w:p>
      <w:pPr>
        <w:pStyle w:val="TOC2"/>
        <w:tabs>
          <w:tab w:val="right" w:leader="dot" w:pos="8306"/>
        </w:tabs>
      </w:pPr>
      <w:hyperlink w:anchor="_Toc1113" w:history="1">
        <w:r>
          <w:rPr>
            <w:rFonts w:ascii="宋体" w:eastAsia="宋体" w:hAnsi="宋体" w:cs="宋体" w:hint="eastAsia"/>
            <w:bCs w:val="0"/>
            <w:szCs w:val="28"/>
            <w:lang w:eastAsia="zh-CN"/>
          </w:rPr>
          <w:t>(一)、运营模式选择</w:t>
        </w:r>
        <w:r>
          <w:tab/>
        </w:r>
        <w:r>
          <w:fldChar w:fldCharType="begin"/>
        </w:r>
        <w:r>
          <w:instrText xml:space="preserve"> PAGEREF _Toc1113 \h </w:instrText>
        </w:r>
        <w:r>
          <w:fldChar w:fldCharType="separate"/>
        </w:r>
        <w:r>
          <w:t>7</w:t>
        </w:r>
        <w:r>
          <w:fldChar w:fldCharType="end"/>
        </w:r>
      </w:hyperlink>
    </w:p>
    <w:p>
      <w:pPr>
        <w:pStyle w:val="TOC2"/>
        <w:tabs>
          <w:tab w:val="right" w:leader="dot" w:pos="8306"/>
        </w:tabs>
      </w:pPr>
      <w:hyperlink w:anchor="_Toc18631" w:history="1">
        <w:r>
          <w:rPr>
            <w:rFonts w:ascii="宋体" w:eastAsia="宋体" w:hAnsi="宋体" w:cs="宋体" w:hint="eastAsia"/>
            <w:bCs w:val="0"/>
            <w:szCs w:val="28"/>
            <w:lang w:eastAsia="zh-CN"/>
          </w:rPr>
          <w:t>(二)、人力资源规划</w:t>
        </w:r>
        <w:r>
          <w:tab/>
        </w:r>
        <w:r>
          <w:fldChar w:fldCharType="begin"/>
        </w:r>
        <w:r>
          <w:instrText xml:space="preserve"> PAGEREF _Toc18631 \h </w:instrText>
        </w:r>
        <w:r>
          <w:fldChar w:fldCharType="separate"/>
        </w:r>
        <w:r>
          <w:t>8</w:t>
        </w:r>
        <w:r>
          <w:fldChar w:fldCharType="end"/>
        </w:r>
      </w:hyperlink>
    </w:p>
    <w:p>
      <w:pPr>
        <w:pStyle w:val="TOC2"/>
        <w:tabs>
          <w:tab w:val="right" w:leader="dot" w:pos="8306"/>
        </w:tabs>
      </w:pPr>
      <w:hyperlink w:anchor="_Toc12812" w:history="1">
        <w:r>
          <w:rPr>
            <w:rFonts w:ascii="宋体" w:eastAsia="宋体" w:hAnsi="宋体" w:cs="宋体" w:hint="eastAsia"/>
            <w:bCs w:val="0"/>
            <w:szCs w:val="28"/>
            <w:lang w:eastAsia="zh-CN"/>
          </w:rPr>
          <w:t>(三)、财务管理计划</w:t>
        </w:r>
        <w:r>
          <w:tab/>
        </w:r>
        <w:r>
          <w:fldChar w:fldCharType="begin"/>
        </w:r>
        <w:r>
          <w:instrText xml:space="preserve"> PAGEREF _Toc12812 \h </w:instrText>
        </w:r>
        <w:r>
          <w:fldChar w:fldCharType="separate"/>
        </w:r>
        <w:r>
          <w:t>8</w:t>
        </w:r>
        <w:r>
          <w:fldChar w:fldCharType="end"/>
        </w:r>
      </w:hyperlink>
    </w:p>
    <w:p>
      <w:pPr>
        <w:pStyle w:val="TOC2"/>
        <w:tabs>
          <w:tab w:val="right" w:leader="dot" w:pos="8306"/>
        </w:tabs>
      </w:pPr>
      <w:hyperlink w:anchor="_Toc16768" w:history="1">
        <w:r>
          <w:rPr>
            <w:rFonts w:ascii="宋体" w:eastAsia="宋体" w:hAnsi="宋体" w:cs="宋体" w:hint="eastAsia"/>
            <w:bCs w:val="0"/>
            <w:szCs w:val="28"/>
            <w:lang w:eastAsia="zh-CN"/>
          </w:rPr>
          <w:t>(四)、供应链管理</w:t>
        </w:r>
        <w:r>
          <w:tab/>
        </w:r>
        <w:r>
          <w:fldChar w:fldCharType="begin"/>
        </w:r>
        <w:r>
          <w:instrText xml:space="preserve"> PAGEREF _Toc16768 \h </w:instrText>
        </w:r>
        <w:r>
          <w:fldChar w:fldCharType="separate"/>
        </w:r>
        <w:r>
          <w:t>9</w:t>
        </w:r>
        <w:r>
          <w:fldChar w:fldCharType="end"/>
        </w:r>
      </w:hyperlink>
    </w:p>
    <w:p>
      <w:pPr>
        <w:pStyle w:val="TOC1"/>
        <w:tabs>
          <w:tab w:val="right" w:leader="dot" w:pos="8306"/>
        </w:tabs>
      </w:pPr>
      <w:hyperlink w:anchor="_Toc9355" w:history="1">
        <w:r>
          <w:rPr>
            <w:rFonts w:ascii="微软雅黑" w:eastAsia="微软雅黑" w:hAnsi="微软雅黑" w:cs="微软雅黑" w:hint="eastAsia"/>
            <w:color w:val="001CAC" w:themeColor="hyperlink" w:themeShade="BF"/>
            <w:szCs w:val="32"/>
            <w:lang w:eastAsia="zh-CN"/>
          </w:rPr>
          <w:t>四、项目实施与进度安排</w:t>
        </w:r>
        <w:r>
          <w:tab/>
        </w:r>
        <w:r>
          <w:fldChar w:fldCharType="begin"/>
        </w:r>
        <w:r>
          <w:instrText xml:space="preserve"> PAGEREF _Toc9355 \h </w:instrText>
        </w:r>
        <w:r>
          <w:fldChar w:fldCharType="separate"/>
        </w:r>
        <w:r>
          <w:t>10</w:t>
        </w:r>
        <w:r>
          <w:fldChar w:fldCharType="end"/>
        </w:r>
      </w:hyperlink>
    </w:p>
    <w:p>
      <w:pPr>
        <w:pStyle w:val="TOC2"/>
        <w:tabs>
          <w:tab w:val="right" w:leader="dot" w:pos="8306"/>
        </w:tabs>
      </w:pPr>
      <w:hyperlink w:anchor="_Toc11686" w:history="1">
        <w:r>
          <w:rPr>
            <w:rFonts w:ascii="宋体" w:eastAsia="宋体" w:hAnsi="宋体" w:cs="宋体" w:hint="eastAsia"/>
            <w:bCs w:val="0"/>
            <w:szCs w:val="28"/>
            <w:lang w:eastAsia="zh-CN"/>
          </w:rPr>
          <w:t>(一)、项目计划与时间节点</w:t>
        </w:r>
        <w:r>
          <w:tab/>
        </w:r>
        <w:r>
          <w:fldChar w:fldCharType="begin"/>
        </w:r>
        <w:r>
          <w:instrText xml:space="preserve"> PAGEREF _Toc11686 \h </w:instrText>
        </w:r>
        <w:r>
          <w:fldChar w:fldCharType="separate"/>
        </w:r>
        <w:r>
          <w:t>10</w:t>
        </w:r>
        <w:r>
          <w:fldChar w:fldCharType="end"/>
        </w:r>
      </w:hyperlink>
    </w:p>
    <w:p>
      <w:pPr>
        <w:pStyle w:val="TOC2"/>
        <w:tabs>
          <w:tab w:val="right" w:leader="dot" w:pos="8306"/>
        </w:tabs>
      </w:pPr>
      <w:hyperlink w:anchor="_Toc2129" w:history="1">
        <w:r>
          <w:rPr>
            <w:rFonts w:ascii="宋体" w:eastAsia="宋体" w:hAnsi="宋体" w:cs="宋体" w:hint="eastAsia"/>
            <w:bCs w:val="0"/>
            <w:szCs w:val="28"/>
            <w:lang w:eastAsia="zh-CN"/>
          </w:rPr>
          <w:t>(二)、项目进度安排</w:t>
        </w:r>
        <w:r>
          <w:tab/>
        </w:r>
        <w:r>
          <w:fldChar w:fldCharType="begin"/>
        </w:r>
        <w:r>
          <w:instrText xml:space="preserve"> PAGEREF _Toc2129 \h </w:instrText>
        </w:r>
        <w:r>
          <w:fldChar w:fldCharType="separate"/>
        </w:r>
        <w:r>
          <w:t>12</w:t>
        </w:r>
        <w:r>
          <w:fldChar w:fldCharType="end"/>
        </w:r>
      </w:hyperlink>
    </w:p>
    <w:p>
      <w:pPr>
        <w:pStyle w:val="TOC2"/>
        <w:tabs>
          <w:tab w:val="right" w:leader="dot" w:pos="8306"/>
        </w:tabs>
      </w:pPr>
      <w:hyperlink w:anchor="_Toc12359" w:history="1">
        <w:r>
          <w:rPr>
            <w:rFonts w:ascii="宋体" w:eastAsia="宋体" w:hAnsi="宋体" w:cs="宋体" w:hint="eastAsia"/>
            <w:bCs w:val="0"/>
            <w:szCs w:val="28"/>
            <w:lang w:eastAsia="zh-CN"/>
          </w:rPr>
          <w:t>(三)、风险管理与对策</w:t>
        </w:r>
        <w:r>
          <w:tab/>
        </w:r>
        <w:r>
          <w:fldChar w:fldCharType="begin"/>
        </w:r>
        <w:r>
          <w:instrText xml:space="preserve"> PAGEREF _Toc12359 \h </w:instrText>
        </w:r>
        <w:r>
          <w:fldChar w:fldCharType="separate"/>
        </w:r>
        <w:r>
          <w:t>14</w:t>
        </w:r>
        <w:r>
          <w:fldChar w:fldCharType="end"/>
        </w:r>
      </w:hyperlink>
    </w:p>
    <w:p>
      <w:pPr>
        <w:pStyle w:val="TOC1"/>
        <w:tabs>
          <w:tab w:val="right" w:leader="dot" w:pos="8306"/>
        </w:tabs>
      </w:pPr>
      <w:hyperlink w:anchor="_Toc690" w:history="1">
        <w:r>
          <w:rPr>
            <w:rFonts w:ascii="微软雅黑" w:eastAsia="微软雅黑" w:hAnsi="微软雅黑" w:cs="微软雅黑" w:hint="eastAsia"/>
            <w:color w:val="001CAC" w:themeColor="hyperlink" w:themeShade="BF"/>
            <w:szCs w:val="32"/>
            <w:lang w:eastAsia="zh-CN"/>
          </w:rPr>
          <w:t>五、氧化炉行业投资管理策略</w:t>
        </w:r>
        <w:r>
          <w:tab/>
        </w:r>
        <w:r>
          <w:fldChar w:fldCharType="begin"/>
        </w:r>
        <w:r>
          <w:instrText xml:space="preserve"> PAGEREF _Toc690 \h </w:instrText>
        </w:r>
        <w:r>
          <w:fldChar w:fldCharType="separate"/>
        </w:r>
        <w:r>
          <w:t>15</w:t>
        </w:r>
        <w:r>
          <w:fldChar w:fldCharType="end"/>
        </w:r>
      </w:hyperlink>
    </w:p>
    <w:p>
      <w:pPr>
        <w:pStyle w:val="TOC2"/>
        <w:tabs>
          <w:tab w:val="right" w:leader="dot" w:pos="8306"/>
        </w:tabs>
      </w:pPr>
      <w:hyperlink w:anchor="_Toc5630" w:history="1">
        <w:r>
          <w:rPr>
            <w:rFonts w:ascii="宋体" w:eastAsia="宋体" w:hAnsi="宋体" w:cs="宋体" w:hint="eastAsia"/>
            <w:bCs w:val="0"/>
            <w:szCs w:val="28"/>
            <w:lang w:eastAsia="zh-CN"/>
          </w:rPr>
          <w:t>(一)、氧化炉行业投资估算主要内容</w:t>
        </w:r>
        <w:r>
          <w:tab/>
        </w:r>
        <w:r>
          <w:fldChar w:fldCharType="begin"/>
        </w:r>
        <w:r>
          <w:instrText xml:space="preserve"> PAGEREF _Toc5630 \h </w:instrText>
        </w:r>
        <w:r>
          <w:fldChar w:fldCharType="separate"/>
        </w:r>
        <w:r>
          <w:t>15</w:t>
        </w:r>
        <w:r>
          <w:fldChar w:fldCharType="end"/>
        </w:r>
      </w:hyperlink>
    </w:p>
    <w:p>
      <w:pPr>
        <w:pStyle w:val="TOC2"/>
        <w:tabs>
          <w:tab w:val="right" w:leader="dot" w:pos="8306"/>
        </w:tabs>
      </w:pPr>
      <w:hyperlink w:anchor="_Toc16418" w:history="1">
        <w:r>
          <w:rPr>
            <w:rFonts w:ascii="宋体" w:eastAsia="宋体" w:hAnsi="宋体" w:cs="宋体" w:hint="eastAsia"/>
            <w:bCs w:val="0"/>
            <w:szCs w:val="28"/>
            <w:lang w:eastAsia="zh-CN"/>
          </w:rPr>
          <w:t>(二)、氧化炉行业设备购置投资费用管理</w:t>
        </w:r>
        <w:r>
          <w:tab/>
        </w:r>
        <w:r>
          <w:fldChar w:fldCharType="begin"/>
        </w:r>
        <w:r>
          <w:instrText xml:space="preserve"> PAGEREF _Toc16418 \h </w:instrText>
        </w:r>
        <w:r>
          <w:fldChar w:fldCharType="separate"/>
        </w:r>
        <w:r>
          <w:t>18</w:t>
        </w:r>
        <w:r>
          <w:fldChar w:fldCharType="end"/>
        </w:r>
      </w:hyperlink>
    </w:p>
    <w:p>
      <w:pPr>
        <w:pStyle w:val="TOC2"/>
        <w:tabs>
          <w:tab w:val="right" w:leader="dot" w:pos="8306"/>
        </w:tabs>
      </w:pPr>
      <w:hyperlink w:anchor="_Toc19084" w:history="1">
        <w:r>
          <w:rPr>
            <w:rFonts w:ascii="宋体" w:eastAsia="宋体" w:hAnsi="宋体" w:cs="宋体" w:hint="eastAsia"/>
            <w:bCs w:val="0"/>
            <w:szCs w:val="28"/>
            <w:lang w:eastAsia="zh-CN"/>
          </w:rPr>
          <w:t>(三)、氧化炉行业装修施工投资费用管理</w:t>
        </w:r>
        <w:r>
          <w:tab/>
        </w:r>
        <w:r>
          <w:fldChar w:fldCharType="begin"/>
        </w:r>
        <w:r>
          <w:instrText xml:space="preserve"> PAGEREF _Toc19084 \h </w:instrText>
        </w:r>
        <w:r>
          <w:fldChar w:fldCharType="separate"/>
        </w:r>
        <w:r>
          <w:t>21</w:t>
        </w:r>
        <w:r>
          <w:fldChar w:fldCharType="end"/>
        </w:r>
      </w:hyperlink>
    </w:p>
    <w:p>
      <w:pPr>
        <w:pStyle w:val="TOC2"/>
        <w:tabs>
          <w:tab w:val="right" w:leader="dot" w:pos="8306"/>
        </w:tabs>
      </w:pPr>
      <w:hyperlink w:anchor="_Toc12795" w:history="1">
        <w:r>
          <w:rPr>
            <w:rFonts w:ascii="宋体" w:eastAsia="宋体" w:hAnsi="宋体" w:cs="宋体" w:hint="eastAsia"/>
            <w:bCs w:val="0"/>
            <w:szCs w:val="28"/>
            <w:lang w:eastAsia="zh-CN"/>
          </w:rPr>
          <w:t>(四)、氧化炉行业流动资金管理</w:t>
        </w:r>
        <w:r>
          <w:tab/>
        </w:r>
        <w:r>
          <w:fldChar w:fldCharType="begin"/>
        </w:r>
        <w:r>
          <w:instrText xml:space="preserve"> PAGEREF _Toc12795 \h </w:instrText>
        </w:r>
        <w:r>
          <w:fldChar w:fldCharType="separate"/>
        </w:r>
        <w:r>
          <w:t>23</w:t>
        </w:r>
        <w:r>
          <w:fldChar w:fldCharType="end"/>
        </w:r>
      </w:hyperlink>
    </w:p>
    <w:p>
      <w:pPr>
        <w:pStyle w:val="TOC1"/>
        <w:tabs>
          <w:tab w:val="right" w:leader="dot" w:pos="8306"/>
        </w:tabs>
      </w:pPr>
      <w:hyperlink w:anchor="_Toc17432" w:history="1">
        <w:r>
          <w:rPr>
            <w:rFonts w:ascii="微软雅黑" w:eastAsia="微软雅黑" w:hAnsi="微软雅黑" w:cs="微软雅黑" w:hint="eastAsia"/>
            <w:color w:val="001CAC" w:themeColor="hyperlink" w:themeShade="BF"/>
            <w:szCs w:val="32"/>
            <w:lang w:eastAsia="zh-CN"/>
          </w:rPr>
          <w:t>六、项目管理与团队协作</w:t>
        </w:r>
        <w:r>
          <w:tab/>
        </w:r>
        <w:r>
          <w:fldChar w:fldCharType="begin"/>
        </w:r>
        <w:r>
          <w:instrText xml:space="preserve"> PAGEREF _Toc17432 \h </w:instrText>
        </w:r>
        <w:r>
          <w:fldChar w:fldCharType="separate"/>
        </w:r>
        <w:r>
          <w:t>25</w:t>
        </w:r>
        <w:r>
          <w:fldChar w:fldCharType="end"/>
        </w:r>
      </w:hyperlink>
    </w:p>
    <w:p>
      <w:pPr>
        <w:pStyle w:val="TOC2"/>
        <w:tabs>
          <w:tab w:val="right" w:leader="dot" w:pos="8306"/>
        </w:tabs>
      </w:pPr>
      <w:hyperlink w:anchor="_Toc24369" w:history="1">
        <w:r>
          <w:rPr>
            <w:rFonts w:ascii="宋体" w:eastAsia="宋体" w:hAnsi="宋体" w:cs="宋体" w:hint="eastAsia"/>
            <w:bCs w:val="0"/>
            <w:szCs w:val="28"/>
            <w:lang w:eastAsia="zh-CN"/>
          </w:rPr>
          <w:t>(一)、项目管理方法论</w:t>
        </w:r>
        <w:r>
          <w:tab/>
        </w:r>
        <w:r>
          <w:fldChar w:fldCharType="begin"/>
        </w:r>
        <w:r>
          <w:instrText xml:space="preserve"> PAGEREF _Toc24369 \h </w:instrText>
        </w:r>
        <w:r>
          <w:fldChar w:fldCharType="separate"/>
        </w:r>
        <w:r>
          <w:t>25</w:t>
        </w:r>
        <w:r>
          <w:fldChar w:fldCharType="end"/>
        </w:r>
      </w:hyperlink>
    </w:p>
    <w:p>
      <w:pPr>
        <w:pStyle w:val="TOC2"/>
        <w:tabs>
          <w:tab w:val="right" w:leader="dot" w:pos="8306"/>
        </w:tabs>
      </w:pPr>
      <w:hyperlink w:anchor="_Toc22920" w:history="1">
        <w:r>
          <w:rPr>
            <w:rFonts w:ascii="宋体" w:eastAsia="宋体" w:hAnsi="宋体" w:cs="宋体" w:hint="eastAsia"/>
            <w:bCs w:val="0"/>
            <w:szCs w:val="28"/>
            <w:lang w:eastAsia="zh-CN"/>
          </w:rPr>
          <w:t>(二)、团队组建与角色分工</w:t>
        </w:r>
        <w:r>
          <w:tab/>
        </w:r>
        <w:r>
          <w:fldChar w:fldCharType="begin"/>
        </w:r>
        <w:r>
          <w:instrText xml:space="preserve"> PAGEREF _Toc22920 \h </w:instrText>
        </w:r>
        <w:r>
          <w:fldChar w:fldCharType="separate"/>
        </w:r>
        <w:r>
          <w:t>26</w:t>
        </w:r>
        <w:r>
          <w:fldChar w:fldCharType="end"/>
        </w:r>
      </w:hyperlink>
    </w:p>
    <w:p>
      <w:pPr>
        <w:pStyle w:val="TOC2"/>
        <w:tabs>
          <w:tab w:val="right" w:leader="dot" w:pos="8306"/>
        </w:tabs>
      </w:pPr>
      <w:hyperlink w:anchor="_Toc1996" w:history="1">
        <w:r>
          <w:rPr>
            <w:rFonts w:ascii="宋体" w:eastAsia="宋体" w:hAnsi="宋体" w:cs="宋体" w:hint="eastAsia"/>
            <w:bCs w:val="0"/>
            <w:szCs w:val="28"/>
            <w:lang w:eastAsia="zh-CN"/>
          </w:rPr>
          <w:t>(三)、团队沟通与协作机制</w:t>
        </w:r>
        <w:r>
          <w:tab/>
        </w:r>
        <w:r>
          <w:fldChar w:fldCharType="begin"/>
        </w:r>
        <w:r>
          <w:instrText xml:space="preserve"> PAGEREF _Toc1996 \h </w:instrText>
        </w:r>
        <w:r>
          <w:fldChar w:fldCharType="separate"/>
        </w:r>
        <w:r>
          <w:t>27</w:t>
        </w:r>
        <w:r>
          <w:fldChar w:fldCharType="end"/>
        </w:r>
      </w:hyperlink>
    </w:p>
    <w:p>
      <w:pPr>
        <w:pStyle w:val="TOC2"/>
        <w:tabs>
          <w:tab w:val="right" w:leader="dot" w:pos="8306"/>
        </w:tabs>
      </w:pPr>
      <w:hyperlink w:anchor="_Toc25750" w:history="1">
        <w:r>
          <w:rPr>
            <w:rFonts w:ascii="宋体" w:eastAsia="宋体" w:hAnsi="宋体" w:cs="宋体" w:hint="eastAsia"/>
            <w:bCs w:val="0"/>
            <w:szCs w:val="28"/>
            <w:lang w:eastAsia="zh-CN"/>
          </w:rPr>
          <w:t>(四)、项目风险管理与应对</w:t>
        </w:r>
        <w:r>
          <w:tab/>
        </w:r>
        <w:r>
          <w:fldChar w:fldCharType="begin"/>
        </w:r>
        <w:r>
          <w:instrText xml:space="preserve"> PAGEREF _Toc25750 \h </w:instrText>
        </w:r>
        <w:r>
          <w:fldChar w:fldCharType="separate"/>
        </w:r>
        <w:r>
          <w:t>28</w:t>
        </w:r>
        <w:r>
          <w:fldChar w:fldCharType="end"/>
        </w:r>
      </w:hyperlink>
    </w:p>
    <w:p>
      <w:pPr>
        <w:pStyle w:val="TOC1"/>
        <w:tabs>
          <w:tab w:val="right" w:leader="dot" w:pos="8306"/>
        </w:tabs>
      </w:pPr>
      <w:hyperlink w:anchor="_Toc6442" w:history="1">
        <w:r>
          <w:rPr>
            <w:rFonts w:ascii="微软雅黑" w:eastAsia="微软雅黑" w:hAnsi="微软雅黑" w:cs="微软雅黑" w:hint="eastAsia"/>
            <w:color w:val="001CAC" w:themeColor="hyperlink" w:themeShade="BF"/>
            <w:szCs w:val="32"/>
            <w:lang w:eastAsia="zh-CN"/>
          </w:rPr>
          <w:t>七、氧化炉行业制度建设与执行</w:t>
        </w:r>
        <w:r>
          <w:tab/>
        </w:r>
        <w:r>
          <w:fldChar w:fldCharType="begin"/>
        </w:r>
        <w:r>
          <w:instrText xml:space="preserve"> PAGEREF _Toc6442 \h </w:instrText>
        </w:r>
        <w:r>
          <w:fldChar w:fldCharType="separate"/>
        </w:r>
        <w:r>
          <w:t>29</w:t>
        </w:r>
        <w:r>
          <w:fldChar w:fldCharType="end"/>
        </w:r>
      </w:hyperlink>
    </w:p>
    <w:p>
      <w:pPr>
        <w:pStyle w:val="TOC2"/>
        <w:tabs>
          <w:tab w:val="right" w:leader="dot" w:pos="8306"/>
        </w:tabs>
      </w:pPr>
      <w:hyperlink w:anchor="_Toc21894" w:history="1">
        <w:r>
          <w:rPr>
            <w:rFonts w:ascii="宋体" w:eastAsia="宋体" w:hAnsi="宋体" w:cs="宋体" w:hint="eastAsia"/>
            <w:bCs w:val="0"/>
            <w:szCs w:val="28"/>
            <w:lang w:eastAsia="zh-CN"/>
          </w:rPr>
          <w:t>(一)、公司制度体系规划</w:t>
        </w:r>
        <w:r>
          <w:tab/>
        </w:r>
        <w:r>
          <w:fldChar w:fldCharType="begin"/>
        </w:r>
        <w:r>
          <w:instrText xml:space="preserve"> PAGEREF _Toc21894 \h </w:instrText>
        </w:r>
        <w:r>
          <w:fldChar w:fldCharType="separate"/>
        </w:r>
        <w:r>
          <w:t>29</w:t>
        </w:r>
        <w:r>
          <w:fldChar w:fldCharType="end"/>
        </w:r>
      </w:hyperlink>
    </w:p>
    <w:p>
      <w:pPr>
        <w:pStyle w:val="TOC2"/>
        <w:tabs>
          <w:tab w:val="right" w:leader="dot" w:pos="8306"/>
        </w:tabs>
      </w:pPr>
      <w:hyperlink w:anchor="_Toc8533" w:history="1">
        <w:r>
          <w:rPr>
            <w:rFonts w:ascii="宋体" w:eastAsia="宋体" w:hAnsi="宋体" w:cs="宋体" w:hint="eastAsia"/>
            <w:bCs w:val="0"/>
            <w:szCs w:val="28"/>
            <w:lang w:eastAsia="zh-CN"/>
          </w:rPr>
          <w:t>(二)、员工手册编制与更新</w:t>
        </w:r>
        <w:r>
          <w:tab/>
        </w:r>
        <w:r>
          <w:fldChar w:fldCharType="begin"/>
        </w:r>
        <w:r>
          <w:instrText xml:space="preserve"> PAGEREF _Toc8533 \h </w:instrText>
        </w:r>
        <w:r>
          <w:fldChar w:fldCharType="separate"/>
        </w:r>
        <w:r>
          <w:t>31</w:t>
        </w:r>
        <w:r>
          <w:fldChar w:fldCharType="end"/>
        </w:r>
      </w:hyperlink>
    </w:p>
    <w:p>
      <w:pPr>
        <w:pStyle w:val="TOC2"/>
        <w:tabs>
          <w:tab w:val="right" w:leader="dot" w:pos="8306"/>
        </w:tabs>
      </w:pPr>
      <w:hyperlink w:anchor="_Toc19891" w:history="1">
        <w:r>
          <w:rPr>
            <w:rFonts w:ascii="宋体" w:eastAsia="宋体" w:hAnsi="宋体" w:cs="宋体" w:hint="eastAsia"/>
            <w:bCs w:val="0"/>
            <w:szCs w:val="28"/>
            <w:lang w:eastAsia="zh-CN"/>
          </w:rPr>
          <w:t>(三)、制度宣导与培训</w:t>
        </w:r>
        <w:r>
          <w:tab/>
        </w:r>
        <w:r>
          <w:fldChar w:fldCharType="begin"/>
        </w:r>
        <w:r>
          <w:instrText xml:space="preserve"> PAGEREF _Toc19891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81" w:history="1">
        <w:r>
          <w:rPr>
            <w:rFonts w:ascii="宋体" w:eastAsia="宋体" w:hAnsi="宋体" w:cs="宋体" w:hint="eastAsia"/>
            <w:bCs w:val="0"/>
            <w:szCs w:val="28"/>
            <w:lang w:eastAsia="zh-CN"/>
          </w:rPr>
          <w:t>(四)、主要防范措施</w:t>
        </w:r>
        <w:r>
          <w:tab/>
        </w:r>
        <w:r>
          <w:fldChar w:fldCharType="begin"/>
        </w:r>
        <w:r>
          <w:instrText xml:space="preserve"> PAGEREF _Toc8681 \h </w:instrText>
        </w:r>
        <w:r>
          <w:fldChar w:fldCharType="separate"/>
        </w:r>
        <w:r>
          <w:t>33</w:t>
        </w:r>
        <w:r>
          <w:fldChar w:fldCharType="end"/>
        </w:r>
      </w:hyperlink>
    </w:p>
    <w:p>
      <w:pPr>
        <w:pStyle w:val="TOC2"/>
        <w:tabs>
          <w:tab w:val="right" w:leader="dot" w:pos="8306"/>
        </w:tabs>
      </w:pPr>
      <w:hyperlink w:anchor="_Toc16197" w:history="1">
        <w:r>
          <w:rPr>
            <w:rFonts w:ascii="宋体" w:eastAsia="宋体" w:hAnsi="宋体" w:cs="宋体" w:hint="eastAsia"/>
            <w:bCs w:val="0"/>
            <w:szCs w:val="28"/>
            <w:lang w:eastAsia="zh-CN"/>
          </w:rPr>
          <w:t>(五)、制度优化与更新</w:t>
        </w:r>
        <w:r>
          <w:tab/>
        </w:r>
        <w:r>
          <w:fldChar w:fldCharType="begin"/>
        </w:r>
        <w:r>
          <w:instrText xml:space="preserve"> PAGEREF _Toc16197 \h </w:instrText>
        </w:r>
        <w:r>
          <w:fldChar w:fldCharType="separate"/>
        </w:r>
        <w:r>
          <w:t>34</w:t>
        </w:r>
        <w:r>
          <w:fldChar w:fldCharType="end"/>
        </w:r>
      </w:hyperlink>
    </w:p>
    <w:p>
      <w:pPr>
        <w:pStyle w:val="TOC1"/>
        <w:tabs>
          <w:tab w:val="right" w:leader="dot" w:pos="8306"/>
        </w:tabs>
      </w:pPr>
      <w:hyperlink w:anchor="_Toc26472" w:history="1">
        <w:r>
          <w:rPr>
            <w:rFonts w:ascii="微软雅黑" w:eastAsia="微软雅黑" w:hAnsi="微软雅黑" w:cs="微软雅黑" w:hint="eastAsia"/>
            <w:color w:val="001CAC" w:themeColor="hyperlink" w:themeShade="BF"/>
            <w:szCs w:val="32"/>
            <w:lang w:eastAsia="zh-CN"/>
          </w:rPr>
          <w:t>八、质量与技术管理</w:t>
        </w:r>
        <w:r>
          <w:tab/>
        </w:r>
        <w:r>
          <w:fldChar w:fldCharType="begin"/>
        </w:r>
        <w:r>
          <w:instrText xml:space="preserve"> PAGEREF _Toc26472 \h </w:instrText>
        </w:r>
        <w:r>
          <w:fldChar w:fldCharType="separate"/>
        </w:r>
        <w:r>
          <w:t>35</w:t>
        </w:r>
        <w:r>
          <w:fldChar w:fldCharType="end"/>
        </w:r>
      </w:hyperlink>
    </w:p>
    <w:p>
      <w:pPr>
        <w:pStyle w:val="TOC2"/>
        <w:tabs>
          <w:tab w:val="right" w:leader="dot" w:pos="8306"/>
        </w:tabs>
      </w:pPr>
      <w:hyperlink w:anchor="_Toc17356" w:history="1">
        <w:r>
          <w:rPr>
            <w:rFonts w:ascii="宋体" w:eastAsia="宋体" w:hAnsi="宋体" w:cs="宋体" w:hint="eastAsia"/>
            <w:bCs w:val="0"/>
            <w:szCs w:val="28"/>
            <w:lang w:eastAsia="zh-CN"/>
          </w:rPr>
          <w:t>(一)、质量管理体系建设</w:t>
        </w:r>
        <w:r>
          <w:tab/>
        </w:r>
        <w:r>
          <w:fldChar w:fldCharType="begin"/>
        </w:r>
        <w:r>
          <w:instrText xml:space="preserve"> PAGEREF _Toc17356 \h </w:instrText>
        </w:r>
        <w:r>
          <w:fldChar w:fldCharType="separate"/>
        </w:r>
        <w:r>
          <w:t>35</w:t>
        </w:r>
        <w:r>
          <w:fldChar w:fldCharType="end"/>
        </w:r>
      </w:hyperlink>
    </w:p>
    <w:p>
      <w:pPr>
        <w:pStyle w:val="TOC2"/>
        <w:tabs>
          <w:tab w:val="right" w:leader="dot" w:pos="8306"/>
        </w:tabs>
      </w:pPr>
      <w:hyperlink w:anchor="_Toc28650" w:history="1">
        <w:r>
          <w:rPr>
            <w:rFonts w:ascii="宋体" w:eastAsia="宋体" w:hAnsi="宋体" w:cs="宋体" w:hint="eastAsia"/>
            <w:bCs w:val="0"/>
            <w:szCs w:val="28"/>
            <w:lang w:eastAsia="zh-CN"/>
          </w:rPr>
          <w:t>(二)、技术标准与创新</w:t>
        </w:r>
        <w:r>
          <w:tab/>
        </w:r>
        <w:r>
          <w:fldChar w:fldCharType="begin"/>
        </w:r>
        <w:r>
          <w:instrText xml:space="preserve"> PAGEREF _Toc28650 \h </w:instrText>
        </w:r>
        <w:r>
          <w:fldChar w:fldCharType="separate"/>
        </w:r>
        <w:r>
          <w:t>36</w:t>
        </w:r>
        <w:r>
          <w:fldChar w:fldCharType="end"/>
        </w:r>
      </w:hyperlink>
    </w:p>
    <w:p>
      <w:pPr>
        <w:pStyle w:val="TOC1"/>
        <w:tabs>
          <w:tab w:val="right" w:leader="dot" w:pos="8306"/>
        </w:tabs>
      </w:pPr>
      <w:hyperlink w:anchor="_Toc10398" w:history="1">
        <w:r>
          <w:rPr>
            <w:rFonts w:ascii="微软雅黑" w:eastAsia="微软雅黑" w:hAnsi="微软雅黑" w:cs="微软雅黑" w:hint="eastAsia"/>
            <w:color w:val="001CAC" w:themeColor="hyperlink" w:themeShade="BF"/>
            <w:szCs w:val="32"/>
            <w:lang w:eastAsia="zh-CN"/>
          </w:rPr>
          <w:t>九、可持续发展与绿色经营</w:t>
        </w:r>
        <w:r>
          <w:tab/>
        </w:r>
        <w:r>
          <w:fldChar w:fldCharType="begin"/>
        </w:r>
        <w:r>
          <w:instrText xml:space="preserve"> PAGEREF _Toc10398 \h </w:instrText>
        </w:r>
        <w:r>
          <w:fldChar w:fldCharType="separate"/>
        </w:r>
        <w:r>
          <w:t>36</w:t>
        </w:r>
        <w:r>
          <w:fldChar w:fldCharType="end"/>
        </w:r>
      </w:hyperlink>
    </w:p>
    <w:p>
      <w:pPr>
        <w:pStyle w:val="TOC2"/>
        <w:tabs>
          <w:tab w:val="right" w:leader="dot" w:pos="8306"/>
        </w:tabs>
      </w:pPr>
      <w:hyperlink w:anchor="_Toc1162" w:history="1">
        <w:r>
          <w:rPr>
            <w:rFonts w:ascii="宋体" w:eastAsia="宋体" w:hAnsi="宋体" w:cs="宋体" w:hint="eastAsia"/>
            <w:bCs w:val="0"/>
            <w:szCs w:val="28"/>
            <w:lang w:eastAsia="zh-CN"/>
          </w:rPr>
          <w:t>(一)、可持续发展战略与目标</w:t>
        </w:r>
        <w:r>
          <w:tab/>
        </w:r>
        <w:r>
          <w:fldChar w:fldCharType="begin"/>
        </w:r>
        <w:r>
          <w:instrText xml:space="preserve"> PAGEREF _Toc1162 \h </w:instrText>
        </w:r>
        <w:r>
          <w:fldChar w:fldCharType="separate"/>
        </w:r>
        <w:r>
          <w:t>36</w:t>
        </w:r>
        <w:r>
          <w:fldChar w:fldCharType="end"/>
        </w:r>
      </w:hyperlink>
    </w:p>
    <w:p>
      <w:pPr>
        <w:pStyle w:val="TOC2"/>
        <w:tabs>
          <w:tab w:val="right" w:leader="dot" w:pos="8306"/>
        </w:tabs>
      </w:pPr>
      <w:hyperlink w:anchor="_Toc26400" w:history="1">
        <w:r>
          <w:rPr>
            <w:rFonts w:ascii="宋体" w:eastAsia="宋体" w:hAnsi="宋体" w:cs="宋体" w:hint="eastAsia"/>
            <w:bCs w:val="0"/>
            <w:szCs w:val="28"/>
            <w:lang w:eastAsia="zh-CN"/>
          </w:rPr>
          <w:t>(二)、环保政策与实践</w:t>
        </w:r>
        <w:r>
          <w:tab/>
        </w:r>
        <w:r>
          <w:fldChar w:fldCharType="begin"/>
        </w:r>
        <w:r>
          <w:instrText xml:space="preserve"> PAGEREF _Toc26400 \h </w:instrText>
        </w:r>
        <w:r>
          <w:fldChar w:fldCharType="separate"/>
        </w:r>
        <w:r>
          <w:t>38</w:t>
        </w:r>
        <w:r>
          <w:fldChar w:fldCharType="end"/>
        </w:r>
      </w:hyperlink>
    </w:p>
    <w:p>
      <w:pPr>
        <w:pStyle w:val="TOC2"/>
        <w:tabs>
          <w:tab w:val="right" w:leader="dot" w:pos="8306"/>
        </w:tabs>
      </w:pPr>
      <w:hyperlink w:anchor="_Toc769" w:history="1">
        <w:r>
          <w:rPr>
            <w:rFonts w:ascii="宋体" w:eastAsia="宋体" w:hAnsi="宋体" w:cs="宋体" w:hint="eastAsia"/>
            <w:bCs w:val="0"/>
            <w:szCs w:val="28"/>
            <w:lang w:eastAsia="zh-CN"/>
          </w:rPr>
          <w:t>(三)、资源利用与循环经济</w:t>
        </w:r>
        <w:r>
          <w:tab/>
        </w:r>
        <w:r>
          <w:fldChar w:fldCharType="begin"/>
        </w:r>
        <w:r>
          <w:instrText xml:space="preserve"> PAGEREF _Toc769 \h </w:instrText>
        </w:r>
        <w:r>
          <w:fldChar w:fldCharType="separate"/>
        </w:r>
        <w:r>
          <w:t>40</w:t>
        </w:r>
        <w:r>
          <w:fldChar w:fldCharType="end"/>
        </w:r>
      </w:hyperlink>
    </w:p>
    <w:p>
      <w:pPr>
        <w:pStyle w:val="TOC2"/>
        <w:tabs>
          <w:tab w:val="right" w:leader="dot" w:pos="8306"/>
        </w:tabs>
      </w:pPr>
      <w:hyperlink w:anchor="_Toc12390" w:history="1">
        <w:r>
          <w:rPr>
            <w:rFonts w:ascii="宋体" w:eastAsia="宋体" w:hAnsi="宋体" w:cs="宋体" w:hint="eastAsia"/>
            <w:bCs w:val="0"/>
            <w:szCs w:val="28"/>
            <w:lang w:eastAsia="zh-CN"/>
          </w:rPr>
          <w:t>(四)、碳中和与生态足迹</w:t>
        </w:r>
        <w:r>
          <w:tab/>
        </w:r>
        <w:r>
          <w:fldChar w:fldCharType="begin"/>
        </w:r>
        <w:r>
          <w:instrText xml:space="preserve"> PAGEREF _Toc12390 \h </w:instrText>
        </w:r>
        <w:r>
          <w:fldChar w:fldCharType="separate"/>
        </w:r>
        <w:r>
          <w:t>42</w:t>
        </w:r>
        <w:r>
          <w:fldChar w:fldCharType="end"/>
        </w:r>
      </w:hyperlink>
    </w:p>
    <w:p>
      <w:pPr>
        <w:pStyle w:val="TOC1"/>
        <w:tabs>
          <w:tab w:val="right" w:leader="dot" w:pos="8306"/>
        </w:tabs>
      </w:pPr>
      <w:hyperlink w:anchor="_Toc330" w:history="1">
        <w:r>
          <w:rPr>
            <w:rFonts w:ascii="微软雅黑" w:eastAsia="微软雅黑" w:hAnsi="微软雅黑" w:cs="微软雅黑" w:hint="eastAsia"/>
            <w:color w:val="001CAC" w:themeColor="hyperlink" w:themeShade="BF"/>
            <w:szCs w:val="32"/>
            <w:lang w:eastAsia="zh-CN"/>
          </w:rPr>
          <w:t>十、制度运行与优化</w:t>
        </w:r>
        <w:r>
          <w:tab/>
        </w:r>
        <w:r>
          <w:fldChar w:fldCharType="begin"/>
        </w:r>
        <w:r>
          <w:instrText xml:space="preserve"> PAGEREF _Toc330 \h </w:instrText>
        </w:r>
        <w:r>
          <w:fldChar w:fldCharType="separate"/>
        </w:r>
        <w:r>
          <w:t>44</w:t>
        </w:r>
        <w:r>
          <w:fldChar w:fldCharType="end"/>
        </w:r>
      </w:hyperlink>
    </w:p>
    <w:p>
      <w:pPr>
        <w:pStyle w:val="TOC2"/>
        <w:tabs>
          <w:tab w:val="right" w:leader="dot" w:pos="8306"/>
        </w:tabs>
      </w:pPr>
      <w:hyperlink w:anchor="_Toc11988" w:history="1">
        <w:r>
          <w:rPr>
            <w:rFonts w:ascii="宋体" w:eastAsia="宋体" w:hAnsi="宋体" w:cs="宋体" w:hint="eastAsia"/>
            <w:bCs w:val="0"/>
            <w:szCs w:val="28"/>
            <w:lang w:eastAsia="zh-CN"/>
          </w:rPr>
          <w:t>(一)、制度执行与监督</w:t>
        </w:r>
        <w:r>
          <w:tab/>
        </w:r>
        <w:r>
          <w:fldChar w:fldCharType="begin"/>
        </w:r>
        <w:r>
          <w:instrText xml:space="preserve"> PAGEREF _Toc11988 \h </w:instrText>
        </w:r>
        <w:r>
          <w:fldChar w:fldCharType="separate"/>
        </w:r>
        <w:r>
          <w:t>44</w:t>
        </w:r>
        <w:r>
          <w:fldChar w:fldCharType="end"/>
        </w:r>
      </w:hyperlink>
    </w:p>
    <w:p>
      <w:pPr>
        <w:pStyle w:val="TOC2"/>
        <w:tabs>
          <w:tab w:val="right" w:leader="dot" w:pos="8306"/>
        </w:tabs>
      </w:pPr>
      <w:hyperlink w:anchor="_Toc843" w:history="1">
        <w:r>
          <w:rPr>
            <w:rFonts w:ascii="宋体" w:eastAsia="宋体" w:hAnsi="宋体" w:cs="宋体" w:hint="eastAsia"/>
            <w:bCs w:val="0"/>
            <w:szCs w:val="28"/>
            <w:lang w:eastAsia="zh-CN"/>
          </w:rPr>
          <w:t>(二)、制度优化与更新</w:t>
        </w:r>
        <w:r>
          <w:tab/>
        </w:r>
        <w:r>
          <w:fldChar w:fldCharType="begin"/>
        </w:r>
        <w:r>
          <w:instrText xml:space="preserve"> PAGEREF _Toc843 \h </w:instrText>
        </w:r>
        <w:r>
          <w:fldChar w:fldCharType="separate"/>
        </w:r>
        <w:r>
          <w:t>45</w:t>
        </w:r>
        <w:r>
          <w:fldChar w:fldCharType="end"/>
        </w:r>
      </w:hyperlink>
    </w:p>
    <w:p>
      <w:pPr>
        <w:pStyle w:val="TOC1"/>
        <w:tabs>
          <w:tab w:val="right" w:leader="dot" w:pos="8306"/>
        </w:tabs>
      </w:pPr>
      <w:hyperlink w:anchor="_Toc30102" w:history="1">
        <w:r>
          <w:rPr>
            <w:rFonts w:ascii="微软雅黑" w:eastAsia="微软雅黑" w:hAnsi="微软雅黑" w:cs="微软雅黑" w:hint="eastAsia"/>
            <w:color w:val="001CAC" w:themeColor="hyperlink" w:themeShade="BF"/>
            <w:szCs w:val="32"/>
            <w:lang w:eastAsia="zh-CN"/>
          </w:rPr>
          <w:t>十一、资金筹措与投资分析</w:t>
        </w:r>
        <w:r>
          <w:tab/>
        </w:r>
        <w:r>
          <w:fldChar w:fldCharType="begin"/>
        </w:r>
        <w:r>
          <w:instrText xml:space="preserve"> PAGEREF _Toc30102 \h </w:instrText>
        </w:r>
        <w:r>
          <w:fldChar w:fldCharType="separate"/>
        </w:r>
        <w:r>
          <w:t>45</w:t>
        </w:r>
        <w:r>
          <w:fldChar w:fldCharType="end"/>
        </w:r>
      </w:hyperlink>
    </w:p>
    <w:p>
      <w:pPr>
        <w:pStyle w:val="TOC2"/>
        <w:tabs>
          <w:tab w:val="right" w:leader="dot" w:pos="8306"/>
        </w:tabs>
      </w:pPr>
      <w:hyperlink w:anchor="_Toc31441" w:history="1">
        <w:r>
          <w:rPr>
            <w:rFonts w:ascii="宋体" w:eastAsia="宋体" w:hAnsi="宋体" w:cs="宋体" w:hint="eastAsia"/>
            <w:bCs w:val="0"/>
            <w:szCs w:val="28"/>
            <w:lang w:eastAsia="zh-CN"/>
          </w:rPr>
          <w:t>(一)、资金需求与筹措计划</w:t>
        </w:r>
        <w:r>
          <w:tab/>
        </w:r>
        <w:r>
          <w:fldChar w:fldCharType="begin"/>
        </w:r>
        <w:r>
          <w:instrText xml:space="preserve"> PAGEREF _Toc31441 \h </w:instrText>
        </w:r>
        <w:r>
          <w:fldChar w:fldCharType="separate"/>
        </w:r>
        <w:r>
          <w:t>45</w:t>
        </w:r>
        <w:r>
          <w:fldChar w:fldCharType="end"/>
        </w:r>
      </w:hyperlink>
    </w:p>
    <w:p>
      <w:pPr>
        <w:pStyle w:val="TOC2"/>
        <w:tabs>
          <w:tab w:val="right" w:leader="dot" w:pos="8306"/>
        </w:tabs>
      </w:pPr>
      <w:hyperlink w:anchor="_Toc5434" w:history="1">
        <w:r>
          <w:rPr>
            <w:rFonts w:ascii="宋体" w:eastAsia="宋体" w:hAnsi="宋体" w:cs="宋体" w:hint="eastAsia"/>
            <w:bCs w:val="0"/>
            <w:szCs w:val="28"/>
            <w:lang w:eastAsia="zh-CN"/>
          </w:rPr>
          <w:t>(二)、投资分析与回报预期</w:t>
        </w:r>
        <w:r>
          <w:tab/>
        </w:r>
        <w:r>
          <w:fldChar w:fldCharType="begin"/>
        </w:r>
        <w:r>
          <w:instrText xml:space="preserve"> PAGEREF _Toc5434 \h </w:instrText>
        </w:r>
        <w:r>
          <w:fldChar w:fldCharType="separate"/>
        </w:r>
        <w:r>
          <w:t>46</w:t>
        </w:r>
        <w:r>
          <w:fldChar w:fldCharType="end"/>
        </w:r>
      </w:hyperlink>
    </w:p>
    <w:p>
      <w:pPr>
        <w:pStyle w:val="TOC1"/>
        <w:tabs>
          <w:tab w:val="right" w:leader="dot" w:pos="8306"/>
        </w:tabs>
      </w:pPr>
      <w:hyperlink w:anchor="_Toc19556" w:history="1">
        <w:r>
          <w:rPr>
            <w:rFonts w:ascii="微软雅黑" w:eastAsia="微软雅黑" w:hAnsi="微软雅黑" w:cs="微软雅黑" w:hint="eastAsia"/>
            <w:color w:val="001CAC" w:themeColor="hyperlink" w:themeShade="BF"/>
            <w:szCs w:val="32"/>
            <w:lang w:eastAsia="zh-CN"/>
          </w:rPr>
          <w:t>十二、市场营销与推广策略</w:t>
        </w:r>
        <w:r>
          <w:tab/>
        </w:r>
        <w:r>
          <w:fldChar w:fldCharType="begin"/>
        </w:r>
        <w:r>
          <w:instrText xml:space="preserve"> PAGEREF _Toc19556 \h </w:instrText>
        </w:r>
        <w:r>
          <w:fldChar w:fldCharType="separate"/>
        </w:r>
        <w:r>
          <w:t>47</w:t>
        </w:r>
        <w:r>
          <w:fldChar w:fldCharType="end"/>
        </w:r>
      </w:hyperlink>
    </w:p>
    <w:p>
      <w:pPr>
        <w:pStyle w:val="TOC2"/>
        <w:tabs>
          <w:tab w:val="right" w:leader="dot" w:pos="8306"/>
        </w:tabs>
      </w:pPr>
      <w:hyperlink w:anchor="_Toc17833" w:history="1">
        <w:r>
          <w:rPr>
            <w:rFonts w:ascii="宋体" w:eastAsia="宋体" w:hAnsi="宋体" w:cs="宋体" w:hint="eastAsia"/>
            <w:bCs w:val="0"/>
            <w:szCs w:val="28"/>
            <w:lang w:eastAsia="zh-CN"/>
          </w:rPr>
          <w:t>(一)、目标市场分析</w:t>
        </w:r>
        <w:r>
          <w:tab/>
        </w:r>
        <w:r>
          <w:fldChar w:fldCharType="begin"/>
        </w:r>
        <w:r>
          <w:instrText xml:space="preserve"> PAGEREF _Toc17833 \h </w:instrText>
        </w:r>
        <w:r>
          <w:fldChar w:fldCharType="separate"/>
        </w:r>
        <w:r>
          <w:t>47</w:t>
        </w:r>
        <w:r>
          <w:fldChar w:fldCharType="end"/>
        </w:r>
      </w:hyperlink>
    </w:p>
    <w:p>
      <w:pPr>
        <w:pStyle w:val="TOC2"/>
        <w:tabs>
          <w:tab w:val="right" w:leader="dot" w:pos="8306"/>
        </w:tabs>
      </w:pPr>
      <w:hyperlink w:anchor="_Toc10171" w:history="1">
        <w:r>
          <w:rPr>
            <w:rFonts w:ascii="宋体" w:eastAsia="宋体" w:hAnsi="宋体" w:cs="宋体" w:hint="eastAsia"/>
            <w:bCs w:val="0"/>
            <w:szCs w:val="28"/>
            <w:lang w:eastAsia="zh-CN"/>
          </w:rPr>
          <w:t>(二)、市场定位与竞争分析</w:t>
        </w:r>
        <w:r>
          <w:tab/>
        </w:r>
        <w:r>
          <w:fldChar w:fldCharType="begin"/>
        </w:r>
        <w:r>
          <w:instrText xml:space="preserve"> PAGEREF _Toc10171 \h </w:instrText>
        </w:r>
        <w:r>
          <w:fldChar w:fldCharType="separate"/>
        </w:r>
        <w:r>
          <w:t>47</w:t>
        </w:r>
        <w:r>
          <w:fldChar w:fldCharType="end"/>
        </w:r>
      </w:hyperlink>
    </w:p>
    <w:p>
      <w:pPr>
        <w:pStyle w:val="TOC2"/>
        <w:tabs>
          <w:tab w:val="right" w:leader="dot" w:pos="8306"/>
        </w:tabs>
      </w:pPr>
      <w:hyperlink w:anchor="_Toc22866" w:history="1">
        <w:r>
          <w:rPr>
            <w:rFonts w:ascii="宋体" w:eastAsia="宋体" w:hAnsi="宋体" w:cs="宋体" w:hint="eastAsia"/>
            <w:bCs w:val="0"/>
            <w:szCs w:val="28"/>
            <w:lang w:eastAsia="zh-CN"/>
          </w:rPr>
          <w:t>(三)、推广与宣传策略</w:t>
        </w:r>
        <w:r>
          <w:tab/>
        </w:r>
        <w:r>
          <w:fldChar w:fldCharType="begin"/>
        </w:r>
        <w:r>
          <w:instrText xml:space="preserve"> PAGEREF _Toc22866 \h </w:instrText>
        </w:r>
        <w:r>
          <w:fldChar w:fldCharType="separate"/>
        </w:r>
        <w:r>
          <w:t>47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7120"/>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氧化炉行业研究报告致力于对氧化炉行业进行详尽研究和分析，旨在为氧化炉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26038"/>
      <w:r>
        <w:rPr>
          <w:rFonts w:ascii="微软雅黑" w:eastAsia="微软雅黑" w:hAnsi="微软雅黑" w:cs="微软雅黑" w:hint="eastAsia"/>
          <w:color w:val="2E54A1" w:themeColor="accent1" w:themeShade="BF"/>
          <w:sz w:val="32"/>
          <w:szCs w:val="32"/>
          <w:lang w:eastAsia="zh-CN"/>
        </w:rPr>
        <w:t>一、氧化炉行业项目管理与实施</w:t>
      </w:r>
      <w:bookmarkEnd w:id="2"/>
    </w:p>
    <w:p>
      <w:pPr>
        <w:pStyle w:val="Heading2"/>
        <w:spacing w:line="480" w:lineRule="auto"/>
        <w:rPr>
          <w:rFonts w:ascii="宋体" w:eastAsia="宋体" w:hAnsi="宋体" w:cs="宋体" w:hint="eastAsia"/>
          <w:bCs w:val="0"/>
          <w:sz w:val="28"/>
          <w:szCs w:val="28"/>
          <w:lang w:eastAsia="zh-CN"/>
        </w:rPr>
      </w:pPr>
      <w:bookmarkStart w:id="3" w:name="_Toc28293"/>
      <w:r>
        <w:rPr>
          <w:rFonts w:ascii="宋体" w:eastAsia="宋体" w:hAnsi="宋体" w:cs="宋体" w:hint="eastAsia"/>
          <w:b/>
          <w:bCs w:val="0"/>
          <w:sz w:val="28"/>
          <w:szCs w:val="28"/>
          <w:lang w:eastAsia="zh-CN"/>
        </w:rPr>
        <w:t>(一)、项目进度安排</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我们制定了详细的项目计划，明确了各个阶段和任务节点。这不仅包括整体项目的时间表，还包括每个阶段内部的详细计划。通过这种分解的方法,我们能够清晰了解项目的整体脉络,更好地掌控进度。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借助项目管理工具和技术，我们实施实时监控与调整，以便及时发现偏差和潜在问题。高效的团队沟通确保项目进度的透明度和整体协同作业。科学而灵活的项目进度安排提高了项目的执行效率，确保项目按时、按质完成。</w:t>
      </w:r>
    </w:p>
    <w:p>
      <w:pPr>
        <w:pStyle w:val="Heading2"/>
        <w:spacing w:line="480" w:lineRule="auto"/>
        <w:rPr>
          <w:rFonts w:ascii="宋体" w:eastAsia="宋体" w:hAnsi="宋体" w:cs="宋体" w:hint="eastAsia"/>
          <w:bCs w:val="0"/>
          <w:sz w:val="28"/>
          <w:szCs w:val="28"/>
          <w:lang w:eastAsia="zh-CN"/>
        </w:rPr>
      </w:pPr>
      <w:bookmarkStart w:id="4" w:name="_Toc23847"/>
      <w:r>
        <w:rPr>
          <w:rFonts w:ascii="宋体" w:eastAsia="宋体" w:hAnsi="宋体" w:cs="宋体" w:hint="eastAsia"/>
          <w:b/>
          <w:bCs w:val="0"/>
          <w:sz w:val="28"/>
          <w:szCs w:val="28"/>
          <w:lang w:eastAsia="zh-CN"/>
        </w:rPr>
        <w:t>(二)、项目实施保障措施</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首先，我们成立了专业的项目管理团队，团队成员具备丰富的项目经验和专业知识。明确的团队结构和角色分工，确保每个成员都能充分发挥其专业优势，为项目的成功实施提供有力支持。</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建立全面的沟通机制。定期召开项目例会，及时沟通项目进展、问题和解决方案，保障团队的信息共享和协同工作。灵活运用项目管理工具，确保项目数据的实时更新，有助于及时发现和解决潜在的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为了应对意外情况，我们还制定了灵活的风险应对计划。通过对项目各个阶段的风险进行全面分析，我们能够提前预判潜在问题，并制定相应的解决方案，以最小化不确定性对项目的影响。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我们的项目实施保障措施注重团队协同、信息共享和风险管理，以确保项目在既定的时间和质量标准下成功实施。这些措施不仅提高了项目执行的效率，同时也为项目的可持续发展翼定了坚实基础。</w:t>
      </w:r>
    </w:p>
    <w:p>
      <w:pPr>
        <w:pStyle w:val="Heading2"/>
        <w:spacing w:line="480" w:lineRule="auto"/>
        <w:rPr>
          <w:rFonts w:ascii="宋体" w:eastAsia="宋体" w:hAnsi="宋体" w:cs="宋体" w:hint="eastAsia"/>
          <w:bCs w:val="0"/>
          <w:sz w:val="28"/>
          <w:szCs w:val="28"/>
          <w:lang w:eastAsia="zh-CN"/>
        </w:rPr>
      </w:pPr>
      <w:bookmarkStart w:id="5" w:name="_Toc15814"/>
      <w:r>
        <w:rPr>
          <w:rFonts w:ascii="宋体" w:eastAsia="宋体" w:hAnsi="宋体" w:cs="宋体" w:hint="eastAsia"/>
          <w:b/>
          <w:bCs w:val="0"/>
          <w:sz w:val="28"/>
          <w:szCs w:val="28"/>
          <w:lang w:eastAsia="zh-CN"/>
        </w:rPr>
        <w:t>(三)、项目风险分析与对策</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进行了全面的项目风险分析。通过细致梳理和评估项目各个阶段可能面临的内外部风险，我们能够准确识别潜在问题，并评估其对项目目标可能造成的影响。这一分析不仅帮助我们识别风险因素，还为制定应对措施提供了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我们建立了灵活的风险管理计划。设立专门的风险管理团队，负责实时监测和评估项目风险的状况。我们运用风险指标和监控工具及时获取项目进展中可能出现的问题，以便更加灵活地调整项目计划。</w:t>
      </w:r>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sz w:val="24"/>
          <w:szCs w:val="24"/>
          <w:lang w:eastAsia="zh-CN"/>
        </w:rPr>
        <w:t>在对策方面，我们制定了多样化的计划。一方面，我们注重降低风险发生的概率，通过合理的资源分配、团队培训等手段提升团队的整体抗风险能力。另一方面，我们侧重提高应对风险的能力，明确各种风险事件发生时的具体处理方案，以最小化可能的损失。</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6" w:name="_Toc32583"/>
      <w:r>
        <w:rPr>
          <w:rFonts w:ascii="微软雅黑" w:eastAsia="微软雅黑" w:hAnsi="微软雅黑" w:cs="微软雅黑" w:hint="eastAsia"/>
          <w:color w:val="2E54A1" w:themeColor="accent1" w:themeShade="BF"/>
          <w:sz w:val="32"/>
          <w:szCs w:val="32"/>
          <w:lang w:eastAsia="zh-CN"/>
        </w:rPr>
        <w:t>二、安全与劳动保护</w:t>
      </w:r>
      <w:bookmarkEnd w:id="6"/>
    </w:p>
    <w:p>
      <w:pPr>
        <w:pStyle w:val="Heading2"/>
        <w:spacing w:line="480" w:lineRule="auto"/>
        <w:rPr>
          <w:rFonts w:ascii="宋体" w:eastAsia="宋体" w:hAnsi="宋体" w:cs="宋体" w:hint="eastAsia"/>
          <w:bCs w:val="0"/>
          <w:sz w:val="28"/>
          <w:szCs w:val="28"/>
          <w:lang w:eastAsia="zh-CN"/>
        </w:rPr>
      </w:pPr>
      <w:bookmarkStart w:id="7" w:name="_Toc5588"/>
      <w:r>
        <w:rPr>
          <w:rFonts w:ascii="宋体" w:eastAsia="宋体" w:hAnsi="宋体" w:cs="宋体" w:hint="eastAsia"/>
          <w:b/>
          <w:bCs w:val="0"/>
          <w:sz w:val="28"/>
          <w:szCs w:val="28"/>
          <w:lang w:eastAsia="zh-CN"/>
        </w:rPr>
        <w:t>(一)、设计依据与法规合规</w:t>
      </w:r>
      <w:bookmarkEnd w:id="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过深入研究和全面了解相关的法规和标准，我们确保项目的设计与规划符合国家和地区的法规要求。这不仅有助于项目的合法合规运行，也为劳动保护提供了坚实的法律基础。我们注重对设计方案的审核，确保其符合各项法规的要求，以预防潜在的安全风险和劳动保护隐患。</w:t>
      </w:r>
    </w:p>
    <w:p>
      <w:pPr>
        <w:pStyle w:val="Heading2"/>
        <w:spacing w:line="480" w:lineRule="auto"/>
        <w:rPr>
          <w:rFonts w:ascii="宋体" w:eastAsia="宋体" w:hAnsi="宋体" w:cs="宋体" w:hint="eastAsia"/>
          <w:bCs w:val="0"/>
          <w:sz w:val="28"/>
          <w:szCs w:val="28"/>
          <w:lang w:eastAsia="zh-CN"/>
        </w:rPr>
      </w:pPr>
      <w:bookmarkStart w:id="8" w:name="_Toc29034"/>
      <w:r>
        <w:rPr>
          <w:rFonts w:ascii="宋体" w:eastAsia="宋体" w:hAnsi="宋体" w:cs="宋体" w:hint="eastAsia"/>
          <w:b/>
          <w:bCs w:val="0"/>
          <w:sz w:val="28"/>
          <w:szCs w:val="28"/>
          <w:lang w:eastAsia="zh-CN"/>
        </w:rPr>
        <w:t>(二)、劳动安全预期效果评价</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劳动安全预期效果评价是我们保障项目运营安全的重要手段之一。通过在项目运营前对潜在的风险和安全隐患进行充分评估，我们能够预见可能发生的问题，并制定相应的应对策略。这有助于提前排除潜在的安全隐患，保障项目运营的平稳进行。我们注重对每一项工作环节的风险评估，确保在项目的每个阶段都有科学可行的安全保障措施。</w:t>
      </w:r>
    </w:p>
    <w:p>
      <w:pPr>
        <w:pStyle w:val="Heading2"/>
        <w:spacing w:line="480" w:lineRule="auto"/>
        <w:rPr>
          <w:rFonts w:ascii="宋体" w:eastAsia="宋体" w:hAnsi="宋体" w:cs="宋体" w:hint="eastAsia"/>
          <w:bCs w:val="0"/>
          <w:sz w:val="28"/>
          <w:szCs w:val="28"/>
          <w:lang w:eastAsia="zh-CN"/>
        </w:rPr>
      </w:pPr>
      <w:bookmarkStart w:id="9" w:name="_Toc12198"/>
      <w:r>
        <w:rPr>
          <w:rFonts w:ascii="宋体" w:eastAsia="宋体" w:hAnsi="宋体" w:cs="宋体" w:hint="eastAsia"/>
          <w:b/>
          <w:bCs w:val="0"/>
          <w:sz w:val="28"/>
          <w:szCs w:val="28"/>
          <w:lang w:eastAsia="zh-CN"/>
        </w:rPr>
        <w:t>(三)、主要防范措施</w:t>
      </w:r>
      <w:bookmarkEnd w:id="9"/>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实施的过程中,我们对安全操作规程的执行持续严格把关，确保所有参与项目的人员都接受了相应的安全培训,掌握了必要的操作技能。我们认识到培训的重要性，因此通过定期的培训计划，不断提升团队成员的安全意识和紧急情况处理能力。这有助于在实际工作中做到心中有数，保障每位成员在项目中的工作安全。</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应对各类突发状况,我们在项目实施中设立了定期的安全检查与演练机制。通过模拟各类可能发生的安全问题，我们评估团队的应急响应能力，及时纠正不足之处，并优化应对方案。这种演练不仅提高了团队的整体素养，也使每位成员更加熟悉项目环境，为实际工作中的风险提前做好准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现场安全管理方面，我们建立了一套科学的安全生产责任制度。每位项目参与者都有明确的安全责任,包括对自己和他人的安全负责。我们强调团队协作，鼓励成员间相互监督，形成了一个紧密的安全管理网络。同时，我们加强了现场的安全监控和隐患排查机制，确保安全隐患能够及时发现、迅速处理,从而将潜在风险控制在最小范围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些全面、有力的防范措施，我们不仅在项目实施中确保了高水平的安全管理，也向团队传递了对安全的高度重视。这种安全文化的建设不仅仅是符合法规要求,更是我们对团队成员生命安全的高度责任感的体现。在未来的项目中，我们将继续秉持着对安全的执着追求，为每个项目成员提供一个安全、稳定的工作环境。</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0" w:name="_Toc13804"/>
      <w:r>
        <w:rPr>
          <w:rFonts w:ascii="微软雅黑" w:eastAsia="微软雅黑" w:hAnsi="微软雅黑" w:cs="微软雅黑" w:hint="eastAsia"/>
          <w:color w:val="2E54A1" w:themeColor="accent1" w:themeShade="BF"/>
          <w:sz w:val="32"/>
          <w:szCs w:val="32"/>
          <w:lang w:eastAsia="zh-CN"/>
        </w:rPr>
        <w:t>三、项目运营与管理</w:t>
      </w:r>
      <w:bookmarkEnd w:id="10"/>
    </w:p>
    <w:p>
      <w:pPr>
        <w:pStyle w:val="Heading2"/>
        <w:spacing w:line="480" w:lineRule="auto"/>
        <w:rPr>
          <w:rFonts w:ascii="宋体" w:eastAsia="宋体" w:hAnsi="宋体" w:cs="宋体" w:hint="eastAsia"/>
          <w:bCs w:val="0"/>
          <w:sz w:val="28"/>
          <w:szCs w:val="28"/>
          <w:lang w:eastAsia="zh-CN"/>
        </w:rPr>
      </w:pPr>
      <w:bookmarkStart w:id="11" w:name="_Toc1113"/>
      <w:r>
        <w:rPr>
          <w:rFonts w:ascii="宋体" w:eastAsia="宋体" w:hAnsi="宋体" w:cs="宋体" w:hint="eastAsia"/>
          <w:b/>
          <w:bCs w:val="0"/>
          <w:sz w:val="28"/>
          <w:szCs w:val="28"/>
          <w:lang w:eastAsia="zh-CN"/>
        </w:rPr>
        <w:t>(一)、运营模式选择</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1.运营模式选择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在氧化炉行业项目的运营阶段，选择适当的运营模式至关重要。不同的运营模式会对项目的效益和可持续性产生深远影响。下面是几种常见的运营模式：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自主运营模式：全面负责项目的日常运营和管理，更好地掌握业务的灵活性和决策权。</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4"/>
          <w:szCs w:val="24"/>
          <w:lang w:eastAsia="zh-CN"/>
        </w:rPr>
        <w:t>合作运营模式：与合作伙伴建立战略合作，共同承担项目运营的责任，实现资源共享和风险分担。</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特许经营模式：授权给特许经营商使用品牌、技术或业务模式，以换取一定的特许费用，降低自身运营风险。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外包运营模式：将部分业务环节外包给专业服务机构，专注于核心业务，提高效益和灵活性。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选择适宜的运营模式需要考虑项目的规模、市场环境、核心竞争力等多方面因素，以确保最佳的运营效果和经济回报。</w:t>
      </w:r>
    </w:p>
    <w:p>
      <w:pPr>
        <w:pStyle w:val="Heading2"/>
        <w:spacing w:line="480" w:lineRule="auto"/>
        <w:rPr>
          <w:rFonts w:ascii="宋体" w:eastAsia="宋体" w:hAnsi="宋体" w:cs="宋体" w:hint="eastAsia"/>
          <w:bCs w:val="0"/>
          <w:sz w:val="28"/>
          <w:szCs w:val="28"/>
          <w:lang w:eastAsia="zh-CN"/>
        </w:rPr>
      </w:pPr>
      <w:bookmarkStart w:id="12" w:name="_Toc18631"/>
      <w:r>
        <w:rPr>
          <w:rFonts w:ascii="宋体" w:eastAsia="宋体" w:hAnsi="宋体" w:cs="宋体" w:hint="eastAsia"/>
          <w:b/>
          <w:bCs w:val="0"/>
          <w:sz w:val="28"/>
          <w:szCs w:val="28"/>
          <w:lang w:eastAsia="zh-CN"/>
        </w:rPr>
        <w:t>(二)、人力资源规划</w:t>
      </w:r>
      <w:bookmarkEnd w:id="1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人力资源规划是确保项目顺利运营的基础。在这一阶段，需要考虑以下因素：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人才需求分析：明确项目所需的各类人才，包括技术人员、管理人员和支持人员等，以满足项目各个层面的要求。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团队建设：建立强大的团队，强调协作和沟通，确保每个团队成员都明白其在项目中的角色和责任。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培训和发展：提供培训计划，确保团队成员具备必要的技能，并鼓励他们通过不断学习提升自己。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激励机制：制定合理的薪酬体系和激励计划,激发团队积极性，提高员工满意度和忠诚度。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人力资源规划的成功实施将为项目提供强大的支持，确保项目团队高效运作，达到预期目标。</w:t>
      </w:r>
    </w:p>
    <w:p>
      <w:pPr>
        <w:pStyle w:val="Heading2"/>
        <w:spacing w:line="480" w:lineRule="auto"/>
        <w:rPr>
          <w:rFonts w:ascii="宋体" w:eastAsia="宋体" w:hAnsi="宋体" w:cs="宋体" w:hint="eastAsia"/>
          <w:bCs w:val="0"/>
          <w:sz w:val="28"/>
          <w:szCs w:val="28"/>
          <w:lang w:eastAsia="zh-CN"/>
        </w:rPr>
      </w:pPr>
      <w:bookmarkStart w:id="13" w:name="_Toc12812"/>
      <w:r>
        <w:rPr>
          <w:rFonts w:ascii="宋体" w:eastAsia="宋体" w:hAnsi="宋体" w:cs="宋体" w:hint="eastAsia"/>
          <w:b/>
          <w:bCs w:val="0"/>
          <w:sz w:val="28"/>
          <w:szCs w:val="28"/>
          <w:lang w:eastAsia="zh-CN"/>
        </w:rPr>
        <w:t>(三)、财务管理计划</w:t>
      </w:r>
      <w:bookmarkEnd w:id="13"/>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财务管理计划是项目成功的关键组成部分。在项目运营中，财务管理计划应包括以下方面：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预算制定：制定详细的运营预算，明确支出和收入，合理分配资源，确保项目在财务上可持续运营。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成本控制：设定成本控制机制，定期审查和分析实际支出，采取措施确保项目在预算范围内运营。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资金管理：确保项目拥有足够的流动资金，合理规划项目各阶段的资金需求，避免因资金不足而导致的问题。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财务报告：定期生成财务报告，对项目的经济状况进行监测和评估，为管理层提供决策支持。</w:t>
      </w:r>
    </w:p>
    <w:p>
      <w:pPr>
        <w:pStyle w:val="Heading2"/>
        <w:spacing w:line="480" w:lineRule="auto"/>
        <w:rPr>
          <w:rFonts w:ascii="宋体" w:eastAsia="宋体" w:hAnsi="宋体" w:cs="宋体" w:hint="eastAsia"/>
          <w:bCs w:val="0"/>
          <w:sz w:val="28"/>
          <w:szCs w:val="28"/>
          <w:lang w:eastAsia="zh-CN"/>
        </w:rPr>
      </w:pPr>
      <w:bookmarkStart w:id="14" w:name="_Toc16768"/>
      <w:r>
        <w:rPr>
          <w:rFonts w:ascii="宋体" w:eastAsia="宋体" w:hAnsi="宋体" w:cs="宋体" w:hint="eastAsia"/>
          <w:b/>
          <w:bCs w:val="0"/>
          <w:sz w:val="28"/>
          <w:szCs w:val="28"/>
          <w:lang w:eastAsia="zh-CN"/>
        </w:rPr>
        <w:t>(四)、供应链管理</w:t>
      </w:r>
      <w:bookmarkEnd w:id="1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1.供应商选择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供应商选择是构建健康供应链的第一步。对供应商进行细致筛选，评估其可靠性、质量标准、交货准时性以及成本效益。建立与供应商的紧密合作关系，形成稳定的供应链网络。透过定期的供应商绩效评估，及时发现并解决潜在问题，确保原材料和资源的及时供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2.库存管理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优化库存管理是保障供应链高效运作的关键环节。采用现代化的库存管理系统，实施精细化的库存控制。通过精准的需求预测，避免库存积压和缺货风险。同时，采用先进的技术手段，如物联网和大数据分析，实现库存的实时监控，最大限度地减少库存成本，并确保供应链的敏捷性。</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lang w:eastAsia="zh-CN"/>
        </w:rPr>
        <w:t>3.物流优化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物流是供应链的核心环节,直接关系到产品的及时交付和成本效益。通过物流优化，可以实现以下目标：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运输效率提升：选择最优的运输方式，采用智能路线规划，降低运输时间和成本。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成本降低：通过批量运输、合理包装等手段，降低物流成本，提高整体效益。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可持续性发展：引入绿色物流理念，减少环境影响，推动可持续性发展。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4.风险管理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供应链中存在各种潜在的风险，包括自然灾害、政治不稳定、供应商破产等。有效的风险管理对项目的稳健运营至关重要：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风险评估：定期进行供应链风险评估，识别可能影响供应链的因素，量化风险程度。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制定预案：针对不同的风险制定灵活的应对预案，确保在风险发生时能够迅速作出反应。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多元化供应源：减少对单一供应商的依赖，建立多元化供应网络，分散潜在风险。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通过全面而科学的供应链管理，项目可以更好地适应市场变化，提升整体运营效率，确保产品或服务按时、高效地交付给客户，从而赢得市场竞争优势。</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5" w:name="_Toc9355"/>
      <w:r>
        <w:rPr>
          <w:rFonts w:ascii="微软雅黑" w:eastAsia="微软雅黑" w:hAnsi="微软雅黑" w:cs="微软雅黑" w:hint="eastAsia"/>
          <w:color w:val="2E54A1" w:themeColor="accent1" w:themeShade="BF"/>
          <w:sz w:val="32"/>
          <w:szCs w:val="32"/>
          <w:lang w:eastAsia="zh-CN"/>
        </w:rPr>
        <w:t>四、项目实施与进度安排</w:t>
      </w:r>
      <w:bookmarkEnd w:id="15"/>
    </w:p>
    <w:p>
      <w:pPr>
        <w:pStyle w:val="Heading2"/>
        <w:spacing w:line="480" w:lineRule="auto"/>
        <w:rPr>
          <w:rFonts w:ascii="宋体" w:eastAsia="宋体" w:hAnsi="宋体" w:cs="宋体" w:hint="eastAsia"/>
          <w:bCs w:val="0"/>
          <w:sz w:val="28"/>
          <w:szCs w:val="28"/>
          <w:lang w:eastAsia="zh-CN"/>
        </w:rPr>
      </w:pPr>
      <w:bookmarkStart w:id="16" w:name="_Toc11686"/>
      <w:r>
        <w:rPr>
          <w:rFonts w:ascii="宋体" w:eastAsia="宋体" w:hAnsi="宋体" w:cs="宋体" w:hint="eastAsia"/>
          <w:b/>
          <w:bCs w:val="0"/>
          <w:sz w:val="28"/>
          <w:szCs w:val="28"/>
          <w:lang w:eastAsia="zh-CN"/>
        </w:rPr>
        <w:t>(一)、项目计划与时间节点</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明确目标与任务</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定项目计划时，首要任务是明确项目的长期和短期目标。这包括确立项目的整体愿景、使命和核心价值观。同时，将项目分解为可管理的任务，明确每个任务的具体目标，确保它们对整个项目的成功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任务分解和依赖关系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将整个项目分解为更小的任务单元，以便更好地管理和掌控。每个任务都应该有清晰的开始和结束时间,以及明确的交付成果。同时，要注意任务之间的依赖关系，确保前置任务完成后，后续任务能够按计划开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资源规划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项目计划的成功执行离不开充足的资源支持。在这一阶段，需要详细规划项目所需的人力、物力和财力资源。确保项目团队的组成与任务的要求相匹配，同时合理安排预算和物资采购，以保证项目的顺利推进。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时间节点制定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时间节点是项目计划中的里程碑,对整个项目的时间进度进行合理规划至关重要。明确项目开始和结束的时间，设定关键任务的截止日期,确保整个项目能够按照既定计划有序进行。在设定时间节点时，要考虑各项任务的复杂程度、风险因素以及团队的工作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X月X日：项目启动，发布项目计划，团队成员熟悉任务分配。X月X日：完成项目目标细化和任务分解，形成初步任务清单。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X月X日：完成供应商选择和资源规划，确保项目所需资源的可用性。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X月X日：设定项目的关键时间节点，包括开始和结束日期。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X月X日：建立进度监控机制，确保任务按计划有序推进。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进度监控机制</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有效的进度监控机制是保障项目按计划进行的关键。利用项目管理工具和技术，实时追踪任务的完成情况，及时发现和解决可能导致项目延误的问题。持续的监控有助于团队对项目进度保持敏感，从而更好地做好调整和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调整优化和团队协作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项目实施过程中，可能会遇到各种挑战和变化。因此，需要定期评估项目的实际进展，并根据需要进行调整和优化。同时，促进团队之间的协作与沟通，确保信息的畅通和团队成员的协同工作，以保障任务的有序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决策机制</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制定明确的决策机制是在项目执行过程中迅速应对问题的关键。明确决策的流程和责任人,确保在需要时能够做出及时而明智的决策，以维护项目的正常推进。</w:t>
      </w:r>
    </w:p>
    <w:p>
      <w:pPr>
        <w:pStyle w:val="Heading2"/>
        <w:spacing w:line="480" w:lineRule="auto"/>
        <w:rPr>
          <w:rFonts w:ascii="宋体" w:eastAsia="宋体" w:hAnsi="宋体" w:cs="宋体" w:hint="eastAsia"/>
          <w:bCs w:val="0"/>
          <w:sz w:val="28"/>
          <w:szCs w:val="28"/>
          <w:lang w:eastAsia="zh-CN"/>
        </w:rPr>
      </w:pPr>
      <w:bookmarkStart w:id="17" w:name="_Toc2129"/>
      <w:r>
        <w:rPr>
          <w:rFonts w:ascii="宋体" w:eastAsia="宋体" w:hAnsi="宋体" w:cs="宋体" w:hint="eastAsia"/>
          <w:b/>
          <w:bCs w:val="0"/>
          <w:sz w:val="28"/>
          <w:szCs w:val="28"/>
          <w:lang w:eastAsia="zh-CN"/>
        </w:rPr>
        <w:t>(二)、项目进度安排</w:t>
      </w:r>
      <w:bookmarkEnd w:id="17"/>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项目启动阶段：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X月X日X月X日：项目启动会议，明确项目目标、范围和团队成员的角色。</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X月X日X月X日：制定项目计划，明确时间节点和关键任务。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项目规划阶段：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X月X日X月X日：完成项目的详细规划，包括目标分解、任务分配和资源规划。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X月X日X月X日：制定风险管理计划，识别潜在风险并制定应对策略。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X月X日X月X日：确定项目的财务管理计划，包括预算编制和资金安排。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项目执行阶段：</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X月X日X月X日：开展人力资源培训，确保团队成员了解其任务和项目目标。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X月X日X月X日：开始供应链管理，与供应商建立合作关系，确保资源的及时供应。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X月X日X月X日：进行项目实施，按照任务计划有序推进。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项目监控与调整阶段：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X月X日X月X日：启动项目进度监控机制，及时发现和解决任务推进中的问题。</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X月X日X月X日：定期召开项目进展会议，评估项目的实际进展，并进行调整和优化。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X月X日X月X日：处理项目中出现的风险，采取相应的对策，确保项目不受不良因素影响。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项目收尾阶段：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X月X日X月X日：完成项目的交付物，确保交付符合质量标准。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X月X日X月X日：进行项目总结和验收，收集团队成员的反馈。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X月X日X月X日：形成项目总结报告，记录项目的成功经验和不足之处。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团队协作和信息沟通：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全程：保持团队的高效协作，建立畅通的信息沟通渠道，确保信息的及时传递。</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 w:val="24"/>
          <w:szCs w:val="24"/>
          <w:lang w:eastAsia="zh-CN"/>
        </w:rPr>
        <w:t>以上时间节点仅为示例，实际项目进度安排需根据项目性质、规模和团队成员的工作效率等因素进行调整。在整个项目实施过程中，不断监控、调整和协作是确保项目按计划进行的关键因素。</w:t>
      </w:r>
    </w:p>
    <w:p>
      <w:pPr>
        <w:pStyle w:val="Heading2"/>
        <w:spacing w:line="480" w:lineRule="auto"/>
        <w:rPr>
          <w:rFonts w:ascii="宋体" w:eastAsia="宋体" w:hAnsi="宋体" w:cs="宋体" w:hint="eastAsia"/>
          <w:bCs w:val="0"/>
          <w:sz w:val="28"/>
          <w:szCs w:val="28"/>
          <w:lang w:eastAsia="zh-CN"/>
        </w:rPr>
      </w:pPr>
      <w:bookmarkStart w:id="18" w:name="_Toc12359"/>
      <w:r>
        <w:rPr>
          <w:rFonts w:ascii="宋体" w:eastAsia="宋体" w:hAnsi="宋体" w:cs="宋体" w:hint="eastAsia"/>
          <w:b/>
          <w:bCs w:val="0"/>
          <w:sz w:val="28"/>
          <w:szCs w:val="28"/>
          <w:lang w:eastAsia="zh-CN"/>
        </w:rPr>
        <w:t>(三)、风险管理与对策</w:t>
      </w:r>
      <w:bookmarkEnd w:id="1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1.人员变动风险：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风险描述：项目团队成员可能因各种原因离职或调动，导致项目推进受阻。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对策：建立团队备份计划，确保每个关键职位都有备选人选，并进行知识共享和培训，降低人员变动对项目的负面影响。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2.技术难题风险：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风险描述：在项目实施过程中，可能会遇到技术上的难题，导致项目延误。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对策：在项目启动阶段进行充分的技术评估，明确技术难点，并在团队中设置专业技术小组，及时解决技术问题，确保项目按时推进。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3.供应链中断风险：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风险描述：由于供应商问题或其他原因，供应链可能出现中断，影响到项目进度。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对策：建立备用供应商名单，保持与多个供应商的合作关系，确保有备用资源可供调动，以降低供应链中断对项目的不利影响。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4.预算超支风险：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风险描述：项目在实施过程中可能面临预算超支的风险，导致项目无法按计划完成。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对策：制定详细的预算计划，定期进行预算核算，确保项目资金的有效利用，及时发现并处理潜在的超支情况。</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5.法律法规变更风险：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风险描述：项目所在地的法律法规可能会发生变更，影响项目的合规性。</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对策：设立法务团队，密切关注相关法规的变化，定期进行法律风险评估，确保项目的合法合规性。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6.沟通与协作风险：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风险描述：团队成员之间沟通不畅，信息传递存在误差，导致项目进度不同步。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对策：建立明确的沟通渠道和协作机制，定期组织团队会议，使用专业的项目管理工具，确保信息畅通，提高团队合作效率。</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9" w:name="_Toc690"/>
      <w:r>
        <w:rPr>
          <w:rFonts w:ascii="微软雅黑" w:eastAsia="微软雅黑" w:hAnsi="微软雅黑" w:cs="微软雅黑" w:hint="eastAsia"/>
          <w:color w:val="2E54A1" w:themeColor="accent1" w:themeShade="BF"/>
          <w:sz w:val="32"/>
          <w:szCs w:val="32"/>
          <w:lang w:eastAsia="zh-CN"/>
        </w:rPr>
        <w:t>五、氧化炉行业投资管理策略</w:t>
      </w:r>
      <w:bookmarkEnd w:id="19"/>
    </w:p>
    <w:p>
      <w:pPr>
        <w:pStyle w:val="Heading2"/>
        <w:spacing w:line="480" w:lineRule="auto"/>
        <w:rPr>
          <w:rFonts w:ascii="宋体" w:eastAsia="宋体" w:hAnsi="宋体" w:cs="宋体" w:hint="eastAsia"/>
          <w:bCs w:val="0"/>
          <w:sz w:val="28"/>
          <w:szCs w:val="28"/>
          <w:lang w:eastAsia="zh-CN"/>
        </w:rPr>
      </w:pPr>
      <w:bookmarkStart w:id="20" w:name="_Toc5630"/>
      <w:r>
        <w:rPr>
          <w:rFonts w:ascii="宋体" w:eastAsia="宋体" w:hAnsi="宋体" w:cs="宋体" w:hint="eastAsia"/>
          <w:b/>
          <w:bCs w:val="0"/>
          <w:sz w:val="28"/>
          <w:szCs w:val="28"/>
          <w:lang w:eastAsia="zh-CN"/>
        </w:rPr>
        <w:t>(一)、氧化炉行业投资估算主要内容</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(一)设备投资成本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创办氧化炉行业所需的设备投资是一项不可或缺的资金支出。这其中包括但不限于陈列架、货架、收银系统、电脑、打印机等各类硬件设备和相关软件。设备投资费用会因店铺规模和经营范围的不同而有所差异。在进行投资时，需要考虑设备的质量和品牌选择，以确保长期运营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(二)装修施工费用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设氧化炉行业之前,装修施工费用是必须仔细考虑的一项重要开支。这包括店内外的装修所需的材料和劳务费用。首先，需要制定一份合理的装修方案，然后计算购买材料和雇佣工人所需的费用。装修施工费用的多少与店铺规模、地理位置和装修风格密切相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(三)初期准备资金</w:t>
      </w:r>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迎接开业初期的各种开支，需要提前准备一笔资金，即预备费。这些支出可能包括开业庆典、广告宣传、库存采购、员工工资和租金等。预备费的设立旨在应对初期可能出现的资金紧张情况，确保氧化炉行业在初始经营阶段能够平稳运营。具体预备费用的确定应根据当地市场条件和实际经验进行合理估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(四)库存采购开支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作为氧化炉行业的核心商品,库存采购费用是投资计划中不可忽视的一环。根据店铺大小和销售策略，需要提前购买一定数量的产品作为起步库存。库存采购费用取决于所选择的产品品牌、样式、数量和价格等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(五)运营成本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氧化炉行业的运营成本包括员工工资、水电费、物业管理费、广告宣传费用、税务等方面的支出。这些成本每月都会发生，需要在投资计划中进行详细预算和分析。</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(六)租金与押金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氧化炉行业的地理位置对业绩有着重要的影响,因此租金与押金是创办氧化炉行业时不可忽视的重要成本。具体租金和所需支付的押金金额将根据店铺面积、地段和租赁合同条款等因素确定。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(七)其他开支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除了以上主要开支,还有一些杂项费用需要纳入考虑,如保险费、专业咨询费用、法律事务费等。这些费用通常是一次性或定期性支出，需要在投资计划中列明并进行合理估算。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(八)营销与推广费用</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4"/>
          <w:szCs w:val="24"/>
          <w:lang w:eastAsia="zh-CN"/>
        </w:rPr>
        <w:t>成功经营氧化炉行业需要一定的营销与推广投入。这涵盖了广告宣传、促销活动、社交媒体推广等方面的费用。建立知名度和吸引顾客对于新开业的氧化炉行业至关重要，因此在投资计划中应充分考虑这一方面的支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(九)技术与信息系统费用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科技的不断发展,拥有高效的技术和信息系统对氧化炉行业的经营至关重要。这包括点-of-sale系统、库存管理软件、在线销售平台等。投资于这些技术和系统，有助于提高运营效率和顾客体验，但也需要在预算中予以充分考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(十)培训与人力资源开支</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为确保团队的专业水平和服务质量,需要投资于员工培训与人力资源开支。这包括新员工的培训费用、培训材料费用以及可能的员工福利成本。高素质的团队有助于提升氧化炉行业的服务水平和整体运营效能。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(十一)紧急备用资金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商业运营中，难以预测的紧急情况可能会发生。因此，设立一笔紧急备用资金是为了在遇到突发状况时能够迅速应对,确保氧化炉行业的稳定运营。紧急备用资金的具体数额可根据氧化炉行业经验和风险评估进行适当设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(十二)持续改进与创新费用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为保持竞争力，氧化炉行业需要不断进氧化炉行业务改进和创新。这可能涉及产品研发、服务创新以及市场调查等方面的费用。投资于持续改进与创新,有助于适应市场变化,满足顾客需求,提升品牌价值。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结语</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sz w:val="24"/>
          <w:szCs w:val="24"/>
          <w:lang w:eastAsia="zh-CN"/>
        </w:rPr>
        <w:t>综合考虑上述各项开支,氧化炉行业的投资计划不仅仅涉及设备购置、装修、预备费、库存采购和运营成本等基础开支，还需要考虑市场推广、技术与信息系统、员工培训、紧急备用资金以及持续创新等方面的投入。通过细致的预算和周密的规划，可为氧化炉行业的成功开业提供全面支持，并为未来的经营打下坚实基础。</w:t>
      </w:r>
    </w:p>
    <w:p>
      <w:pPr>
        <w:pStyle w:val="Heading2"/>
        <w:spacing w:line="480" w:lineRule="auto"/>
        <w:rPr>
          <w:rFonts w:ascii="宋体" w:eastAsia="宋体" w:hAnsi="宋体" w:cs="宋体" w:hint="eastAsia"/>
          <w:bCs w:val="0"/>
          <w:sz w:val="28"/>
          <w:szCs w:val="28"/>
          <w:lang w:eastAsia="zh-CN"/>
        </w:rPr>
      </w:pPr>
      <w:bookmarkStart w:id="21" w:name="_Toc16418"/>
      <w:r>
        <w:rPr>
          <w:rFonts w:ascii="宋体" w:eastAsia="宋体" w:hAnsi="宋体" w:cs="宋体" w:hint="eastAsia"/>
          <w:b/>
          <w:bCs w:val="0"/>
          <w:sz w:val="28"/>
          <w:szCs w:val="28"/>
          <w:lang w:eastAsia="zh-CN"/>
        </w:rPr>
        <w:t>(二)、氧化炉行业设备购置投资费用管理</w:t>
      </w:r>
      <w:bookmarkEnd w:id="2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(一)制定投资计划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氧化炉行业设备购置前，需要进行全面的投资计划。首先，确立所需设备的种类和数量，并进行市场价格的调查，以建立详尽的投资预算。此外，还需考虑到相关的配套设备、运输费用、以及设备安装等额外费用，确保投资计划的全面性和准确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(二)设备选择与采购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氧化炉行业设备的选择与采购是影响成本和效益的核心环节。首先，根据氧化炉行业的规模、特点和需求，对每个设备进行详细的性能、功能和品质评估，以确保选用的设备能够满足业务需求，并具有良好的性价比。其次，需综合考虑供应商的信誉、售后服务以及设备的维修保养等因素，选择可信赖的供应商进行采购，确保设备的质量和及时供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(三)设备使用与维护</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备购置后，氧化炉行业需要建立完善的设备使用与维护管理制度。首先，组织相关人员进行设备正确使用的培训，确保操作规范和安全可靠。其次，制定设备的维护保养计划，定期检查设备的运行状态，及时处理故障，以延长设备的使用寿命。同时，进行设备保险投保，以应对可能的意外损失和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(四)费用控制与效益评估</w:t>
      </w:r>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sz w:val="24"/>
          <w:szCs w:val="24"/>
          <w:lang w:eastAsia="zh-CN"/>
        </w:rPr>
        <w:t>氧化炉行业设备购置后，需要进行费用控制与效益评估。建立科学的成本核算体系，详细记录设备购置、使用和维护等相关费用，并定期进行比较分析，找出费用支出的优化空间。同时，定期评估设备的使用效果和经营效益，通过各项指标的分析，及时调整经营策略，提高设备的利用率和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(五)投资预算的动态调整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氧化炉行业设备购置投资费用管理的关键在于实施动态的投资预算调整。由于市场环境和业务需求的不断变化，投资预算需要及时进行调整。定期进行市场调研，了解设备价格的波动和新技术的推出，以便灵活地调整预算计划，确保投资金额与市场变化相适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(六)设备选型的创新与升级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提升设备的性能和效能,氧化炉行业应不断进行设备选型的创新与升级。密切关注氧化炉行业的最新技术趋势，选择符合未来发展方向的先进设备。通过采用更智能、高效的设备，可以提高工作效率，降低运营成本，从而提升整体经济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(七)灵活运用设备共享模式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设备购置投资中,考虑采用设备共享模式也是一种有效的管理手段。与其他业务实体共享设备资源，不仅能够降低单一设备的购置成本，还能提高设备利用率。通过合理制定共享规则和管理流程，确保设备的合理分配和维护，以实现共赢的效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(八)环保与能源管理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氧化炉行业设备购置后，要注重环保和能源管理,以降低运营成本并提高社会责任感。采用节能设备、优化能源利用，不仅有助于降低能源开支，还能在市场中树立环保形象。通过实施绿色设备管理，不仅符合社会潮流，也有助于获取相关环保政策的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(九)建立设备数据监控系统</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借助现代科技手段,建立设备数据监控系统是提高设备管理效能的关键。通过实时监测设备的运行状态、维护记录等数据，及时发现潜在问题，预防设备故障。这样的系统有助于提高设备的可靠性和稳定性，减少维修成本，提升设备利用寿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(十)制定灵活的维护计划</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备使用与维护是设备管理的一个重要方面。制定灵活的维护计划，根据设备的工作强度和使用情况，科学安排维护时间，保障设备的长期稳定运行。在维护计划中可以包括定期检查、预防性维护和紧急维修等环节，以确保设备随时保持良好状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通过以上的管理策略，氧化炉行业设备购置投资费用可以更加全面、灵活地得到管理。这样的管理手段不仅有助于提高设备的效益和经济效益，还能够适应市场变化，使氧化炉行业在设备管理方面更具竞争力。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(十一)实施供应链协同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设备购置不仅仅是对单一设备的投资，也牵涉到整个供应链的协同。与供应商建立紧密的合作关系，共同制定采购计划，优化物流流程，降低采购和运输成本。通过供应链协同，氧化炉行业能够更有效地获取设备，并在全流程中实现成本的最小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(十二)引入设备定期更新策略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随着科技的飞速发展，设备更新换代的速度也在不断加快。为了保持竞争力，氧化炉行业应引入设备定期更新策略。制定合理的设备更新计划，确保设备始终处于技术先进性的状态。通过定期更新，不仅提高了工作效率，也减少了因老旧设备导致的故障风险。</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sz w:val="24"/>
          <w:szCs w:val="24"/>
          <w:lang w:eastAsia="zh-CN"/>
        </w:rPr>
        <w:t>(十三)制定设备回收与再利用政策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降低环境影响，氧化炉行业可以制定设备回收与再利用政策。在设备报废或更新时，采取合法的设备回收措施，对可再利用的部件进行拆解和再利用。这不仅有助于环保，还能在一定程度上降低新设备的采购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(十四)定期进行设备绩效评估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建立定期的设备绩效评估机制是设备购置投资管理的重要一环。通过定期的绩效评估，可以深入了解设备的使用情况、效能表现以及维修记录等。根据评估结果，及时调整设备管理策略，提高设备的整体性能和可靠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(十五)加强团队培训与技能提升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管理设备，氧化炉行业需要加强团队培训与技能提升。确保操作人员熟练掌握设备的使用方法，提高设备操作效率，减少人为因素对设备的影响。同时，培养一支专业的设备维护团队，提高对设备故障的及时排查和处理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(十六)面向未来的科技投资</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确保设备能够适应未来的商业发展,氧化炉行业应该进行面向未来的科技投资。关注新兴技术，如物联网、人工智能等，考虑将这些技术应用于设备管理中，以提高智能化和自动化水平，进一步提升设备的效能和运行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氧化炉行业能够更全面、科学地进行设备购置投资费用管理。这不仅有助于提高设备的使用效益，降低运营成本,还能够适应市场的变化，保持竞争力，确保氧化炉行业在设备管理方面持续取得成功。</w:t>
      </w:r>
    </w:p>
    <w:p>
      <w:pPr>
        <w:pStyle w:val="Heading2"/>
        <w:spacing w:line="480" w:lineRule="auto"/>
        <w:rPr>
          <w:rFonts w:ascii="宋体" w:eastAsia="宋体" w:hAnsi="宋体" w:cs="宋体" w:hint="eastAsia"/>
          <w:bCs w:val="0"/>
          <w:sz w:val="28"/>
          <w:szCs w:val="28"/>
          <w:lang w:eastAsia="zh-CN"/>
        </w:rPr>
      </w:pPr>
      <w:bookmarkStart w:id="22" w:name="_Toc19084"/>
      <w:r>
        <w:rPr>
          <w:rFonts w:ascii="宋体" w:eastAsia="宋体" w:hAnsi="宋体" w:cs="宋体" w:hint="eastAsia"/>
          <w:b/>
          <w:bCs w:val="0"/>
          <w:sz w:val="28"/>
          <w:szCs w:val="28"/>
          <w:lang w:eastAsia="zh-CN"/>
        </w:rPr>
        <w:t>(三)、氧化炉行业装修施工投资费用管理</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(一)预算策策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https://d.book118.com/866224115011010034</w:t>
        </w:r>
      </w:hyperlink>
    </w:p>
    <w:p>
      <w:pPr>
        <w:spacing w:line="480" w:lineRule="auto"/>
        <w:ind w:firstLine="420" w:firstLineChars="0"/>
        <w:rPr>
          <w:rFonts w:ascii="宋体" w:eastAsia="宋体" w:hAnsi="宋体" w:cs="宋体" w:hint="eastAsia"/>
          <w:sz w:val="24"/>
        </w:rPr>
      </w:pPr>
    </w:p>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1E832DF4"/>
    <w:rsid w:val="3DAC44EE"/>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yperlink" Target="https://d.book118.com/866224115011010034" TargetMode="Externa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2024-01-13T12:00:18Z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