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71"/>
        <w:ind w:left="1176"/>
        <w:rPr>
          <w:rFonts w:ascii="黑体"/>
        </w:rPr>
      </w:pPr>
      <w:r>
        <w:rPr>
          <w:rFonts w:ascii="Times New Roman"/>
          <w:position w:val="1"/>
        </w:rPr>
        <w:t xml:space="preserve">ICS </w:t>
      </w:r>
      <w:r>
        <w:rPr>
          <w:rFonts w:ascii="黑体"/>
        </w:rPr>
        <w:t>43.16</w:t>
      </w:r>
    </w:p>
    <w:p>
      <w:pPr>
        <w:pStyle w:val="BodyText"/>
        <w:spacing w:before="43"/>
        <w:ind w:left="1176"/>
        <w:rPr>
          <w:rFonts w:ascii="黑体"/>
        </w:rPr>
      </w:pPr>
      <w:r>
        <w:pict>
          <v:shapetype id="_x0000_t202" coordsize="21600,21600" o:spt="202" path="m,l,21600r21600,l21600,xe">
            <v:stroke joinstyle="miter"/>
            <v:path gradientshapeok="t" o:connecttype="rect"/>
          </v:shapetype>
          <v:shape id="_x0000_s1025" type="#_x0000_t202" style="width:149.1pt;height:53.2pt;margin-top:6.01pt;margin-left:389.65pt;mso-position-horizontal-relative:page;position:absolute;z-index:251658240" filled="f" stroked="f">
            <v:textbox inset="0,0,0,0">
              <w:txbxContent>
                <w:p>
                  <w:pPr>
                    <w:spacing w:before="0" w:line="1063" w:lineRule="exact"/>
                    <w:ind w:left="0" w:right="0" w:firstLine="0"/>
                    <w:jc w:val="left"/>
                    <w:rPr>
                      <w:rFonts w:ascii="Times New Roman"/>
                      <w:b/>
                      <w:sz w:val="96"/>
                    </w:rPr>
                  </w:pPr>
                  <w:r>
                    <w:rPr>
                      <w:rFonts w:ascii="Times New Roman"/>
                      <w:b/>
                      <w:w w:val="130"/>
                      <w:sz w:val="96"/>
                    </w:rPr>
                    <w:t>DB63</w:t>
                  </w:r>
                </w:p>
              </w:txbxContent>
            </v:textbox>
          </v:shape>
        </w:pict>
      </w:r>
      <w:r>
        <w:rPr>
          <w:rFonts w:ascii="黑体"/>
        </w:rPr>
        <w:t>CCS T</w:t>
      </w:r>
      <w:r>
        <w:rPr>
          <w:rFonts w:ascii="黑体"/>
          <w:spacing w:val="1"/>
        </w:rPr>
        <w:t xml:space="preserve"> </w:t>
      </w:r>
      <w:r>
        <w:rPr>
          <w:rFonts w:ascii="黑体"/>
        </w:rPr>
        <w:t>50</w:t>
      </w:r>
    </w:p>
    <w:p>
      <w:pPr>
        <w:pStyle w:val="BodyText"/>
        <w:spacing w:before="43"/>
        <w:ind w:left="1176"/>
        <w:rPr>
          <w:rFonts w:ascii="黑体" w:eastAsia="黑体" w:hint="eastAsia"/>
        </w:rPr>
      </w:pPr>
      <w:r>
        <w:rPr>
          <w:rFonts w:ascii="黑体" w:eastAsia="黑体" w:hint="eastAsia"/>
          <w:spacing w:val="-1"/>
        </w:rPr>
        <w:t>备案号：</w:t>
      </w:r>
    </w:p>
    <w:p>
      <w:pPr>
        <w:pStyle w:val="BodyText"/>
        <w:rPr>
          <w:rFonts w:ascii="黑体"/>
          <w:sz w:val="20"/>
        </w:rPr>
      </w:pPr>
    </w:p>
    <w:p>
      <w:pPr>
        <w:pStyle w:val="BodyText"/>
        <w:rPr>
          <w:rFonts w:ascii="黑体"/>
          <w:sz w:val="20"/>
        </w:rPr>
      </w:pPr>
    </w:p>
    <w:p>
      <w:pPr>
        <w:pStyle w:val="BodyText"/>
        <w:spacing w:before="10"/>
        <w:rPr>
          <w:rFonts w:ascii="黑体"/>
          <w:sz w:val="22"/>
        </w:rPr>
      </w:pPr>
    </w:p>
    <w:p>
      <w:pPr>
        <w:tabs>
          <w:tab w:val="left" w:pos="2671"/>
          <w:tab w:val="left" w:pos="4163"/>
          <w:tab w:val="left" w:pos="5656"/>
          <w:tab w:val="left" w:pos="7149"/>
          <w:tab w:val="left" w:pos="8642"/>
          <w:tab w:val="left" w:pos="10135"/>
        </w:tabs>
        <w:spacing w:before="0"/>
        <w:ind w:left="1178" w:right="0" w:firstLine="0"/>
        <w:jc w:val="left"/>
        <w:rPr>
          <w:rFonts w:ascii="黑体" w:eastAsia="黑体" w:hint="eastAsia"/>
          <w:sz w:val="48"/>
        </w:rPr>
      </w:pPr>
      <w:r>
        <w:rPr>
          <w:rFonts w:ascii="黑体" w:eastAsia="黑体" w:hint="eastAsia"/>
          <w:sz w:val="48"/>
        </w:rPr>
        <w:t>青</w:t>
        <w:tab/>
        <w:t>海</w:t>
        <w:tab/>
        <w:t>省</w:t>
        <w:tab/>
        <w:t>地</w:t>
        <w:tab/>
        <w:t>方</w:t>
        <w:tab/>
        <w:t>标</w:t>
        <w:tab/>
        <w:t>准</w:t>
      </w:r>
    </w:p>
    <w:p>
      <w:pPr>
        <w:spacing w:before="308"/>
        <w:ind w:left="0" w:right="860" w:firstLine="0"/>
        <w:jc w:val="right"/>
        <w:rPr>
          <w:rFonts w:ascii="黑体" w:hAnsi="黑体"/>
          <w:sz w:val="28"/>
        </w:rPr>
      </w:pPr>
      <w:r>
        <w:rPr>
          <w:rFonts w:ascii="Times New Roman" w:hAnsi="Times New Roman"/>
          <w:sz w:val="28"/>
        </w:rPr>
        <w:t>DB</w:t>
      </w:r>
      <w:r>
        <w:rPr>
          <w:rFonts w:ascii="黑体" w:hAnsi="黑体"/>
          <w:sz w:val="28"/>
        </w:rPr>
        <w:t>63/T</w:t>
      </w:r>
      <w:r>
        <w:rPr>
          <w:rFonts w:ascii="黑体" w:hAnsi="黑体"/>
          <w:spacing w:val="-5"/>
          <w:sz w:val="28"/>
        </w:rPr>
        <w:t xml:space="preserve"> </w:t>
      </w:r>
      <w:r>
        <w:rPr>
          <w:rFonts w:ascii="黑体" w:hAnsi="黑体"/>
          <w:sz w:val="28"/>
        </w:rPr>
        <w:t>2229</w:t>
      </w:r>
      <w:r>
        <w:rPr>
          <w:rFonts w:ascii="Times New Roman" w:hAnsi="Times New Roman"/>
          <w:sz w:val="28"/>
        </w:rPr>
        <w:t>—</w:t>
      </w:r>
      <w:r>
        <w:rPr>
          <w:rFonts w:ascii="黑体" w:hAnsi="黑体"/>
          <w:sz w:val="28"/>
        </w:rPr>
        <w:t>2023</w:t>
      </w:r>
    </w:p>
    <w:p>
      <w:pPr>
        <w:pStyle w:val="BodyText"/>
        <w:rPr>
          <w:rFonts w:ascii="黑体"/>
          <w:sz w:val="20"/>
        </w:rPr>
      </w:pPr>
    </w:p>
    <w:p>
      <w:pPr>
        <w:pStyle w:val="BodyText"/>
        <w:spacing w:before="9"/>
        <w:rPr>
          <w:rFonts w:ascii="黑体"/>
          <w:sz w:val="29"/>
        </w:rPr>
      </w:pPr>
      <w:r>
        <w:pict>
          <v:shape id="_x0000_s1026" style="width:481.95pt;height:0.1pt;margin-top:21.42pt;margin-left:70.8pt;mso-position-horizontal-relative:page;mso-wrap-distance-left:0;mso-wrap-distance-right:0;position:absolute;z-index:-251656192" coordorigin="1416,428" coordsize="9639,0" path="m1416,428l11054,428e" filled="f" stroked="t" strokecolor="black" strokeweight="0.72pt">
            <v:stroke dashstyle="solid"/>
            <v:path arrowok="t"/>
            <w10:wrap type="topAndBottom"/>
          </v:shape>
        </w:pict>
      </w:r>
    </w:p>
    <w:p>
      <w:pPr>
        <w:pStyle w:val="BodyText"/>
        <w:rPr>
          <w:rFonts w:ascii="黑体"/>
          <w:sz w:val="30"/>
        </w:rPr>
      </w:pPr>
    </w:p>
    <w:p>
      <w:pPr>
        <w:pStyle w:val="BodyText"/>
        <w:rPr>
          <w:rFonts w:ascii="黑体"/>
          <w:sz w:val="30"/>
        </w:rPr>
      </w:pPr>
    </w:p>
    <w:p>
      <w:pPr>
        <w:pStyle w:val="BodyText"/>
        <w:rPr>
          <w:rFonts w:ascii="黑体"/>
          <w:sz w:val="30"/>
        </w:rPr>
      </w:pPr>
    </w:p>
    <w:p>
      <w:pPr>
        <w:pStyle w:val="BodyText"/>
        <w:rPr>
          <w:rFonts w:ascii="黑体"/>
          <w:sz w:val="30"/>
        </w:rPr>
      </w:pPr>
    </w:p>
    <w:p>
      <w:pPr>
        <w:pStyle w:val="BodyText"/>
        <w:rPr>
          <w:rFonts w:ascii="黑体"/>
          <w:sz w:val="30"/>
        </w:rPr>
      </w:pPr>
    </w:p>
    <w:p>
      <w:pPr>
        <w:spacing w:before="202"/>
        <w:ind w:left="1289" w:right="0" w:firstLine="0"/>
        <w:jc w:val="left"/>
        <w:rPr>
          <w:rFonts w:ascii="黑体" w:eastAsia="黑体" w:hint="eastAsia"/>
          <w:sz w:val="52"/>
        </w:rPr>
      </w:pPr>
      <w:r>
        <w:pict>
          <v:group id="_x0000_s1027" style="width:560pt;height:384pt;margin-top:102.3pt;margin-left:17pt;mso-position-horizontal-relative:page;position:absolute;z-index:251659264" coordorigin="340,2046" coordsize="11200,7680">
            <v:line id="_x0000_s1028" style="position:absolute" from="1416,8359" to="11054,8359" stroked="t" strokecolor="black" strokeweight="0.72pt">
              <v:stroke dashstyle="solid"/>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width:11200;height:7680;left:340;position:absolute;top:2046" stroked="f">
              <v:imagedata r:id="rId4" o:title=""/>
            </v:shape>
          </v:group>
        </w:pict>
      </w:r>
      <w:r>
        <w:rPr>
          <w:rFonts w:ascii="黑体" w:eastAsia="黑体" w:hint="eastAsia"/>
          <w:sz w:val="52"/>
        </w:rPr>
        <w:t>场（厂）内专用机动车辆使用管理规范</w:t>
      </w: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11"/>
        <w:rPr>
          <w:rFonts w:ascii="黑体"/>
          <w:sz w:val="17"/>
        </w:rPr>
      </w:pPr>
      <w:r>
        <w:pict>
          <v:group id="_x0000_s1030" style="width:484.3pt;height:69.85pt;margin-top:13.4pt;margin-left:70.92pt;mso-position-horizontal-relative:page;mso-wrap-distance-left:0;mso-wrap-distance-right:0;position:absolute;z-index:-251655168" coordorigin="1418,268" coordsize="9686,1397">
            <v:shape id="_x0000_s1031" type="#_x0000_t202" style="width:2332;height:281;left:1418;position:absolute;top:268"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2023</w:t>
                    </w:r>
                    <w:r>
                      <w:rPr>
                        <w:rFonts w:ascii="黑体" w:eastAsia="黑体" w:hint="eastAsia"/>
                        <w:spacing w:val="-47"/>
                        <w:sz w:val="28"/>
                      </w:rPr>
                      <w:t xml:space="preserve"> - </w:t>
                    </w:r>
                    <w:r>
                      <w:rPr>
                        <w:rFonts w:ascii="黑体" w:eastAsia="黑体" w:hint="eastAsia"/>
                        <w:sz w:val="28"/>
                      </w:rPr>
                      <w:t>12</w:t>
                    </w:r>
                    <w:r>
                      <w:rPr>
                        <w:rFonts w:ascii="黑体" w:eastAsia="黑体" w:hint="eastAsia"/>
                        <w:spacing w:val="-47"/>
                        <w:sz w:val="28"/>
                      </w:rPr>
                      <w:t xml:space="preserve"> - </w:t>
                    </w:r>
                    <w:r>
                      <w:rPr>
                        <w:rFonts w:ascii="黑体" w:eastAsia="黑体" w:hint="eastAsia"/>
                        <w:sz w:val="28"/>
                      </w:rPr>
                      <w:t>27</w:t>
                    </w:r>
                    <w:r>
                      <w:rPr>
                        <w:rFonts w:ascii="黑体" w:eastAsia="黑体" w:hint="eastAsia"/>
                        <w:spacing w:val="-24"/>
                        <w:sz w:val="28"/>
                      </w:rPr>
                      <w:t xml:space="preserve"> 发布</w:t>
                    </w:r>
                  </w:p>
                </w:txbxContent>
              </v:textbox>
            </v:shape>
            <v:shape id="_x0000_s1032" type="#_x0000_t202" style="width:2332;height:281;left:8772;position:absolute;top:268"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2024</w:t>
                    </w:r>
                    <w:r>
                      <w:rPr>
                        <w:rFonts w:ascii="黑体" w:eastAsia="黑体" w:hint="eastAsia"/>
                        <w:spacing w:val="-47"/>
                        <w:sz w:val="28"/>
                      </w:rPr>
                      <w:t xml:space="preserve"> - </w:t>
                    </w:r>
                    <w:r>
                      <w:rPr>
                        <w:rFonts w:ascii="黑体" w:eastAsia="黑体" w:hint="eastAsia"/>
                        <w:sz w:val="28"/>
                      </w:rPr>
                      <w:t>02</w:t>
                    </w:r>
                    <w:r>
                      <w:rPr>
                        <w:rFonts w:ascii="黑体" w:eastAsia="黑体" w:hint="eastAsia"/>
                        <w:spacing w:val="-47"/>
                        <w:sz w:val="28"/>
                      </w:rPr>
                      <w:t xml:space="preserve"> - </w:t>
                    </w:r>
                    <w:r>
                      <w:rPr>
                        <w:rFonts w:ascii="黑体" w:eastAsia="黑体" w:hint="eastAsia"/>
                        <w:sz w:val="28"/>
                      </w:rPr>
                      <w:t>01</w:t>
                    </w:r>
                    <w:r>
                      <w:rPr>
                        <w:rFonts w:ascii="黑体" w:eastAsia="黑体" w:hint="eastAsia"/>
                        <w:spacing w:val="-24"/>
                        <w:sz w:val="28"/>
                      </w:rPr>
                      <w:t xml:space="preserve"> 实施</w:t>
                    </w:r>
                  </w:p>
                </w:txbxContent>
              </v:textbox>
            </v:shape>
            <v:shape id="_x0000_s1033" type="#_x0000_t202" style="width:4146;height:281;left:3300;position:absolute;top:1383"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w w:val="135"/>
                        <w:sz w:val="28"/>
                      </w:rPr>
                      <w:t>青海省市场监督管理局</w:t>
                    </w:r>
                  </w:p>
                </w:txbxContent>
              </v:textbox>
            </v:shape>
            <v:shape id="_x0000_s1034" type="#_x0000_t202" style="width:750;height:281;left:8030;position:absolute;top:1352"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发 布</w:t>
                    </w:r>
                  </w:p>
                </w:txbxContent>
              </v:textbox>
            </v:shape>
            <w10:wrap type="topAndBottom"/>
          </v:group>
        </w:pict>
      </w:r>
    </w:p>
    <w:p>
      <w:pPr>
        <w:spacing w:after="0"/>
        <w:rPr>
          <w:rFonts w:ascii="黑体"/>
          <w:sz w:val="17"/>
        </w:rPr>
        <w:sectPr>
          <w:type w:val="continuous"/>
          <w:pgSz w:w="11910" w:h="16840"/>
          <w:pgMar w:top="500" w:right="260" w:bottom="280" w:left="240" w:header="708" w:footer="708"/>
          <w:cols w:space="708"/>
        </w:sect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10"/>
        <w:rPr>
          <w:rFonts w:ascii="黑体"/>
          <w:sz w:val="27"/>
        </w:rPr>
      </w:pPr>
    </w:p>
    <w:p>
      <w:pPr>
        <w:pStyle w:val="BodyText"/>
        <w:ind w:left="2860"/>
        <w:rPr>
          <w:rFonts w:ascii="黑体"/>
          <w:sz w:val="20"/>
        </w:rPr>
      </w:pPr>
      <w:r>
        <w:rPr>
          <w:rFonts w:ascii="黑体"/>
          <w:sz w:val="20"/>
        </w:rPr>
        <w:drawing>
          <wp:inline distT="0" distB="0" distL="0" distR="0">
            <wp:extent cx="4028503" cy="253365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rFonts w:ascii="黑体"/>
          <w:sz w:val="20"/>
        </w:rPr>
        <w:sectPr>
          <w:pgSz w:w="11910" w:h="16840"/>
          <w:pgMar w:top="1580" w:right="260" w:bottom="280" w:left="240" w:header="708" w:footer="708"/>
          <w:pgNumType w:start="2"/>
          <w:cols w:space="708"/>
        </w:sectPr>
      </w:pPr>
    </w:p>
    <w:p>
      <w:pPr>
        <w:pStyle w:val="BodyText"/>
        <w:rPr>
          <w:rFonts w:ascii="黑体"/>
          <w:sz w:val="20"/>
        </w:rPr>
      </w:pPr>
    </w:p>
    <w:p>
      <w:pPr>
        <w:pStyle w:val="BodyText"/>
        <w:rPr>
          <w:rFonts w:ascii="黑体"/>
          <w:sz w:val="20"/>
        </w:rPr>
      </w:pPr>
    </w:p>
    <w:p>
      <w:pPr>
        <w:pStyle w:val="BodyText"/>
        <w:spacing w:before="10"/>
        <w:rPr>
          <w:rFonts w:ascii="黑体"/>
          <w:sz w:val="27"/>
        </w:rPr>
      </w:pPr>
    </w:p>
    <w:p>
      <w:pPr>
        <w:pStyle w:val="Heading1"/>
        <w:tabs>
          <w:tab w:val="left" w:pos="1259"/>
        </w:tabs>
        <w:ind w:left="299"/>
      </w:pPr>
      <w:r>
        <w:t>目</w:t>
        <w:tab/>
        <w:t>次</w:t>
      </w:r>
    </w:p>
    <w:p>
      <w:pPr>
        <w:pStyle w:val="BodyText"/>
        <w:tabs>
          <w:tab w:val="right" w:leader="dot" w:pos="10416"/>
        </w:tabs>
        <w:spacing w:before="585"/>
        <w:ind w:left="1176"/>
      </w:pPr>
      <w:r>
        <w:t>前言</w:t>
      </w:r>
      <w:r>
        <w:rPr>
          <w:rFonts w:ascii="Times New Roman" w:eastAsia="Times New Roman"/>
        </w:rPr>
        <w:tab/>
      </w:r>
      <w:r>
        <w:t>II</w:t>
      </w:r>
    </w:p>
    <w:p>
      <w:pPr>
        <w:pStyle w:val="ListParagraph"/>
        <w:numPr>
          <w:ilvl w:val="0"/>
          <w:numId w:val="7"/>
        </w:numPr>
        <w:tabs>
          <w:tab w:val="left" w:pos="1493"/>
          <w:tab w:val="right" w:leader="dot" w:pos="10416"/>
        </w:tabs>
        <w:spacing w:before="120" w:after="0" w:line="240" w:lineRule="auto"/>
        <w:ind w:left="1492" w:right="0" w:hanging="317"/>
        <w:jc w:val="left"/>
        <w:rPr>
          <w:sz w:val="21"/>
        </w:rPr>
      </w:pPr>
      <w:r>
        <w:rPr>
          <w:spacing w:val="-3"/>
          <w:sz w:val="21"/>
        </w:rPr>
        <w:t>范</w:t>
      </w:r>
      <w:r>
        <w:rPr>
          <w:sz w:val="21"/>
        </w:rPr>
        <w:t>围</w:t>
      </w:r>
      <w:r>
        <w:rPr>
          <w:rFonts w:ascii="Times New Roman" w:eastAsia="Times New Roman"/>
          <w:sz w:val="21"/>
        </w:rPr>
        <w:tab/>
      </w:r>
      <w:r>
        <w:rPr>
          <w:sz w:val="21"/>
        </w:rPr>
        <w:t>1</w:t>
      </w:r>
    </w:p>
    <w:p>
      <w:pPr>
        <w:pStyle w:val="ListParagraph"/>
        <w:numPr>
          <w:ilvl w:val="0"/>
          <w:numId w:val="7"/>
        </w:numPr>
        <w:tabs>
          <w:tab w:val="left" w:pos="1493"/>
          <w:tab w:val="right" w:leader="dot" w:pos="10416"/>
        </w:tabs>
        <w:spacing w:before="122" w:after="0" w:line="240" w:lineRule="auto"/>
        <w:ind w:left="1492" w:right="0" w:hanging="317"/>
        <w:jc w:val="left"/>
        <w:rPr>
          <w:sz w:val="21"/>
        </w:rPr>
      </w:pPr>
      <w:r>
        <w:rPr>
          <w:spacing w:val="-3"/>
          <w:sz w:val="21"/>
        </w:rPr>
        <w:t>规</w:t>
      </w:r>
      <w:r>
        <w:rPr>
          <w:sz w:val="21"/>
        </w:rPr>
        <w:t>范</w:t>
      </w:r>
      <w:r>
        <w:rPr>
          <w:spacing w:val="-3"/>
          <w:sz w:val="21"/>
        </w:rPr>
        <w:t>性</w:t>
      </w:r>
      <w:r>
        <w:rPr>
          <w:sz w:val="21"/>
        </w:rPr>
        <w:t>引</w:t>
      </w:r>
      <w:r>
        <w:rPr>
          <w:spacing w:val="-3"/>
          <w:sz w:val="21"/>
        </w:rPr>
        <w:t>用</w:t>
      </w:r>
      <w:r>
        <w:rPr>
          <w:sz w:val="21"/>
        </w:rPr>
        <w:t>文件</w:t>
      </w:r>
      <w:r>
        <w:rPr>
          <w:rFonts w:ascii="Times New Roman" w:eastAsia="Times New Roman"/>
          <w:sz w:val="21"/>
        </w:rPr>
        <w:tab/>
      </w:r>
      <w:r>
        <w:rPr>
          <w:sz w:val="21"/>
        </w:rPr>
        <w:t>1</w:t>
      </w:r>
    </w:p>
    <w:p>
      <w:pPr>
        <w:pStyle w:val="ListParagraph"/>
        <w:numPr>
          <w:ilvl w:val="0"/>
          <w:numId w:val="7"/>
        </w:numPr>
        <w:tabs>
          <w:tab w:val="left" w:pos="1493"/>
          <w:tab w:val="right" w:leader="dot" w:pos="10416"/>
        </w:tabs>
        <w:spacing w:before="120" w:after="0" w:line="240" w:lineRule="auto"/>
        <w:ind w:left="1492" w:right="0" w:hanging="317"/>
        <w:jc w:val="left"/>
        <w:rPr>
          <w:sz w:val="21"/>
        </w:rPr>
      </w:pPr>
      <w:r>
        <w:rPr>
          <w:spacing w:val="-3"/>
          <w:sz w:val="21"/>
        </w:rPr>
        <w:t>术</w:t>
      </w:r>
      <w:r>
        <w:rPr>
          <w:sz w:val="21"/>
        </w:rPr>
        <w:t>语</w:t>
      </w:r>
      <w:r>
        <w:rPr>
          <w:spacing w:val="-3"/>
          <w:sz w:val="21"/>
        </w:rPr>
        <w:t>和</w:t>
      </w:r>
      <w:r>
        <w:rPr>
          <w:sz w:val="21"/>
        </w:rPr>
        <w:t>定义</w:t>
      </w:r>
      <w:r>
        <w:rPr>
          <w:rFonts w:ascii="Times New Roman" w:eastAsia="Times New Roman"/>
          <w:sz w:val="21"/>
        </w:rPr>
        <w:tab/>
      </w:r>
      <w:r>
        <w:rPr>
          <w:sz w:val="21"/>
        </w:rPr>
        <w:t>1</w:t>
      </w:r>
    </w:p>
    <w:p>
      <w:pPr>
        <w:pStyle w:val="ListParagraph"/>
        <w:numPr>
          <w:ilvl w:val="0"/>
          <w:numId w:val="7"/>
        </w:numPr>
        <w:tabs>
          <w:tab w:val="left" w:pos="1493"/>
          <w:tab w:val="right" w:leader="dot" w:pos="10416"/>
        </w:tabs>
        <w:spacing w:before="122" w:after="0" w:line="240" w:lineRule="auto"/>
        <w:ind w:left="1492" w:right="0" w:hanging="317"/>
        <w:jc w:val="left"/>
        <w:rPr>
          <w:sz w:val="21"/>
        </w:rPr>
      </w:pPr>
      <w:r>
        <w:rPr>
          <w:spacing w:val="-3"/>
          <w:sz w:val="21"/>
        </w:rPr>
        <w:t>基</w:t>
      </w:r>
      <w:r>
        <w:rPr>
          <w:sz w:val="21"/>
        </w:rPr>
        <w:t>本</w:t>
      </w:r>
      <w:r>
        <w:rPr>
          <w:spacing w:val="-3"/>
          <w:sz w:val="21"/>
        </w:rPr>
        <w:t>要</w:t>
      </w:r>
      <w:r>
        <w:rPr>
          <w:sz w:val="21"/>
        </w:rPr>
        <w:t>求</w:t>
      </w:r>
      <w:r>
        <w:rPr>
          <w:rFonts w:ascii="Times New Roman" w:eastAsia="Times New Roman"/>
          <w:sz w:val="21"/>
        </w:rPr>
        <w:tab/>
      </w:r>
      <w:r>
        <w:rPr>
          <w:sz w:val="21"/>
        </w:rPr>
        <w:t>2</w:t>
      </w:r>
    </w:p>
    <w:p>
      <w:pPr>
        <w:pStyle w:val="ListParagraph"/>
        <w:numPr>
          <w:ilvl w:val="0"/>
          <w:numId w:val="7"/>
        </w:numPr>
        <w:tabs>
          <w:tab w:val="left" w:pos="1493"/>
          <w:tab w:val="right" w:leader="dot" w:pos="10416"/>
        </w:tabs>
        <w:spacing w:before="120" w:after="0" w:line="240" w:lineRule="auto"/>
        <w:ind w:left="1492" w:right="0" w:hanging="317"/>
        <w:jc w:val="left"/>
        <w:rPr>
          <w:sz w:val="21"/>
        </w:rPr>
      </w:pPr>
      <w:r>
        <w:rPr>
          <w:spacing w:val="-3"/>
          <w:sz w:val="21"/>
        </w:rPr>
        <w:t>岗</w:t>
      </w:r>
      <w:r>
        <w:rPr>
          <w:sz w:val="21"/>
        </w:rPr>
        <w:t>位</w:t>
      </w:r>
      <w:r>
        <w:rPr>
          <w:spacing w:val="-3"/>
          <w:sz w:val="21"/>
        </w:rPr>
        <w:t>职</w:t>
      </w:r>
      <w:r>
        <w:rPr>
          <w:sz w:val="21"/>
        </w:rPr>
        <w:t>责</w:t>
      </w:r>
      <w:r>
        <w:rPr>
          <w:rFonts w:ascii="Times New Roman" w:eastAsia="Times New Roman"/>
          <w:sz w:val="21"/>
        </w:rPr>
        <w:tab/>
      </w:r>
      <w:r>
        <w:rPr>
          <w:sz w:val="21"/>
        </w:rPr>
        <w:t>2</w:t>
      </w:r>
    </w:p>
    <w:p>
      <w:pPr>
        <w:pStyle w:val="ListParagraph"/>
        <w:numPr>
          <w:ilvl w:val="0"/>
          <w:numId w:val="7"/>
        </w:numPr>
        <w:tabs>
          <w:tab w:val="left" w:pos="1493"/>
          <w:tab w:val="right" w:leader="dot" w:pos="10416"/>
        </w:tabs>
        <w:spacing w:before="122" w:after="0" w:line="240" w:lineRule="auto"/>
        <w:ind w:left="1492" w:right="0" w:hanging="317"/>
        <w:jc w:val="left"/>
        <w:rPr>
          <w:sz w:val="21"/>
        </w:rPr>
      </w:pPr>
      <w:r>
        <w:rPr>
          <w:spacing w:val="-3"/>
          <w:sz w:val="21"/>
        </w:rPr>
        <w:t>安</w:t>
      </w:r>
      <w:r>
        <w:rPr>
          <w:sz w:val="21"/>
        </w:rPr>
        <w:t>全</w:t>
      </w:r>
      <w:r>
        <w:rPr>
          <w:spacing w:val="-3"/>
          <w:sz w:val="21"/>
        </w:rPr>
        <w:t>管</w:t>
      </w:r>
      <w:r>
        <w:rPr>
          <w:sz w:val="21"/>
        </w:rPr>
        <w:t>理</w:t>
      </w:r>
      <w:r>
        <w:rPr>
          <w:spacing w:val="-3"/>
          <w:sz w:val="21"/>
        </w:rPr>
        <w:t>制</w:t>
      </w:r>
      <w:r>
        <w:rPr>
          <w:sz w:val="21"/>
        </w:rPr>
        <w:t>度</w:t>
      </w:r>
      <w:r>
        <w:rPr>
          <w:rFonts w:ascii="Times New Roman" w:eastAsia="Times New Roman"/>
          <w:sz w:val="21"/>
        </w:rPr>
        <w:tab/>
      </w:r>
      <w:r>
        <w:rPr>
          <w:sz w:val="21"/>
        </w:rPr>
        <w:t>3</w:t>
      </w:r>
    </w:p>
    <w:p>
      <w:pPr>
        <w:pStyle w:val="ListParagraph"/>
        <w:numPr>
          <w:ilvl w:val="0"/>
          <w:numId w:val="7"/>
        </w:numPr>
        <w:tabs>
          <w:tab w:val="left" w:pos="1493"/>
          <w:tab w:val="right" w:leader="dot" w:pos="10416"/>
        </w:tabs>
        <w:spacing w:before="119" w:after="0" w:line="240" w:lineRule="auto"/>
        <w:ind w:left="1492" w:right="0" w:hanging="317"/>
        <w:jc w:val="left"/>
        <w:rPr>
          <w:sz w:val="21"/>
        </w:rPr>
      </w:pPr>
      <w:r>
        <w:rPr>
          <w:spacing w:val="-3"/>
          <w:sz w:val="21"/>
        </w:rPr>
        <w:t>维</w:t>
      </w:r>
      <w:r>
        <w:rPr>
          <w:sz w:val="21"/>
        </w:rPr>
        <w:t>护</w:t>
      </w:r>
      <w:r>
        <w:rPr>
          <w:spacing w:val="-3"/>
          <w:sz w:val="21"/>
        </w:rPr>
        <w:t>保</w:t>
      </w:r>
      <w:r>
        <w:rPr>
          <w:sz w:val="21"/>
        </w:rPr>
        <w:t>养</w:t>
      </w:r>
      <w:r>
        <w:rPr>
          <w:spacing w:val="-3"/>
          <w:sz w:val="21"/>
        </w:rPr>
        <w:t>和</w:t>
      </w:r>
      <w:r>
        <w:rPr>
          <w:sz w:val="21"/>
        </w:rPr>
        <w:t>检查</w:t>
      </w:r>
      <w:r>
        <w:rPr>
          <w:rFonts w:ascii="Times New Roman" w:eastAsia="Times New Roman"/>
          <w:sz w:val="21"/>
        </w:rPr>
        <w:tab/>
      </w:r>
      <w:r>
        <w:rPr>
          <w:sz w:val="21"/>
        </w:rPr>
        <w:t>4</w:t>
      </w:r>
    </w:p>
    <w:p>
      <w:pPr>
        <w:pStyle w:val="BodyText"/>
        <w:tabs>
          <w:tab w:val="right" w:leader="dot" w:pos="10416"/>
        </w:tabs>
        <w:spacing w:before="123"/>
        <w:ind w:left="1176"/>
      </w:pPr>
      <w:r>
        <w:t>附录</w:t>
      </w:r>
      <w:r>
        <w:rPr>
          <w:spacing w:val="-53"/>
        </w:rPr>
        <w:t xml:space="preserve"> </w:t>
      </w:r>
      <w:r>
        <w:t>A</w:t>
      </w:r>
      <w:r>
        <w:rPr>
          <w:spacing w:val="104"/>
        </w:rPr>
        <w:t xml:space="preserve"> </w:t>
      </w:r>
      <w:r>
        <w:rPr>
          <w:spacing w:val="-3"/>
        </w:rPr>
        <w:t>（</w:t>
      </w:r>
      <w:r>
        <w:t>资</w:t>
      </w:r>
      <w:r>
        <w:rPr>
          <w:spacing w:val="-3"/>
        </w:rPr>
        <w:t>料</w:t>
      </w:r>
      <w:r>
        <w:t>性）</w:t>
      </w:r>
      <w:r>
        <w:rPr>
          <w:spacing w:val="104"/>
        </w:rPr>
        <w:t xml:space="preserve"> </w:t>
      </w:r>
      <w:r>
        <w:rPr>
          <w:spacing w:val="-3"/>
        </w:rPr>
        <w:t>叉</w:t>
      </w:r>
      <w:r>
        <w:t>车检</w:t>
      </w:r>
      <w:r>
        <w:rPr>
          <w:spacing w:val="-3"/>
        </w:rPr>
        <w:t>查</w:t>
      </w:r>
      <w:r>
        <w:t>项</w:t>
      </w:r>
      <w:r>
        <w:rPr>
          <w:spacing w:val="-3"/>
        </w:rPr>
        <w:t>目</w:t>
      </w:r>
      <w:r>
        <w:t>、</w:t>
      </w:r>
      <w:r>
        <w:rPr>
          <w:spacing w:val="-3"/>
        </w:rPr>
        <w:t>基</w:t>
      </w:r>
      <w:r>
        <w:t>本</w:t>
      </w:r>
      <w:r>
        <w:rPr>
          <w:spacing w:val="-3"/>
        </w:rPr>
        <w:t>内</w:t>
      </w:r>
      <w:r>
        <w:t>容</w:t>
      </w:r>
      <w:r>
        <w:rPr>
          <w:spacing w:val="-3"/>
        </w:rPr>
        <w:t>与</w:t>
      </w:r>
      <w:r>
        <w:t>要求</w:t>
      </w:r>
      <w:r>
        <w:rPr>
          <w:rFonts w:ascii="Times New Roman" w:eastAsia="Times New Roman"/>
        </w:rPr>
        <w:tab/>
      </w:r>
      <w:r>
        <w:t>5</w:t>
      </w:r>
    </w:p>
    <w:p>
      <w:pPr>
        <w:pStyle w:val="BodyText"/>
        <w:tabs>
          <w:tab w:val="right" w:leader="dot" w:pos="10416"/>
        </w:tabs>
        <w:spacing w:before="119"/>
        <w:ind w:left="1176"/>
      </w:pPr>
      <w:r>
        <w:t>附录</w:t>
      </w:r>
      <w:r>
        <w:rPr>
          <w:spacing w:val="-53"/>
        </w:rPr>
        <w:t xml:space="preserve"> </w:t>
      </w:r>
      <w:r>
        <w:t xml:space="preserve">B </w:t>
      </w:r>
      <w:r>
        <w:rPr>
          <w:spacing w:val="1"/>
        </w:rPr>
        <w:t xml:space="preserve"> </w:t>
      </w:r>
      <w:r>
        <w:rPr>
          <w:spacing w:val="-3"/>
        </w:rPr>
        <w:t>（</w:t>
      </w:r>
      <w:r>
        <w:t>资</w:t>
      </w:r>
      <w:r>
        <w:rPr>
          <w:spacing w:val="-3"/>
        </w:rPr>
        <w:t>料</w:t>
      </w:r>
      <w:r>
        <w:t xml:space="preserve">性） </w:t>
      </w:r>
      <w:r>
        <w:rPr>
          <w:spacing w:val="1"/>
        </w:rPr>
        <w:t xml:space="preserve"> </w:t>
      </w:r>
      <w:r>
        <w:rPr>
          <w:spacing w:val="-3"/>
        </w:rPr>
        <w:t>非</w:t>
      </w:r>
      <w:r>
        <w:t>公路</w:t>
      </w:r>
      <w:r>
        <w:rPr>
          <w:spacing w:val="-3"/>
        </w:rPr>
        <w:t>用</w:t>
      </w:r>
      <w:r>
        <w:t>旅</w:t>
      </w:r>
      <w:r>
        <w:rPr>
          <w:spacing w:val="-3"/>
        </w:rPr>
        <w:t>游</w:t>
      </w:r>
      <w:r>
        <w:t>观</w:t>
      </w:r>
      <w:r>
        <w:rPr>
          <w:spacing w:val="-3"/>
        </w:rPr>
        <w:t>光</w:t>
      </w:r>
      <w:r>
        <w:t>车</w:t>
      </w:r>
      <w:r>
        <w:rPr>
          <w:spacing w:val="-3"/>
        </w:rPr>
        <w:t>辆</w:t>
      </w:r>
      <w:r>
        <w:t>检</w:t>
      </w:r>
      <w:r>
        <w:rPr>
          <w:spacing w:val="-3"/>
        </w:rPr>
        <w:t>查</w:t>
      </w:r>
      <w:r>
        <w:t>项目</w:t>
      </w:r>
      <w:r>
        <w:rPr>
          <w:spacing w:val="-3"/>
        </w:rPr>
        <w:t>、</w:t>
      </w:r>
      <w:r>
        <w:t>基</w:t>
      </w:r>
      <w:r>
        <w:rPr>
          <w:spacing w:val="-3"/>
        </w:rPr>
        <w:t>本</w:t>
      </w:r>
      <w:r>
        <w:t>内</w:t>
      </w:r>
      <w:r>
        <w:rPr>
          <w:spacing w:val="-3"/>
        </w:rPr>
        <w:t>容</w:t>
      </w:r>
      <w:r>
        <w:t>与</w:t>
      </w:r>
      <w:r>
        <w:rPr>
          <w:spacing w:val="-3"/>
        </w:rPr>
        <w:t>要</w:t>
      </w:r>
      <w:r>
        <w:t>求</w:t>
      </w:r>
      <w:r>
        <w:rPr>
          <w:rFonts w:ascii="Times New Roman" w:eastAsia="Times New Roman"/>
        </w:rPr>
        <w:tab/>
      </w:r>
      <w:r>
        <w:t>12</w:t>
      </w:r>
    </w:p>
    <w:p>
      <w:pPr>
        <w:pStyle w:val="BodyText"/>
        <w:tabs>
          <w:tab w:val="right" w:leader="dot" w:pos="10416"/>
        </w:tabs>
        <w:spacing w:before="122"/>
        <w:ind w:left="1176"/>
      </w:pPr>
      <w:r>
        <w:drawing>
          <wp:anchor distT="0" distB="0" distL="0" distR="0" simplePos="0" relativeHeight="251662336" behindDoc="0" locked="0" layoutInCell="1" allowOverlap="1">
            <wp:simplePos x="0" y="0"/>
            <wp:positionH relativeFrom="page">
              <wp:posOffset>215900</wp:posOffset>
            </wp:positionH>
            <wp:positionV relativeFrom="paragraph">
              <wp:posOffset>562461</wp:posOffset>
            </wp:positionV>
            <wp:extent cx="7112000" cy="487680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参考</w:t>
      </w:r>
      <w:r>
        <w:rPr>
          <w:spacing w:val="-3"/>
        </w:rPr>
        <w:t>文</w:t>
      </w:r>
      <w:r>
        <w:t>献</w:t>
      </w:r>
      <w:r>
        <w:rPr>
          <w:rFonts w:ascii="Times New Roman" w:eastAsia="Times New Roman"/>
        </w:rPr>
        <w:tab/>
      </w:r>
      <w:r>
        <w:t>17</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0"/>
        </w:rPr>
      </w:pPr>
      <w:r>
        <w:pict>
          <v:shape id="_x0000_s1035" type="#_x0000_t202" style="width:5.5pt;height:9pt;margin-top:15.1pt;margin-left:524.05pt;mso-position-horizontal-relative:page;mso-wrap-distance-left:0;mso-wrap-distance-right:0;position:absolute;z-index:-251653120" filled="f" stroked="f">
            <v:textbox inset="0,0,0,0">
              <w:txbxContent>
                <w:p>
                  <w:pPr>
                    <w:spacing w:before="0" w:line="180" w:lineRule="exact"/>
                    <w:ind w:left="0" w:right="0" w:firstLine="0"/>
                    <w:jc w:val="left"/>
                    <w:rPr>
                      <w:sz w:val="18"/>
                    </w:rPr>
                  </w:pPr>
                  <w:r>
                    <w:rPr>
                      <w:sz w:val="18"/>
                    </w:rPr>
                    <w:t>I</w:t>
                  </w:r>
                </w:p>
              </w:txbxContent>
            </v:textbox>
            <w10:wrap type="topAndBottom"/>
          </v:shape>
        </w:pict>
      </w:r>
    </w:p>
    <w:p>
      <w:pPr>
        <w:spacing w:after="0"/>
        <w:rPr>
          <w:sz w:val="20"/>
        </w:rPr>
        <w:sectPr>
          <w:headerReference w:type="even" r:id="rId6"/>
          <w:headerReference w:type="default" r:id="rId7"/>
          <w:pgSz w:w="11910" w:h="16840"/>
          <w:pgMar w:top="1660" w:right="260" w:bottom="280" w:left="240" w:header="1441" w:footer="0"/>
          <w:pgNumType w:start="3"/>
          <w:cols w:space="708"/>
        </w:sectPr>
      </w:pPr>
    </w:p>
    <w:p>
      <w:pPr>
        <w:pStyle w:val="BodyText"/>
        <w:rPr>
          <w:sz w:val="20"/>
        </w:rPr>
      </w:pPr>
    </w:p>
    <w:p>
      <w:pPr>
        <w:pStyle w:val="BodyText"/>
        <w:rPr>
          <w:sz w:val="20"/>
        </w:rPr>
      </w:pPr>
    </w:p>
    <w:p>
      <w:pPr>
        <w:pStyle w:val="BodyText"/>
        <w:rPr>
          <w:sz w:val="20"/>
        </w:rPr>
      </w:pPr>
    </w:p>
    <w:p>
      <w:pPr>
        <w:tabs>
          <w:tab w:val="left" w:pos="959"/>
        </w:tabs>
        <w:spacing w:before="212"/>
        <w:ind w:left="0" w:right="264" w:firstLine="0"/>
        <w:jc w:val="center"/>
        <w:rPr>
          <w:rFonts w:ascii="黑体" w:eastAsia="黑体" w:hint="eastAsia"/>
          <w:sz w:val="32"/>
        </w:rPr>
      </w:pPr>
      <w:r>
        <w:rPr>
          <w:rFonts w:ascii="黑体" w:eastAsia="黑体" w:hint="eastAsia"/>
          <w:sz w:val="32"/>
        </w:rPr>
        <w:t>前</w:t>
        <w:tab/>
        <w:t>言</w:t>
      </w:r>
    </w:p>
    <w:p>
      <w:pPr>
        <w:pStyle w:val="BodyText"/>
        <w:rPr>
          <w:rFonts w:ascii="黑体"/>
          <w:sz w:val="32"/>
        </w:rPr>
      </w:pPr>
    </w:p>
    <w:p>
      <w:pPr>
        <w:pStyle w:val="BodyText"/>
        <w:spacing w:before="281" w:line="278" w:lineRule="auto"/>
        <w:ind w:left="892" w:right="1153" w:firstLine="419"/>
      </w:pPr>
      <w:r>
        <w:t>本文件按照GB/T 1.1-2020《标准化工作导则 第1部分：标准化文件的结构和起草规则》的规定起草。</w:t>
      </w:r>
    </w:p>
    <w:p>
      <w:pPr>
        <w:pStyle w:val="BodyText"/>
        <w:spacing w:line="278" w:lineRule="auto"/>
        <w:ind w:left="1312" w:right="2314"/>
      </w:pPr>
      <w:r>
        <w:t>请注意本文件的某些内容可能涉及专利。本文件的发布机构不承担识别专利的责任。本文件由青海省特种设备检验检测院提出。</w:t>
      </w:r>
    </w:p>
    <w:p>
      <w:pPr>
        <w:pStyle w:val="BodyText"/>
        <w:ind w:left="1312"/>
      </w:pPr>
      <w:r>
        <w:t>本文件由青海省市场监督管理局归口。</w:t>
      </w:r>
    </w:p>
    <w:p>
      <w:pPr>
        <w:pStyle w:val="BodyText"/>
        <w:spacing w:before="42" w:line="278" w:lineRule="auto"/>
        <w:ind w:left="892" w:right="1155" w:firstLine="419"/>
      </w:pPr>
      <w:r>
        <w:rPr>
          <w:spacing w:val="-10"/>
        </w:rPr>
        <w:t>本文件起草单位：青海省特种设备检验检测院、中国特种设备检测研究院、青海中特检特种设备检</w:t>
      </w:r>
      <w:r>
        <w:rPr>
          <w:spacing w:val="-5"/>
        </w:rPr>
        <w:t>测有限公司、西宁新华联童梦乐园有限公司。</w:t>
      </w:r>
    </w:p>
    <w:p>
      <w:pPr>
        <w:pStyle w:val="BodyText"/>
        <w:spacing w:line="278" w:lineRule="auto"/>
        <w:ind w:left="892" w:right="1044" w:firstLine="419"/>
      </w:pPr>
      <w:r>
        <w:rPr>
          <w:spacing w:val="-15"/>
        </w:rPr>
        <w:t>本文件主要起草人：曹生宁、张玉、李恒、侯海俊、陈存良、张焜、罗永福、房晟、李阳川、曹珂、</w:t>
      </w:r>
      <w:r>
        <w:rPr>
          <w:spacing w:val="-9"/>
        </w:rPr>
        <w:t>潘云峰。</w:t>
      </w:r>
    </w:p>
    <w:p>
      <w:pPr>
        <w:pStyle w:val="BodyText"/>
        <w:spacing w:line="269" w:lineRule="exact"/>
        <w:ind w:left="1312"/>
      </w:pPr>
      <w:r>
        <w:drawing>
          <wp:anchor distT="0" distB="0" distL="0" distR="0" simplePos="0" relativeHeight="251664384" behindDoc="0" locked="0" layoutInCell="1" allowOverlap="1">
            <wp:simplePos x="0" y="0"/>
            <wp:positionH relativeFrom="page">
              <wp:posOffset>215900</wp:posOffset>
            </wp:positionH>
            <wp:positionV relativeFrom="paragraph">
              <wp:posOffset>1074600</wp:posOffset>
            </wp:positionV>
            <wp:extent cx="7112000" cy="48768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本文件由青海省市场监督管理局监督实施</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3"/>
        </w:rPr>
      </w:pPr>
      <w:r>
        <w:pict>
          <v:shape id="_x0000_s1036" type="#_x0000_t202" style="width:10.1pt;height:9pt;margin-top:10.29pt;margin-left:67.68pt;mso-position-horizontal-relative:page;mso-wrap-distance-left:0;mso-wrap-distance-right:0;position:absolute;z-index:-251651072" filled="f" stroked="f">
            <v:textbox inset="0,0,0,0">
              <w:txbxContent>
                <w:p>
                  <w:pPr>
                    <w:spacing w:before="0" w:line="180" w:lineRule="exact"/>
                    <w:ind w:left="0" w:right="0" w:firstLine="0"/>
                    <w:jc w:val="left"/>
                    <w:rPr>
                      <w:sz w:val="18"/>
                    </w:rPr>
                  </w:pPr>
                  <w:r>
                    <w:rPr>
                      <w:sz w:val="18"/>
                    </w:rPr>
                    <w:t>II</w:t>
                  </w:r>
                </w:p>
              </w:txbxContent>
            </v:textbox>
            <w10:wrap type="topAndBottom"/>
          </v:shape>
        </w:pict>
      </w:r>
    </w:p>
    <w:p>
      <w:pPr>
        <w:spacing w:after="0"/>
        <w:rPr>
          <w:sz w:val="13"/>
        </w:rPr>
        <w:sectPr>
          <w:headerReference w:type="even" r:id="rId8"/>
          <w:headerReference w:type="default" r:id="rId9"/>
          <w:pgSz w:w="11910" w:h="16840"/>
          <w:pgMar w:top="1660" w:right="260" w:bottom="280" w:left="240" w:header="1441" w:footer="0"/>
          <w:pgNumType w:start="4"/>
          <w:cols w:space="708"/>
        </w:sectPr>
      </w:pPr>
    </w:p>
    <w:p>
      <w:pPr>
        <w:pStyle w:val="BodyText"/>
        <w:rPr>
          <w:sz w:val="20"/>
        </w:rPr>
      </w:pPr>
    </w:p>
    <w:p>
      <w:pPr>
        <w:pStyle w:val="BodyText"/>
        <w:rPr>
          <w:sz w:val="20"/>
        </w:rPr>
      </w:pPr>
    </w:p>
    <w:p>
      <w:pPr>
        <w:pStyle w:val="BodyText"/>
        <w:spacing w:before="10"/>
        <w:rPr>
          <w:sz w:val="27"/>
        </w:rPr>
      </w:pPr>
    </w:p>
    <w:p>
      <w:pPr>
        <w:pStyle w:val="Heading1"/>
        <w:ind w:left="296"/>
      </w:pPr>
      <w:r>
        <w:t>场（厂）内专用机动车辆使用管理规范</w:t>
      </w:r>
    </w:p>
    <w:p>
      <w:pPr>
        <w:pStyle w:val="BodyText"/>
        <w:rPr>
          <w:rFonts w:ascii="黑体"/>
          <w:sz w:val="20"/>
        </w:rPr>
      </w:pPr>
    </w:p>
    <w:p>
      <w:pPr>
        <w:pStyle w:val="BodyText"/>
        <w:spacing w:before="1"/>
        <w:rPr>
          <w:rFonts w:ascii="黑体"/>
          <w:sz w:val="20"/>
        </w:rPr>
      </w:pPr>
    </w:p>
    <w:p>
      <w:pPr>
        <w:pStyle w:val="ListParagraph"/>
        <w:numPr>
          <w:ilvl w:val="0"/>
          <w:numId w:val="8"/>
        </w:numPr>
        <w:tabs>
          <w:tab w:val="left" w:pos="1491"/>
        </w:tabs>
        <w:spacing w:before="72" w:after="0" w:line="240" w:lineRule="auto"/>
        <w:ind w:left="1490" w:right="0" w:hanging="315"/>
        <w:jc w:val="left"/>
        <w:rPr>
          <w:rFonts w:ascii="黑体" w:eastAsia="黑体" w:hint="eastAsia"/>
          <w:sz w:val="21"/>
        </w:rPr>
      </w:pPr>
      <w:r>
        <w:rPr>
          <w:rFonts w:ascii="黑体" w:eastAsia="黑体" w:hint="eastAsia"/>
          <w:sz w:val="21"/>
        </w:rPr>
        <w:t>范围</w:t>
      </w:r>
    </w:p>
    <w:p>
      <w:pPr>
        <w:pStyle w:val="BodyText"/>
        <w:spacing w:before="8"/>
        <w:rPr>
          <w:rFonts w:ascii="黑体"/>
          <w:sz w:val="27"/>
        </w:rPr>
      </w:pPr>
    </w:p>
    <w:p>
      <w:pPr>
        <w:pStyle w:val="BodyText"/>
        <w:spacing w:line="278" w:lineRule="auto"/>
        <w:ind w:left="1595" w:right="1400"/>
      </w:pPr>
      <w:r>
        <w:t>本文件规定了场（厂）内专用机动车辆使用管理和维护保养应遵循的基本要求和具体内容。本文件适用于列入《特种设备目录》的场（厂）内专用机动车辆。</w:t>
      </w:r>
    </w:p>
    <w:p>
      <w:pPr>
        <w:pStyle w:val="BodyText"/>
        <w:spacing w:before="7"/>
        <w:rPr>
          <w:sz w:val="24"/>
        </w:rPr>
      </w:pPr>
    </w:p>
    <w:p>
      <w:pPr>
        <w:pStyle w:val="ListParagraph"/>
        <w:numPr>
          <w:ilvl w:val="0"/>
          <w:numId w:val="8"/>
        </w:numPr>
        <w:tabs>
          <w:tab w:val="left" w:pos="1491"/>
        </w:tabs>
        <w:spacing w:before="0" w:after="0" w:line="240" w:lineRule="auto"/>
        <w:ind w:left="1490" w:right="0" w:hanging="315"/>
        <w:jc w:val="left"/>
        <w:rPr>
          <w:rFonts w:ascii="黑体" w:eastAsia="黑体" w:hint="eastAsia"/>
          <w:sz w:val="21"/>
        </w:rPr>
      </w:pPr>
      <w:r>
        <w:rPr>
          <w:rFonts w:ascii="黑体" w:eastAsia="黑体" w:hint="eastAsia"/>
          <w:spacing w:val="-2"/>
          <w:sz w:val="21"/>
        </w:rPr>
        <w:t>规范性引用文件</w:t>
      </w:r>
    </w:p>
    <w:p>
      <w:pPr>
        <w:pStyle w:val="BodyText"/>
        <w:spacing w:before="7"/>
        <w:rPr>
          <w:rFonts w:ascii="黑体"/>
          <w:sz w:val="27"/>
        </w:rPr>
      </w:pPr>
    </w:p>
    <w:p>
      <w:pPr>
        <w:pStyle w:val="BodyText"/>
        <w:spacing w:line="278" w:lineRule="auto"/>
        <w:ind w:left="1176" w:right="867" w:firstLine="419"/>
        <w:jc w:val="both"/>
      </w:pPr>
      <w:r>
        <w:rPr>
          <w:spacing w:val="-8"/>
        </w:rPr>
        <w:t>下列文件中的内容通过文中的规范性引用而构成本文件必不可少的条款。其中，注日期的引用文件</w:t>
      </w:r>
      <w:r>
        <w:rPr>
          <w:rFonts w:ascii="Times New Roman" w:eastAsia="Times New Roman"/>
        </w:rPr>
        <w:t xml:space="preserve">, </w:t>
      </w:r>
      <w:r>
        <w:rPr>
          <w:spacing w:val="-7"/>
        </w:rPr>
        <w:t>仅该日期对应的版本适用于本文件；不注日期的引用文件，其最新版本</w:t>
      </w:r>
      <w:r>
        <w:t>（</w:t>
      </w:r>
      <w:r>
        <w:rPr>
          <w:spacing w:val="-3"/>
        </w:rPr>
        <w:t>包括所有的修改单</w:t>
      </w:r>
      <w:r>
        <w:rPr>
          <w:spacing w:val="-25"/>
        </w:rPr>
        <w:t>）</w:t>
      </w:r>
      <w:r>
        <w:rPr>
          <w:spacing w:val="-3"/>
        </w:rPr>
        <w:t>适用于本文件。</w:t>
      </w:r>
    </w:p>
    <w:p>
      <w:pPr>
        <w:pStyle w:val="BodyText"/>
        <w:tabs>
          <w:tab w:val="left" w:pos="2956"/>
        </w:tabs>
        <w:spacing w:line="269" w:lineRule="exact"/>
        <w:ind w:left="1595"/>
      </w:pPr>
      <w:r>
        <w:rPr>
          <w:rFonts w:ascii="Times New Roman" w:eastAsia="Times New Roman"/>
        </w:rPr>
        <w:t>TSG 08-2017</w:t>
        <w:tab/>
      </w:r>
      <w:r>
        <w:rPr>
          <w:spacing w:val="-3"/>
        </w:rPr>
        <w:t>特种设备使用管理规则</w:t>
      </w:r>
    </w:p>
    <w:p>
      <w:pPr>
        <w:pStyle w:val="BodyText"/>
        <w:tabs>
          <w:tab w:val="left" w:pos="2956"/>
        </w:tabs>
        <w:spacing w:before="43"/>
        <w:ind w:left="1595"/>
      </w:pPr>
      <w:r>
        <w:rPr>
          <w:rFonts w:ascii="Times New Roman" w:eastAsia="Times New Roman"/>
        </w:rPr>
        <w:t>TSG 81-2022</w:t>
        <w:tab/>
      </w:r>
      <w:r>
        <w:rPr>
          <w:spacing w:val="-3"/>
        </w:rPr>
        <w:t>场</w:t>
      </w:r>
      <w:r>
        <w:t>（</w:t>
      </w:r>
      <w:r>
        <w:rPr>
          <w:spacing w:val="-3"/>
        </w:rPr>
        <w:t>厂</w:t>
      </w:r>
      <w:r>
        <w:t>）</w:t>
      </w:r>
      <w:r>
        <w:rPr>
          <w:spacing w:val="-3"/>
        </w:rPr>
        <w:t>内专用机动车辆安全技术规程</w:t>
      </w:r>
    </w:p>
    <w:p>
      <w:pPr>
        <w:pStyle w:val="BodyText"/>
        <w:spacing w:before="11"/>
        <w:rPr>
          <w:sz w:val="27"/>
        </w:rPr>
      </w:pPr>
    </w:p>
    <w:p>
      <w:pPr>
        <w:pStyle w:val="ListParagraph"/>
        <w:numPr>
          <w:ilvl w:val="0"/>
          <w:numId w:val="8"/>
        </w:numPr>
        <w:tabs>
          <w:tab w:val="left" w:pos="1491"/>
        </w:tabs>
        <w:spacing w:before="0" w:after="0" w:line="240" w:lineRule="auto"/>
        <w:ind w:left="1490" w:right="0" w:hanging="315"/>
        <w:jc w:val="left"/>
        <w:rPr>
          <w:rFonts w:ascii="黑体" w:eastAsia="黑体" w:hint="eastAsia"/>
          <w:sz w:val="21"/>
        </w:rPr>
      </w:pPr>
      <w:r>
        <w:drawing>
          <wp:anchor distT="0" distB="0" distL="0" distR="0" simplePos="0" relativeHeight="251666432" behindDoc="0" locked="0" layoutInCell="1" allowOverlap="1">
            <wp:simplePos x="0" y="0"/>
            <wp:positionH relativeFrom="page">
              <wp:posOffset>215900</wp:posOffset>
            </wp:positionH>
            <wp:positionV relativeFrom="paragraph">
              <wp:posOffset>384407</wp:posOffset>
            </wp:positionV>
            <wp:extent cx="7112000" cy="48768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rFonts w:ascii="黑体" w:eastAsia="黑体" w:hint="eastAsia"/>
          <w:spacing w:val="-1"/>
          <w:sz w:val="21"/>
        </w:rPr>
        <w:t>术语和定义</w:t>
      </w:r>
    </w:p>
    <w:p>
      <w:pPr>
        <w:pStyle w:val="BodyText"/>
        <w:spacing w:before="3"/>
        <w:rPr>
          <w:rFonts w:ascii="黑体"/>
          <w:sz w:val="23"/>
        </w:rPr>
      </w:pPr>
      <w:r>
        <w:pict>
          <v:shape id="_x0000_s1037" type="#_x0000_t202" style="width:560pt;height:384pt;margin-top:16.84pt;margin-left:17pt;mso-position-horizontal-relative:page;mso-wrap-distance-left:0;mso-wrap-distance-right:0;position:absolute;z-index:-251649024" filled="f" stroked="f">
            <v:textbox inset="0,0,0,0">
              <w:txbxContent>
                <w:p>
                  <w:pPr>
                    <w:pStyle w:val="BodyText"/>
                    <w:spacing w:before="16"/>
                    <w:ind w:left="1495"/>
                  </w:pPr>
                  <w:r>
                    <w:t>下列术语和定义适用于本文件。</w:t>
                  </w:r>
                </w:p>
                <w:p>
                  <w:pPr>
                    <w:pStyle w:val="BodyText"/>
                    <w:spacing w:before="6"/>
                    <w:rPr>
                      <w:sz w:val="15"/>
                    </w:rPr>
                  </w:pPr>
                </w:p>
                <w:p>
                  <w:pPr>
                    <w:pStyle w:val="BodyText"/>
                    <w:spacing w:before="1"/>
                    <w:ind w:left="1076"/>
                    <w:rPr>
                      <w:rFonts w:ascii="黑体"/>
                    </w:rPr>
                  </w:pPr>
                  <w:r>
                    <w:rPr>
                      <w:rFonts w:ascii="黑体"/>
                    </w:rPr>
                    <w:t>3.1</w:t>
                  </w:r>
                </w:p>
                <w:p>
                  <w:pPr>
                    <w:pStyle w:val="BodyText"/>
                    <w:spacing w:before="6"/>
                    <w:rPr>
                      <w:rFonts w:ascii="黑体"/>
                      <w:sz w:val="15"/>
                    </w:rPr>
                  </w:pPr>
                </w:p>
                <w:p>
                  <w:pPr>
                    <w:pStyle w:val="BodyText"/>
                    <w:ind w:left="1495"/>
                    <w:rPr>
                      <w:rFonts w:ascii="黑体" w:eastAsia="黑体" w:hint="eastAsia"/>
                    </w:rPr>
                  </w:pPr>
                  <w:r>
                    <w:rPr>
                      <w:rFonts w:ascii="黑体" w:eastAsia="黑体" w:hint="eastAsia"/>
                    </w:rPr>
                    <w:t>场（厂）内专用机动车辆（场车）</w:t>
                  </w:r>
                </w:p>
                <w:p>
                  <w:pPr>
                    <w:pStyle w:val="BodyText"/>
                    <w:spacing w:before="7"/>
                    <w:rPr>
                      <w:rFonts w:ascii="黑体"/>
                      <w:sz w:val="15"/>
                    </w:rPr>
                  </w:pPr>
                </w:p>
                <w:p>
                  <w:pPr>
                    <w:pStyle w:val="BodyText"/>
                    <w:spacing w:line="278" w:lineRule="auto"/>
                    <w:ind w:left="1076" w:right="665" w:firstLine="419"/>
                  </w:pPr>
                  <w:r>
                    <w:t>除道路交通、农用车辆以外仅在工厂厂区、旅游景区、游乐场所等特定区域使用的专用机动车辆， 包括叉车和非公路用旅游观光车辆。</w:t>
                  </w:r>
                </w:p>
                <w:p>
                  <w:pPr>
                    <w:pStyle w:val="BodyText"/>
                    <w:spacing w:before="156"/>
                    <w:ind w:left="1076"/>
                    <w:rPr>
                      <w:rFonts w:ascii="黑体"/>
                    </w:rPr>
                  </w:pPr>
                  <w:r>
                    <w:rPr>
                      <w:rFonts w:ascii="黑体"/>
                    </w:rPr>
                    <w:t>3.2</w:t>
                  </w:r>
                </w:p>
                <w:p>
                  <w:pPr>
                    <w:pStyle w:val="BodyText"/>
                    <w:spacing w:before="7"/>
                    <w:rPr>
                      <w:rFonts w:ascii="黑体"/>
                      <w:sz w:val="15"/>
                    </w:rPr>
                  </w:pPr>
                </w:p>
                <w:p>
                  <w:pPr>
                    <w:pStyle w:val="BodyText"/>
                    <w:ind w:left="1495"/>
                    <w:rPr>
                      <w:rFonts w:ascii="黑体" w:eastAsia="黑体" w:hint="eastAsia"/>
                    </w:rPr>
                  </w:pPr>
                  <w:r>
                    <w:rPr>
                      <w:rFonts w:ascii="黑体" w:eastAsia="黑体" w:hint="eastAsia"/>
                    </w:rPr>
                    <w:t>使用单位</w:t>
                  </w:r>
                </w:p>
                <w:p>
                  <w:pPr>
                    <w:pStyle w:val="BodyText"/>
                    <w:spacing w:before="6"/>
                    <w:rPr>
                      <w:rFonts w:ascii="黑体"/>
                      <w:sz w:val="15"/>
                    </w:rPr>
                  </w:pPr>
                </w:p>
                <w:p>
                  <w:pPr>
                    <w:pStyle w:val="BodyText"/>
                    <w:spacing w:line="278" w:lineRule="auto"/>
                    <w:ind w:left="1076" w:right="761" w:firstLine="419"/>
                    <w:jc w:val="both"/>
                  </w:pPr>
                  <w:r>
                    <w:rPr>
                      <w:spacing w:val="-9"/>
                    </w:rPr>
                    <w:t>具有场车使用管理权的单位，一般是场车的产权单位，也可以是产权单位通过符合法律规定的合同</w:t>
                  </w:r>
                  <w:r>
                    <w:rPr>
                      <w:spacing w:val="-10"/>
                    </w:rPr>
                    <w:t>关系确立的场车实际使用管理者。场车用于出租的，出租期间，出租单位是使用单位；法律另有规定或</w:t>
                  </w:r>
                  <w:r>
                    <w:rPr>
                      <w:spacing w:val="-5"/>
                    </w:rPr>
                    <w:t>者当事人合同约定的，从其规定或者约定。</w:t>
                  </w:r>
                </w:p>
                <w:p>
                  <w:pPr>
                    <w:spacing w:before="16" w:line="324" w:lineRule="auto"/>
                    <w:ind w:left="1803" w:right="768" w:hanging="365"/>
                    <w:jc w:val="left"/>
                    <w:rPr>
                      <w:sz w:val="18"/>
                    </w:rPr>
                  </w:pPr>
                  <w:r>
                    <w:rPr>
                      <w:rFonts w:ascii="黑体" w:eastAsia="黑体" w:hint="eastAsia"/>
                      <w:sz w:val="18"/>
                    </w:rPr>
                    <w:t>注：</w:t>
                  </w:r>
                  <w:r>
                    <w:rPr>
                      <w:spacing w:val="-4"/>
                      <w:sz w:val="18"/>
                    </w:rPr>
                    <w:t>单位包括公司、子公司、机关事业单位、社会团体等具有法人资格的单位和具有营业执照的分公司、个体工商</w:t>
                  </w:r>
                  <w:r>
                    <w:rPr>
                      <w:sz w:val="18"/>
                    </w:rPr>
                    <w:t>工商户等。</w:t>
                  </w:r>
                </w:p>
                <w:p>
                  <w:pPr>
                    <w:pStyle w:val="BodyText"/>
                    <w:spacing w:before="141"/>
                    <w:ind w:left="1076"/>
                    <w:rPr>
                      <w:rFonts w:ascii="黑体"/>
                    </w:rPr>
                  </w:pPr>
                  <w:r>
                    <w:rPr>
                      <w:rFonts w:ascii="黑体"/>
                    </w:rPr>
                    <w:t>3.3</w:t>
                  </w:r>
                </w:p>
                <w:p>
                  <w:pPr>
                    <w:pStyle w:val="BodyText"/>
                    <w:spacing w:before="7"/>
                    <w:rPr>
                      <w:rFonts w:ascii="黑体"/>
                      <w:sz w:val="15"/>
                    </w:rPr>
                  </w:pPr>
                </w:p>
                <w:p>
                  <w:pPr>
                    <w:pStyle w:val="BodyText"/>
                    <w:ind w:left="1495"/>
                    <w:rPr>
                      <w:rFonts w:ascii="黑体" w:eastAsia="黑体" w:hint="eastAsia"/>
                    </w:rPr>
                  </w:pPr>
                  <w:r>
                    <w:rPr>
                      <w:rFonts w:ascii="黑体" w:eastAsia="黑体" w:hint="eastAsia"/>
                    </w:rPr>
                    <w:t>主要负责人</w:t>
                  </w:r>
                </w:p>
                <w:p>
                  <w:pPr>
                    <w:pStyle w:val="BodyText"/>
                    <w:spacing w:before="7"/>
                    <w:rPr>
                      <w:rFonts w:ascii="黑体"/>
                      <w:sz w:val="15"/>
                    </w:rPr>
                  </w:pPr>
                </w:p>
                <w:p>
                  <w:pPr>
                    <w:pStyle w:val="BodyText"/>
                    <w:ind w:left="1495"/>
                  </w:pPr>
                  <w:r>
                    <w:t>本单位的法定代表人、法定代表委托人或者实际控制人。</w:t>
                  </w:r>
                </w:p>
                <w:p>
                  <w:pPr>
                    <w:pStyle w:val="BodyText"/>
                    <w:spacing w:before="6"/>
                    <w:rPr>
                      <w:sz w:val="15"/>
                    </w:rPr>
                  </w:pPr>
                </w:p>
                <w:p>
                  <w:pPr>
                    <w:pStyle w:val="BodyText"/>
                    <w:spacing w:before="1"/>
                    <w:ind w:left="1076"/>
                    <w:rPr>
                      <w:rFonts w:ascii="黑体"/>
                    </w:rPr>
                  </w:pPr>
                  <w:r>
                    <w:rPr>
                      <w:rFonts w:ascii="黑体"/>
                    </w:rPr>
                    <w:t>3.4</w:t>
                  </w:r>
                </w:p>
                <w:p>
                  <w:pPr>
                    <w:pStyle w:val="BodyText"/>
                    <w:spacing w:before="6"/>
                    <w:rPr>
                      <w:rFonts w:ascii="黑体"/>
                      <w:sz w:val="15"/>
                    </w:rPr>
                  </w:pPr>
                </w:p>
                <w:p>
                  <w:pPr>
                    <w:pStyle w:val="BodyText"/>
                    <w:ind w:left="1495"/>
                    <w:rPr>
                      <w:rFonts w:ascii="黑体" w:eastAsia="黑体" w:hint="eastAsia"/>
                    </w:rPr>
                  </w:pPr>
                  <w:r>
                    <w:rPr>
                      <w:rFonts w:ascii="黑体" w:eastAsia="黑体" w:hint="eastAsia"/>
                    </w:rPr>
                    <w:t>场车安全总监</w:t>
                  </w:r>
                </w:p>
                <w:p>
                  <w:pPr>
                    <w:pStyle w:val="BodyText"/>
                    <w:spacing w:before="2"/>
                    <w:rPr>
                      <w:rFonts w:ascii="黑体"/>
                      <w:sz w:val="17"/>
                    </w:rPr>
                  </w:pPr>
                </w:p>
                <w:p>
                  <w:pPr>
                    <w:spacing w:before="0"/>
                    <w:ind w:left="0" w:right="966" w:firstLine="0"/>
                    <w:jc w:val="right"/>
                    <w:rPr>
                      <w:sz w:val="18"/>
                    </w:rPr>
                  </w:pPr>
                  <w:r>
                    <w:rPr>
                      <w:sz w:val="18"/>
                    </w:rPr>
                    <w:t>1</w:t>
                  </w:r>
                </w:p>
              </w:txbxContent>
            </v:textbox>
            <w10:wrap type="topAndBottom"/>
          </v:shape>
        </w:pict>
      </w:r>
    </w:p>
    <w:p>
      <w:pPr>
        <w:spacing w:after="0"/>
        <w:rPr>
          <w:rFonts w:ascii="黑体"/>
          <w:sz w:val="23"/>
        </w:rPr>
        <w:sectPr>
          <w:headerReference w:type="even" r:id="rId10"/>
          <w:headerReference w:type="default" r:id="rId11"/>
          <w:pgSz w:w="11910" w:h="16840"/>
          <w:pgMar w:top="1660" w:right="260" w:bottom="280" w:left="240" w:header="1441" w:footer="0"/>
          <w:pgNumType w:start="5"/>
          <w:cols w:space="708"/>
        </w:sectPr>
      </w:pPr>
    </w:p>
    <w:p>
      <w:pPr>
        <w:pStyle w:val="BodyText"/>
        <w:spacing w:before="7"/>
        <w:rPr>
          <w:rFonts w:ascii="黑体"/>
          <w:sz w:val="14"/>
        </w:rPr>
      </w:pPr>
    </w:p>
    <w:p>
      <w:pPr>
        <w:pStyle w:val="BodyText"/>
        <w:spacing w:before="71"/>
        <w:ind w:left="1312"/>
      </w:pPr>
      <w:r>
        <w:t>本单位管理层中负责场车使用安全的管理人员。</w:t>
      </w:r>
    </w:p>
    <w:p>
      <w:pPr>
        <w:pStyle w:val="BodyText"/>
        <w:spacing w:before="12"/>
        <w:rPr>
          <w:sz w:val="9"/>
        </w:rPr>
      </w:pPr>
    </w:p>
    <w:p>
      <w:pPr>
        <w:pStyle w:val="BodyText"/>
        <w:spacing w:before="72"/>
        <w:ind w:left="892"/>
        <w:rPr>
          <w:rFonts w:ascii="黑体"/>
        </w:rPr>
      </w:pPr>
      <w:r>
        <w:rPr>
          <w:rFonts w:ascii="黑体"/>
        </w:rPr>
        <w:t>3.5</w:t>
      </w:r>
    </w:p>
    <w:p>
      <w:pPr>
        <w:pStyle w:val="BodyText"/>
        <w:spacing w:before="12"/>
        <w:rPr>
          <w:rFonts w:ascii="黑体"/>
          <w:sz w:val="9"/>
        </w:rPr>
      </w:pPr>
    </w:p>
    <w:p>
      <w:pPr>
        <w:pStyle w:val="BodyText"/>
        <w:spacing w:before="72"/>
        <w:ind w:left="1312"/>
        <w:rPr>
          <w:rFonts w:ascii="黑体" w:eastAsia="黑体" w:hint="eastAsia"/>
        </w:rPr>
      </w:pPr>
      <w:r>
        <w:rPr>
          <w:rFonts w:ascii="黑体" w:eastAsia="黑体" w:hint="eastAsia"/>
        </w:rPr>
        <w:t>场车安全员</w:t>
      </w:r>
    </w:p>
    <w:p>
      <w:pPr>
        <w:pStyle w:val="BodyText"/>
        <w:spacing w:before="6"/>
        <w:rPr>
          <w:rFonts w:ascii="黑体"/>
          <w:sz w:val="15"/>
        </w:rPr>
      </w:pPr>
    </w:p>
    <w:p>
      <w:pPr>
        <w:pStyle w:val="BodyText"/>
        <w:ind w:left="1312"/>
      </w:pPr>
      <w:r>
        <w:t>本单位具体负责场车使用安全的检查人员。</w:t>
      </w:r>
    </w:p>
    <w:p>
      <w:pPr>
        <w:pStyle w:val="BodyText"/>
        <w:spacing w:before="12"/>
        <w:rPr>
          <w:sz w:val="9"/>
        </w:rPr>
      </w:pPr>
    </w:p>
    <w:p>
      <w:pPr>
        <w:pStyle w:val="BodyText"/>
        <w:spacing w:before="72"/>
        <w:ind w:left="892"/>
        <w:rPr>
          <w:rFonts w:ascii="黑体"/>
        </w:rPr>
      </w:pPr>
      <w:r>
        <w:rPr>
          <w:rFonts w:ascii="黑体"/>
        </w:rPr>
        <w:t>3.6</w:t>
      </w:r>
    </w:p>
    <w:p>
      <w:pPr>
        <w:pStyle w:val="BodyText"/>
        <w:spacing w:before="12"/>
        <w:rPr>
          <w:rFonts w:ascii="黑体"/>
          <w:sz w:val="9"/>
        </w:rPr>
      </w:pPr>
    </w:p>
    <w:p>
      <w:pPr>
        <w:pStyle w:val="BodyText"/>
        <w:spacing w:before="72"/>
        <w:ind w:left="1312"/>
        <w:rPr>
          <w:rFonts w:ascii="黑体" w:eastAsia="黑体" w:hint="eastAsia"/>
        </w:rPr>
      </w:pPr>
      <w:r>
        <w:rPr>
          <w:rFonts w:ascii="黑体" w:eastAsia="黑体" w:hint="eastAsia"/>
        </w:rPr>
        <w:t>场车作业人员</w:t>
      </w:r>
    </w:p>
    <w:p>
      <w:pPr>
        <w:pStyle w:val="BodyText"/>
        <w:spacing w:before="6"/>
        <w:rPr>
          <w:rFonts w:ascii="黑体"/>
          <w:sz w:val="15"/>
        </w:rPr>
      </w:pPr>
    </w:p>
    <w:p>
      <w:pPr>
        <w:pStyle w:val="BodyText"/>
        <w:ind w:left="1312"/>
      </w:pPr>
      <w:r>
        <w:t>经授权操纵场车的司机。</w:t>
      </w:r>
    </w:p>
    <w:p>
      <w:pPr>
        <w:pStyle w:val="BodyText"/>
        <w:spacing w:before="12"/>
        <w:rPr>
          <w:sz w:val="27"/>
        </w:rPr>
      </w:pPr>
    </w:p>
    <w:p>
      <w:pPr>
        <w:pStyle w:val="ListParagraph"/>
        <w:numPr>
          <w:ilvl w:val="0"/>
          <w:numId w:val="6"/>
        </w:numPr>
        <w:tabs>
          <w:tab w:val="left" w:pos="1208"/>
        </w:tabs>
        <w:spacing w:before="0" w:after="0" w:line="240" w:lineRule="auto"/>
        <w:ind w:left="1207" w:right="0" w:hanging="316"/>
        <w:jc w:val="left"/>
        <w:rPr>
          <w:rFonts w:ascii="黑体" w:eastAsia="黑体" w:hint="eastAsia"/>
          <w:sz w:val="21"/>
        </w:rPr>
      </w:pPr>
      <w:r>
        <w:rPr>
          <w:rFonts w:ascii="黑体" w:eastAsia="黑体" w:hint="eastAsia"/>
          <w:spacing w:val="-1"/>
          <w:sz w:val="21"/>
        </w:rPr>
        <w:t>基本要求</w:t>
      </w:r>
    </w:p>
    <w:p>
      <w:pPr>
        <w:pStyle w:val="BodyText"/>
        <w:spacing w:before="6"/>
        <w:rPr>
          <w:rFonts w:ascii="黑体"/>
          <w:sz w:val="27"/>
        </w:rPr>
      </w:pPr>
    </w:p>
    <w:p>
      <w:pPr>
        <w:pStyle w:val="ListParagraph"/>
        <w:numPr>
          <w:ilvl w:val="1"/>
          <w:numId w:val="6"/>
        </w:numPr>
        <w:tabs>
          <w:tab w:val="left" w:pos="1419"/>
        </w:tabs>
        <w:spacing w:before="0" w:after="0" w:line="278" w:lineRule="auto"/>
        <w:ind w:left="892" w:right="1160" w:firstLine="0"/>
        <w:jc w:val="left"/>
        <w:rPr>
          <w:sz w:val="21"/>
        </w:rPr>
      </w:pPr>
      <w:r>
        <w:rPr>
          <w:spacing w:val="-8"/>
          <w:sz w:val="21"/>
        </w:rPr>
        <w:t xml:space="preserve">场车的使用管理应满足 </w:t>
      </w:r>
      <w:r>
        <w:rPr>
          <w:sz w:val="21"/>
        </w:rPr>
        <w:t>TSG</w:t>
      </w:r>
      <w:r>
        <w:rPr>
          <w:spacing w:val="8"/>
          <w:sz w:val="21"/>
        </w:rPr>
        <w:t xml:space="preserve"> </w:t>
      </w:r>
      <w:r>
        <w:rPr>
          <w:sz w:val="21"/>
        </w:rPr>
        <w:t>81-2022</w:t>
      </w:r>
      <w:r>
        <w:rPr>
          <w:spacing w:val="-34"/>
          <w:sz w:val="21"/>
        </w:rPr>
        <w:t xml:space="preserve"> 第 </w:t>
      </w:r>
      <w:r>
        <w:rPr>
          <w:sz w:val="21"/>
        </w:rPr>
        <w:t>5.1</w:t>
      </w:r>
      <w:r>
        <w:rPr>
          <w:spacing w:val="-12"/>
          <w:sz w:val="21"/>
        </w:rPr>
        <w:t xml:space="preserve"> 款规定的基本要求、第 </w:t>
      </w:r>
      <w:r>
        <w:rPr>
          <w:sz w:val="21"/>
        </w:rPr>
        <w:t>5.3</w:t>
      </w:r>
      <w:r>
        <w:rPr>
          <w:spacing w:val="-9"/>
          <w:sz w:val="21"/>
        </w:rPr>
        <w:t xml:space="preserve"> 款规定的报废要求，还应</w:t>
      </w:r>
      <w:r>
        <w:rPr>
          <w:spacing w:val="-12"/>
          <w:sz w:val="21"/>
        </w:rPr>
        <w:t xml:space="preserve">满足本文件第 </w:t>
      </w:r>
      <w:r>
        <w:rPr>
          <w:sz w:val="21"/>
        </w:rPr>
        <w:t>5</w:t>
      </w:r>
      <w:r>
        <w:rPr>
          <w:spacing w:val="-23"/>
          <w:sz w:val="21"/>
        </w:rPr>
        <w:t xml:space="preserve"> 章至第 </w:t>
      </w:r>
      <w:r>
        <w:rPr>
          <w:sz w:val="21"/>
        </w:rPr>
        <w:t>7</w:t>
      </w:r>
      <w:r>
        <w:rPr>
          <w:spacing w:val="-10"/>
          <w:sz w:val="21"/>
        </w:rPr>
        <w:t xml:space="preserve"> 章的要求。</w:t>
      </w:r>
    </w:p>
    <w:p>
      <w:pPr>
        <w:pStyle w:val="ListParagraph"/>
        <w:numPr>
          <w:ilvl w:val="1"/>
          <w:numId w:val="6"/>
        </w:numPr>
        <w:tabs>
          <w:tab w:val="left" w:pos="1419"/>
        </w:tabs>
        <w:spacing w:before="0" w:after="0" w:line="278" w:lineRule="auto"/>
        <w:ind w:left="892" w:right="1212" w:firstLine="0"/>
        <w:jc w:val="left"/>
        <w:rPr>
          <w:sz w:val="21"/>
        </w:rPr>
      </w:pPr>
      <w:r>
        <w:rPr>
          <w:spacing w:val="-5"/>
          <w:sz w:val="21"/>
        </w:rPr>
        <w:t xml:space="preserve">场车使用单位应当根据本单位场车的数量、用途、使用环境等情况，按 </w:t>
      </w:r>
      <w:r>
        <w:rPr>
          <w:sz w:val="21"/>
        </w:rPr>
        <w:t>TSG08-2017</w:t>
      </w:r>
      <w:r>
        <w:rPr>
          <w:spacing w:val="-12"/>
          <w:sz w:val="21"/>
        </w:rPr>
        <w:t xml:space="preserve"> 第 </w:t>
      </w:r>
      <w:r>
        <w:rPr>
          <w:sz w:val="21"/>
        </w:rPr>
        <w:t>2.3.2</w:t>
      </w:r>
      <w:r>
        <w:rPr>
          <w:spacing w:val="-23"/>
          <w:sz w:val="21"/>
        </w:rPr>
        <w:t xml:space="preserve"> 款</w:t>
      </w:r>
      <w:r>
        <w:rPr>
          <w:spacing w:val="-8"/>
          <w:sz w:val="21"/>
        </w:rPr>
        <w:t>的要求设置安全管理机构和相关人员。</w:t>
      </w:r>
    </w:p>
    <w:p>
      <w:pPr>
        <w:pStyle w:val="BodyText"/>
        <w:spacing w:before="7"/>
        <w:rPr>
          <w:sz w:val="24"/>
        </w:rPr>
      </w:pPr>
    </w:p>
    <w:p>
      <w:pPr>
        <w:pStyle w:val="ListParagraph"/>
        <w:numPr>
          <w:ilvl w:val="0"/>
          <w:numId w:val="6"/>
        </w:numPr>
        <w:tabs>
          <w:tab w:val="left" w:pos="1208"/>
        </w:tabs>
        <w:spacing w:before="0" w:after="0" w:line="240" w:lineRule="auto"/>
        <w:ind w:left="1207" w:right="0" w:hanging="316"/>
        <w:jc w:val="left"/>
        <w:rPr>
          <w:rFonts w:ascii="黑体" w:eastAsia="黑体" w:hint="eastAsia"/>
          <w:sz w:val="21"/>
        </w:rPr>
      </w:pPr>
      <w:r>
        <w:rPr>
          <w:rFonts w:ascii="黑体" w:eastAsia="黑体" w:hint="eastAsia"/>
          <w:spacing w:val="-1"/>
          <w:sz w:val="21"/>
        </w:rPr>
        <w:t>岗位职责</w:t>
      </w:r>
    </w:p>
    <w:p>
      <w:pPr>
        <w:pStyle w:val="BodyText"/>
        <w:spacing w:before="6"/>
        <w:rPr>
          <w:rFonts w:ascii="黑体"/>
          <w:sz w:val="27"/>
        </w:rPr>
      </w:pPr>
    </w:p>
    <w:p>
      <w:pPr>
        <w:pStyle w:val="ListParagraph"/>
        <w:numPr>
          <w:ilvl w:val="1"/>
          <w:numId w:val="6"/>
        </w:numPr>
        <w:tabs>
          <w:tab w:val="left" w:pos="1419"/>
        </w:tabs>
        <w:spacing w:before="0" w:after="0" w:line="240" w:lineRule="auto"/>
        <w:ind w:left="1418" w:right="0" w:hanging="527"/>
        <w:jc w:val="left"/>
        <w:rPr>
          <w:rFonts w:ascii="黑体" w:eastAsia="黑体" w:hint="eastAsia"/>
          <w:sz w:val="21"/>
        </w:rPr>
      </w:pPr>
      <w:r>
        <w:drawing>
          <wp:anchor distT="0" distB="0" distL="0" distR="0" simplePos="0" relativeHeight="251668480" behindDoc="0" locked="0" layoutInCell="1" allowOverlap="1">
            <wp:simplePos x="0" y="0"/>
            <wp:positionH relativeFrom="page">
              <wp:posOffset>215900</wp:posOffset>
            </wp:positionH>
            <wp:positionV relativeFrom="paragraph">
              <wp:posOffset>53687</wp:posOffset>
            </wp:positionV>
            <wp:extent cx="7112000" cy="487680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rFonts w:ascii="黑体" w:eastAsia="黑体" w:hint="eastAsia"/>
          <w:spacing w:val="-3"/>
          <w:sz w:val="21"/>
        </w:rPr>
        <w:t>主要负责人岗位职责</w:t>
      </w:r>
    </w:p>
    <w:p>
      <w:pPr>
        <w:pStyle w:val="BodyText"/>
        <w:spacing w:before="7"/>
        <w:rPr>
          <w:rFonts w:ascii="黑体"/>
          <w:sz w:val="15"/>
        </w:rPr>
      </w:pPr>
    </w:p>
    <w:p>
      <w:pPr>
        <w:pStyle w:val="BodyText"/>
        <w:ind w:left="1312"/>
      </w:pPr>
      <w:r>
        <w:t>对本单位场车使用安全全面负责,建立并落实场车使用安全主体责任的长效机制。</w:t>
      </w:r>
    </w:p>
    <w:p>
      <w:pPr>
        <w:pStyle w:val="BodyText"/>
        <w:spacing w:before="7"/>
        <w:rPr>
          <w:sz w:val="15"/>
        </w:rPr>
      </w:pPr>
    </w:p>
    <w:p>
      <w:pPr>
        <w:pStyle w:val="ListParagraph"/>
        <w:numPr>
          <w:ilvl w:val="1"/>
          <w:numId w:val="6"/>
        </w:numPr>
        <w:tabs>
          <w:tab w:val="left" w:pos="1419"/>
        </w:tabs>
        <w:spacing w:before="0" w:after="0" w:line="240" w:lineRule="auto"/>
        <w:ind w:left="1418" w:right="0" w:hanging="527"/>
        <w:jc w:val="left"/>
        <w:rPr>
          <w:rFonts w:ascii="黑体" w:eastAsia="黑体" w:hint="eastAsia"/>
          <w:sz w:val="21"/>
        </w:rPr>
      </w:pPr>
      <w:r>
        <w:rPr>
          <w:rFonts w:ascii="黑体" w:eastAsia="黑体" w:hint="eastAsia"/>
          <w:spacing w:val="-3"/>
          <w:sz w:val="21"/>
        </w:rPr>
        <w:t>场车安全总监岗位职责</w:t>
      </w:r>
    </w:p>
    <w:p>
      <w:pPr>
        <w:pStyle w:val="BodyText"/>
        <w:spacing w:before="6"/>
        <w:rPr>
          <w:rFonts w:ascii="黑体"/>
          <w:sz w:val="15"/>
        </w:rPr>
      </w:pPr>
    </w:p>
    <w:p>
      <w:pPr>
        <w:pStyle w:val="BodyText"/>
        <w:spacing w:before="1"/>
        <w:ind w:left="1312"/>
      </w:pPr>
      <w:r>
        <w:t>场车安全总监按照职责要求，直接对本单位主要负责人负责，承担下列职责：</w:t>
      </w:r>
    </w:p>
    <w:p>
      <w:pPr>
        <w:pStyle w:val="ListParagraph"/>
        <w:numPr>
          <w:ilvl w:val="2"/>
          <w:numId w:val="6"/>
        </w:numPr>
        <w:tabs>
          <w:tab w:val="left" w:pos="1733"/>
        </w:tabs>
        <w:spacing w:before="43" w:after="0" w:line="240" w:lineRule="auto"/>
        <w:ind w:left="1732" w:right="0" w:hanging="421"/>
        <w:jc w:val="left"/>
        <w:rPr>
          <w:sz w:val="21"/>
        </w:rPr>
      </w:pPr>
      <w:r>
        <w:rPr>
          <w:spacing w:val="-3"/>
          <w:sz w:val="21"/>
        </w:rPr>
        <w:t>组织宣传、贯彻场车有关的法律法规、安全技术规范及相关标准；</w:t>
      </w:r>
    </w:p>
    <w:p>
      <w:pPr>
        <w:pStyle w:val="ListParagraph"/>
        <w:numPr>
          <w:ilvl w:val="2"/>
          <w:numId w:val="6"/>
        </w:numPr>
        <w:tabs>
          <w:tab w:val="left" w:pos="1733"/>
        </w:tabs>
        <w:spacing w:before="43" w:after="0" w:line="278" w:lineRule="auto"/>
        <w:ind w:left="1732" w:right="1150" w:hanging="421"/>
        <w:jc w:val="left"/>
        <w:rPr>
          <w:sz w:val="21"/>
        </w:rPr>
      </w:pPr>
      <w:r>
        <w:rPr>
          <w:spacing w:val="-8"/>
          <w:sz w:val="21"/>
        </w:rPr>
        <w:t>组织制定本单位场车使用安全管理制度，督促落实场车使用安全责任制，组织开展场车安全合</w:t>
      </w:r>
      <w:r>
        <w:rPr>
          <w:spacing w:val="-6"/>
          <w:sz w:val="21"/>
        </w:rPr>
        <w:t>规管理；</w:t>
      </w:r>
    </w:p>
    <w:p>
      <w:pPr>
        <w:pStyle w:val="ListParagraph"/>
        <w:numPr>
          <w:ilvl w:val="2"/>
          <w:numId w:val="6"/>
        </w:numPr>
        <w:tabs>
          <w:tab w:val="left" w:pos="1733"/>
        </w:tabs>
        <w:spacing w:before="0" w:after="0" w:line="240" w:lineRule="auto"/>
        <w:ind w:left="1732" w:right="0" w:hanging="421"/>
        <w:jc w:val="left"/>
        <w:rPr>
          <w:sz w:val="21"/>
        </w:rPr>
      </w:pPr>
      <w:r>
        <w:rPr>
          <w:spacing w:val="-3"/>
          <w:sz w:val="21"/>
        </w:rPr>
        <w:t>组织制定场车事故应急专项预案并开展应急演练；</w:t>
      </w:r>
    </w:p>
    <w:p>
      <w:pPr>
        <w:pStyle w:val="ListParagraph"/>
        <w:numPr>
          <w:ilvl w:val="2"/>
          <w:numId w:val="6"/>
        </w:numPr>
        <w:tabs>
          <w:tab w:val="left" w:pos="1733"/>
        </w:tabs>
        <w:spacing w:before="42" w:after="0" w:line="240" w:lineRule="auto"/>
        <w:ind w:left="1732" w:right="0" w:hanging="421"/>
        <w:jc w:val="left"/>
        <w:rPr>
          <w:sz w:val="21"/>
        </w:rPr>
      </w:pPr>
      <w:r>
        <w:rPr>
          <w:spacing w:val="-3"/>
          <w:sz w:val="21"/>
        </w:rPr>
        <w:t>落实场车安全事故报告义务，采取措施防止事故扩大；</w:t>
      </w:r>
    </w:p>
    <w:p>
      <w:pPr>
        <w:pStyle w:val="ListParagraph"/>
        <w:numPr>
          <w:ilvl w:val="2"/>
          <w:numId w:val="6"/>
        </w:numPr>
        <w:tabs>
          <w:tab w:val="left" w:pos="1733"/>
        </w:tabs>
        <w:spacing w:before="43" w:after="0" w:line="240" w:lineRule="auto"/>
        <w:ind w:left="1732" w:right="0" w:hanging="421"/>
        <w:jc w:val="left"/>
        <w:rPr>
          <w:sz w:val="21"/>
        </w:rPr>
      </w:pPr>
      <w:r>
        <w:rPr>
          <w:spacing w:val="-3"/>
          <w:sz w:val="21"/>
        </w:rPr>
        <w:t>对场车安全员进行安全教育和技术培训，监督、指导场车安全员做好相关工作；</w:t>
      </w:r>
    </w:p>
    <w:p>
      <w:pPr>
        <w:pStyle w:val="ListParagraph"/>
        <w:numPr>
          <w:ilvl w:val="2"/>
          <w:numId w:val="6"/>
        </w:numPr>
        <w:tabs>
          <w:tab w:val="left" w:pos="1733"/>
        </w:tabs>
        <w:spacing w:before="43" w:after="0" w:line="240" w:lineRule="auto"/>
        <w:ind w:left="1732" w:right="0" w:hanging="421"/>
        <w:jc w:val="left"/>
        <w:rPr>
          <w:sz w:val="21"/>
        </w:rPr>
      </w:pPr>
      <w:r>
        <w:rPr>
          <w:spacing w:val="-4"/>
          <w:sz w:val="21"/>
        </w:rPr>
        <w:t>按照规定组织开展场车使用安全风险评价工作，拟定并督促落实场车使用安全风险防控措施；</w:t>
      </w:r>
    </w:p>
    <w:p>
      <w:pPr>
        <w:pStyle w:val="ListParagraph"/>
        <w:numPr>
          <w:ilvl w:val="2"/>
          <w:numId w:val="6"/>
        </w:numPr>
        <w:tabs>
          <w:tab w:val="left" w:pos="1733"/>
        </w:tabs>
        <w:spacing w:before="43" w:after="0" w:line="240" w:lineRule="auto"/>
        <w:ind w:left="1732" w:right="0" w:hanging="421"/>
        <w:jc w:val="left"/>
        <w:rPr>
          <w:sz w:val="21"/>
        </w:rPr>
      </w:pPr>
      <w:r>
        <w:rPr>
          <w:spacing w:val="-4"/>
          <w:sz w:val="21"/>
        </w:rPr>
        <w:t>对本单位场车使用安全管理工作进行检查，及时向主要负责人报告有关情况，提出改进措施；</w:t>
      </w:r>
    </w:p>
    <w:p>
      <w:pPr>
        <w:pStyle w:val="ListParagraph"/>
        <w:numPr>
          <w:ilvl w:val="2"/>
          <w:numId w:val="6"/>
        </w:numPr>
        <w:tabs>
          <w:tab w:val="left" w:pos="1733"/>
        </w:tabs>
        <w:spacing w:before="43" w:after="0" w:line="240" w:lineRule="auto"/>
        <w:ind w:left="1732" w:right="0" w:hanging="421"/>
        <w:jc w:val="left"/>
        <w:rPr>
          <w:sz w:val="21"/>
        </w:rPr>
      </w:pPr>
      <w:r>
        <w:rPr>
          <w:spacing w:val="-11"/>
          <w:sz w:val="21"/>
        </w:rPr>
        <w:t>接受和配合有关部门开展场车安全监督检查、定期检验和事故调查等工作，如实提供有关材料；</w:t>
      </w:r>
    </w:p>
    <w:p>
      <w:pPr>
        <w:pStyle w:val="ListParagraph"/>
        <w:numPr>
          <w:ilvl w:val="2"/>
          <w:numId w:val="6"/>
        </w:numPr>
        <w:tabs>
          <w:tab w:val="left" w:pos="1733"/>
        </w:tabs>
        <w:spacing w:before="43" w:after="0" w:line="240" w:lineRule="auto"/>
        <w:ind w:left="1732" w:right="0" w:hanging="421"/>
        <w:jc w:val="left"/>
        <w:rPr>
          <w:sz w:val="21"/>
        </w:rPr>
      </w:pPr>
      <w:r>
        <w:rPr>
          <w:spacing w:val="-3"/>
          <w:sz w:val="21"/>
        </w:rPr>
        <w:t>履行市场监督管理部门规定和本单位要求的其他场车使用安全管理职责。</w:t>
      </w:r>
    </w:p>
    <w:p>
      <w:pPr>
        <w:pStyle w:val="ListParagraph"/>
        <w:numPr>
          <w:ilvl w:val="2"/>
          <w:numId w:val="6"/>
        </w:numPr>
        <w:tabs>
          <w:tab w:val="left" w:pos="1733"/>
        </w:tabs>
        <w:spacing w:before="43" w:after="0" w:line="240" w:lineRule="auto"/>
        <w:ind w:left="1732" w:right="0" w:hanging="421"/>
        <w:jc w:val="left"/>
        <w:rPr>
          <w:sz w:val="21"/>
        </w:rPr>
      </w:pPr>
      <w:r>
        <w:rPr>
          <w:spacing w:val="-3"/>
          <w:sz w:val="21"/>
        </w:rPr>
        <w:t>场车使用单位应当按照前款规定，结合本单位实际，细化制定《场车安全总监职责》。</w:t>
      </w:r>
    </w:p>
    <w:p>
      <w:pPr>
        <w:pStyle w:val="BodyText"/>
        <w:spacing w:before="6"/>
        <w:rPr>
          <w:sz w:val="15"/>
        </w:rPr>
      </w:pPr>
    </w:p>
    <w:p>
      <w:pPr>
        <w:pStyle w:val="ListParagraph"/>
        <w:numPr>
          <w:ilvl w:val="1"/>
          <w:numId w:val="6"/>
        </w:numPr>
        <w:tabs>
          <w:tab w:val="left" w:pos="1419"/>
        </w:tabs>
        <w:spacing w:before="1" w:after="0" w:line="240" w:lineRule="auto"/>
        <w:ind w:left="1418" w:right="0" w:hanging="527"/>
        <w:jc w:val="left"/>
        <w:rPr>
          <w:rFonts w:ascii="黑体" w:eastAsia="黑体" w:hint="eastAsia"/>
          <w:sz w:val="21"/>
        </w:rPr>
      </w:pPr>
      <w:r>
        <w:rPr>
          <w:rFonts w:ascii="黑体" w:eastAsia="黑体" w:hint="eastAsia"/>
          <w:spacing w:val="-3"/>
          <w:sz w:val="21"/>
        </w:rPr>
        <w:t>场车安全员岗位职责</w:t>
      </w:r>
    </w:p>
    <w:p>
      <w:pPr>
        <w:pStyle w:val="BodyText"/>
        <w:spacing w:before="6"/>
        <w:rPr>
          <w:rFonts w:ascii="黑体"/>
          <w:sz w:val="15"/>
        </w:rPr>
      </w:pPr>
    </w:p>
    <w:p>
      <w:pPr>
        <w:pStyle w:val="BodyText"/>
        <w:ind w:left="1312"/>
      </w:pPr>
      <w:r>
        <w:t>场车安全员按照职责要求，对场车安全总监或者单位主要负责人负责，承担下列职责：</w:t>
      </w:r>
    </w:p>
    <w:p>
      <w:pPr>
        <w:pStyle w:val="ListParagraph"/>
        <w:numPr>
          <w:ilvl w:val="2"/>
          <w:numId w:val="6"/>
        </w:numPr>
        <w:tabs>
          <w:tab w:val="left" w:pos="1733"/>
        </w:tabs>
        <w:spacing w:before="43" w:after="0" w:line="240" w:lineRule="auto"/>
        <w:ind w:left="1732" w:right="0" w:hanging="421"/>
        <w:jc w:val="left"/>
        <w:rPr>
          <w:sz w:val="21"/>
        </w:rPr>
      </w:pPr>
      <w:r>
        <w:rPr>
          <w:spacing w:val="-3"/>
          <w:sz w:val="21"/>
        </w:rPr>
        <w:t>建立健全场车安全技术档案，并办理本单位场车使用登记；</w:t>
      </w:r>
    </w:p>
    <w:p>
      <w:pPr>
        <w:pStyle w:val="ListParagraph"/>
        <w:numPr>
          <w:ilvl w:val="2"/>
          <w:numId w:val="6"/>
        </w:numPr>
        <w:tabs>
          <w:tab w:val="left" w:pos="1733"/>
        </w:tabs>
        <w:spacing w:before="43" w:after="0" w:line="240" w:lineRule="auto"/>
        <w:ind w:left="1732" w:right="0" w:hanging="421"/>
        <w:jc w:val="left"/>
        <w:rPr>
          <w:sz w:val="21"/>
        </w:rPr>
      </w:pPr>
      <w:r>
        <w:rPr>
          <w:spacing w:val="-3"/>
          <w:sz w:val="21"/>
        </w:rPr>
        <w:t>组织制定场车安全操作规程；</w:t>
      </w:r>
    </w:p>
    <w:p>
      <w:pPr>
        <w:pStyle w:val="ListParagraph"/>
        <w:numPr>
          <w:ilvl w:val="2"/>
          <w:numId w:val="6"/>
        </w:numPr>
        <w:tabs>
          <w:tab w:val="left" w:pos="1733"/>
        </w:tabs>
        <w:spacing w:before="43" w:after="0" w:line="240" w:lineRule="auto"/>
        <w:ind w:left="1732" w:right="0" w:hanging="421"/>
        <w:jc w:val="left"/>
        <w:rPr>
          <w:sz w:val="21"/>
        </w:rPr>
      </w:pPr>
      <w:r>
        <w:rPr>
          <w:spacing w:val="-3"/>
          <w:sz w:val="21"/>
        </w:rPr>
        <w:t>组织对场车作业人员进行教育和培训，指导和监督作业人员正确使用场车；</w:t>
      </w:r>
    </w:p>
    <w:p>
      <w:pPr>
        <w:pStyle w:val="BodyText"/>
        <w:spacing w:before="2"/>
        <w:rPr>
          <w:sz w:val="19"/>
        </w:rPr>
      </w:pPr>
    </w:p>
    <w:p>
      <w:pPr>
        <w:spacing w:before="75"/>
        <w:ind w:left="1113" w:right="0" w:firstLine="0"/>
        <w:jc w:val="left"/>
        <w:rPr>
          <w:sz w:val="18"/>
        </w:rPr>
      </w:pPr>
      <w:r>
        <w:rPr>
          <w:sz w:val="18"/>
        </w:rPr>
        <w:t>2</w:t>
      </w:r>
    </w:p>
    <w:p>
      <w:pPr>
        <w:spacing w:after="0"/>
        <w:jc w:val="left"/>
        <w:rPr>
          <w:sz w:val="18"/>
        </w:rPr>
        <w:sectPr>
          <w:headerReference w:type="even" r:id="rId12"/>
          <w:headerReference w:type="default" r:id="rId13"/>
          <w:pgSz w:w="11910" w:h="16840"/>
          <w:pgMar w:top="1660" w:right="260" w:bottom="280" w:left="240" w:header="1441" w:footer="0"/>
          <w:pgNumType w:start="6"/>
          <w:cols w:space="708"/>
        </w:sectPr>
      </w:pPr>
    </w:p>
    <w:p>
      <w:pPr>
        <w:pStyle w:val="BodyText"/>
        <w:spacing w:before="7"/>
        <w:rPr>
          <w:sz w:val="14"/>
        </w:rPr>
      </w:pPr>
    </w:p>
    <w:p>
      <w:pPr>
        <w:pStyle w:val="ListParagraph"/>
        <w:numPr>
          <w:ilvl w:val="2"/>
          <w:numId w:val="6"/>
        </w:numPr>
        <w:tabs>
          <w:tab w:val="left" w:pos="2017"/>
        </w:tabs>
        <w:spacing w:before="71" w:after="0" w:line="240" w:lineRule="auto"/>
        <w:ind w:left="2016" w:right="0" w:hanging="421"/>
        <w:jc w:val="left"/>
        <w:rPr>
          <w:sz w:val="21"/>
        </w:rPr>
      </w:pPr>
      <w:r>
        <w:rPr>
          <w:spacing w:val="-3"/>
          <w:sz w:val="21"/>
        </w:rPr>
        <w:t>对场车和作业区域进行日常巡检，纠正和制止违章作业行为；</w:t>
      </w:r>
    </w:p>
    <w:p>
      <w:pPr>
        <w:pStyle w:val="ListParagraph"/>
        <w:numPr>
          <w:ilvl w:val="2"/>
          <w:numId w:val="6"/>
        </w:numPr>
        <w:tabs>
          <w:tab w:val="left" w:pos="2017"/>
        </w:tabs>
        <w:spacing w:before="43" w:after="0" w:line="240" w:lineRule="auto"/>
        <w:ind w:left="2016" w:right="0" w:hanging="421"/>
        <w:jc w:val="left"/>
        <w:rPr>
          <w:sz w:val="21"/>
        </w:rPr>
      </w:pPr>
      <w:r>
        <w:rPr>
          <w:spacing w:val="-3"/>
          <w:sz w:val="21"/>
        </w:rPr>
        <w:t>编制场车定期检验计划，督促落实场车定期检验和后续整改等工作；</w:t>
      </w:r>
    </w:p>
    <w:p>
      <w:pPr>
        <w:pStyle w:val="ListParagraph"/>
        <w:numPr>
          <w:ilvl w:val="2"/>
          <w:numId w:val="6"/>
        </w:numPr>
        <w:tabs>
          <w:tab w:val="left" w:pos="2017"/>
        </w:tabs>
        <w:spacing w:before="43" w:after="0" w:line="240" w:lineRule="auto"/>
        <w:ind w:left="2016" w:right="0" w:hanging="421"/>
        <w:jc w:val="left"/>
        <w:rPr>
          <w:sz w:val="21"/>
        </w:rPr>
      </w:pPr>
      <w:r>
        <w:rPr>
          <w:spacing w:val="-3"/>
          <w:sz w:val="21"/>
        </w:rPr>
        <w:t>按照规定报告场车事故，参加场车事故救援，协助进行事故调查和善后处理；</w:t>
      </w:r>
    </w:p>
    <w:p>
      <w:pPr>
        <w:pStyle w:val="ListParagraph"/>
        <w:numPr>
          <w:ilvl w:val="2"/>
          <w:numId w:val="6"/>
        </w:numPr>
        <w:tabs>
          <w:tab w:val="left" w:pos="2017"/>
        </w:tabs>
        <w:spacing w:before="43" w:after="0" w:line="240" w:lineRule="auto"/>
        <w:ind w:left="2016" w:right="0" w:hanging="421"/>
        <w:jc w:val="left"/>
        <w:rPr>
          <w:sz w:val="21"/>
        </w:rPr>
      </w:pPr>
      <w:r>
        <w:rPr>
          <w:spacing w:val="-3"/>
          <w:sz w:val="21"/>
        </w:rPr>
        <w:t>履行市场监督管理部门规定和本单位要求的其他场车使用安全管理职责。</w:t>
      </w:r>
    </w:p>
    <w:p>
      <w:pPr>
        <w:pStyle w:val="ListParagraph"/>
        <w:numPr>
          <w:ilvl w:val="2"/>
          <w:numId w:val="6"/>
        </w:numPr>
        <w:tabs>
          <w:tab w:val="left" w:pos="2017"/>
        </w:tabs>
        <w:spacing w:before="43" w:after="0" w:line="240" w:lineRule="auto"/>
        <w:ind w:left="2016" w:right="0" w:hanging="421"/>
        <w:jc w:val="left"/>
        <w:rPr>
          <w:sz w:val="21"/>
        </w:rPr>
      </w:pPr>
      <w:r>
        <w:rPr>
          <w:spacing w:val="-3"/>
          <w:sz w:val="21"/>
        </w:rPr>
        <w:t>场车使用单位应当按照前款规定，结合本单位实际，细化制定《场车安全员守则》。</w:t>
      </w:r>
    </w:p>
    <w:p>
      <w:pPr>
        <w:pStyle w:val="BodyText"/>
        <w:spacing w:before="7"/>
        <w:rPr>
          <w:sz w:val="15"/>
        </w:rPr>
      </w:pPr>
    </w:p>
    <w:p>
      <w:pPr>
        <w:pStyle w:val="ListParagraph"/>
        <w:numPr>
          <w:ilvl w:val="1"/>
          <w:numId w:val="6"/>
        </w:numPr>
        <w:tabs>
          <w:tab w:val="left" w:pos="1702"/>
        </w:tabs>
        <w:spacing w:before="0" w:after="0" w:line="240" w:lineRule="auto"/>
        <w:ind w:left="1701" w:right="0" w:hanging="526"/>
        <w:jc w:val="left"/>
        <w:rPr>
          <w:rFonts w:ascii="黑体" w:eastAsia="黑体" w:hint="eastAsia"/>
          <w:sz w:val="21"/>
        </w:rPr>
      </w:pPr>
      <w:r>
        <w:rPr>
          <w:rFonts w:ascii="黑体" w:eastAsia="黑体" w:hint="eastAsia"/>
          <w:spacing w:val="-3"/>
          <w:sz w:val="21"/>
        </w:rPr>
        <w:t>场车作业人员岗位职责</w:t>
      </w:r>
    </w:p>
    <w:p>
      <w:pPr>
        <w:pStyle w:val="BodyText"/>
        <w:spacing w:before="6"/>
        <w:rPr>
          <w:rFonts w:ascii="黑体"/>
          <w:sz w:val="15"/>
        </w:rPr>
      </w:pPr>
    </w:p>
    <w:p>
      <w:pPr>
        <w:pStyle w:val="BodyText"/>
        <w:spacing w:before="1"/>
        <w:ind w:left="1595"/>
      </w:pPr>
      <w:r>
        <w:t>场车作业人员按照职责要求，承担下列职责：</w:t>
      </w:r>
    </w:p>
    <w:p>
      <w:pPr>
        <w:pStyle w:val="ListParagraph"/>
        <w:numPr>
          <w:ilvl w:val="2"/>
          <w:numId w:val="6"/>
        </w:numPr>
        <w:tabs>
          <w:tab w:val="left" w:pos="2017"/>
        </w:tabs>
        <w:spacing w:before="43" w:after="0" w:line="240" w:lineRule="auto"/>
        <w:ind w:left="2016" w:right="0" w:hanging="421"/>
        <w:jc w:val="left"/>
        <w:rPr>
          <w:sz w:val="21"/>
        </w:rPr>
      </w:pPr>
      <w:r>
        <w:rPr>
          <w:spacing w:val="-3"/>
          <w:sz w:val="21"/>
        </w:rPr>
        <w:t>严格执行场车操作规程和有关安全管理制度；</w:t>
      </w:r>
    </w:p>
    <w:p>
      <w:pPr>
        <w:pStyle w:val="ListParagraph"/>
        <w:numPr>
          <w:ilvl w:val="2"/>
          <w:numId w:val="6"/>
        </w:numPr>
        <w:tabs>
          <w:tab w:val="left" w:pos="2017"/>
        </w:tabs>
        <w:spacing w:before="42" w:after="0" w:line="240" w:lineRule="auto"/>
        <w:ind w:left="2016" w:right="0" w:hanging="421"/>
        <w:jc w:val="left"/>
        <w:rPr>
          <w:sz w:val="21"/>
        </w:rPr>
      </w:pPr>
      <w:r>
        <w:rPr>
          <w:spacing w:val="-3"/>
          <w:sz w:val="21"/>
        </w:rPr>
        <w:t>填写运行记录、交接班等记录；</w:t>
      </w:r>
    </w:p>
    <w:p>
      <w:pPr>
        <w:pStyle w:val="ListParagraph"/>
        <w:numPr>
          <w:ilvl w:val="2"/>
          <w:numId w:val="6"/>
        </w:numPr>
        <w:tabs>
          <w:tab w:val="left" w:pos="2017"/>
        </w:tabs>
        <w:spacing w:before="43" w:after="0" w:line="240" w:lineRule="auto"/>
        <w:ind w:left="2016" w:right="0" w:hanging="421"/>
        <w:jc w:val="left"/>
        <w:rPr>
          <w:sz w:val="21"/>
        </w:rPr>
      </w:pPr>
      <w:r>
        <w:rPr>
          <w:spacing w:val="-3"/>
          <w:sz w:val="21"/>
        </w:rPr>
        <w:t>进行定期维护保养和自行检查，并且进行记录；</w:t>
      </w:r>
    </w:p>
    <w:p>
      <w:pPr>
        <w:pStyle w:val="ListParagraph"/>
        <w:numPr>
          <w:ilvl w:val="2"/>
          <w:numId w:val="6"/>
        </w:numPr>
        <w:tabs>
          <w:tab w:val="left" w:pos="2017"/>
        </w:tabs>
        <w:spacing w:before="43" w:after="0" w:line="240" w:lineRule="auto"/>
        <w:ind w:left="2016" w:right="0" w:hanging="421"/>
        <w:jc w:val="left"/>
        <w:rPr>
          <w:sz w:val="21"/>
        </w:rPr>
      </w:pPr>
      <w:r>
        <w:rPr>
          <w:spacing w:val="-3"/>
          <w:sz w:val="21"/>
        </w:rPr>
        <w:t>参加安全教育和安全技术培训；</w:t>
      </w:r>
    </w:p>
    <w:p>
      <w:pPr>
        <w:pStyle w:val="ListParagraph"/>
        <w:numPr>
          <w:ilvl w:val="2"/>
          <w:numId w:val="6"/>
        </w:numPr>
        <w:tabs>
          <w:tab w:val="left" w:pos="2017"/>
        </w:tabs>
        <w:spacing w:before="43" w:after="0" w:line="240" w:lineRule="auto"/>
        <w:ind w:left="2016" w:right="0" w:hanging="421"/>
        <w:jc w:val="left"/>
        <w:rPr>
          <w:sz w:val="21"/>
        </w:rPr>
      </w:pPr>
      <w:r>
        <w:rPr>
          <w:spacing w:val="-3"/>
          <w:sz w:val="21"/>
        </w:rPr>
        <w:t>严禁违章作业，拒绝违章指挥；</w:t>
      </w:r>
    </w:p>
    <w:p>
      <w:pPr>
        <w:pStyle w:val="ListParagraph"/>
        <w:numPr>
          <w:ilvl w:val="2"/>
          <w:numId w:val="6"/>
        </w:numPr>
        <w:tabs>
          <w:tab w:val="left" w:pos="2017"/>
        </w:tabs>
        <w:spacing w:before="43" w:after="0" w:line="278" w:lineRule="auto"/>
        <w:ind w:left="2016" w:right="867" w:hanging="421"/>
        <w:jc w:val="both"/>
        <w:rPr>
          <w:sz w:val="21"/>
        </w:rPr>
      </w:pPr>
      <w:r>
        <w:rPr>
          <w:spacing w:val="-6"/>
          <w:sz w:val="21"/>
        </w:rPr>
        <w:t>发现事故隐患或者其他不安全因素立即向现场管理人员和单位有关负责人报告，当事故隐患或者其他不安全因素直接危及人身安全时，停止作业并且在采取可能的应急措施后撤离作业现场；</w:t>
      </w:r>
    </w:p>
    <w:p>
      <w:pPr>
        <w:pStyle w:val="ListParagraph"/>
        <w:numPr>
          <w:ilvl w:val="2"/>
          <w:numId w:val="6"/>
        </w:numPr>
        <w:tabs>
          <w:tab w:val="left" w:pos="2017"/>
        </w:tabs>
        <w:spacing w:before="0" w:after="0" w:line="269" w:lineRule="exact"/>
        <w:ind w:left="2016" w:right="0" w:hanging="421"/>
        <w:jc w:val="both"/>
        <w:rPr>
          <w:sz w:val="21"/>
        </w:rPr>
      </w:pPr>
      <w:r>
        <w:rPr>
          <w:spacing w:val="-3"/>
          <w:sz w:val="21"/>
        </w:rPr>
        <w:t>参加应急救援演练，掌握相应的基本救援技能。</w:t>
      </w:r>
    </w:p>
    <w:p>
      <w:pPr>
        <w:pStyle w:val="BodyText"/>
        <w:spacing w:before="11"/>
        <w:rPr>
          <w:sz w:val="27"/>
        </w:rPr>
      </w:pPr>
    </w:p>
    <w:p>
      <w:pPr>
        <w:pStyle w:val="ListParagraph"/>
        <w:numPr>
          <w:ilvl w:val="0"/>
          <w:numId w:val="6"/>
        </w:numPr>
        <w:tabs>
          <w:tab w:val="left" w:pos="1491"/>
        </w:tabs>
        <w:spacing w:before="1" w:after="0" w:line="240" w:lineRule="auto"/>
        <w:ind w:left="1490" w:right="0" w:hanging="315"/>
        <w:jc w:val="left"/>
        <w:rPr>
          <w:rFonts w:ascii="黑体" w:eastAsia="黑体" w:hint="eastAsia"/>
          <w:sz w:val="21"/>
        </w:rPr>
      </w:pPr>
      <w:r>
        <w:rPr>
          <w:rFonts w:ascii="黑体" w:eastAsia="黑体" w:hint="eastAsia"/>
          <w:spacing w:val="-2"/>
          <w:sz w:val="21"/>
        </w:rPr>
        <w:t>安全管理制度</w:t>
      </w:r>
    </w:p>
    <w:p>
      <w:pPr>
        <w:pStyle w:val="BodyText"/>
        <w:spacing w:before="6"/>
        <w:rPr>
          <w:rFonts w:ascii="黑体"/>
          <w:sz w:val="27"/>
        </w:rPr>
      </w:pPr>
    </w:p>
    <w:p>
      <w:pPr>
        <w:pStyle w:val="ListParagraph"/>
        <w:numPr>
          <w:ilvl w:val="1"/>
          <w:numId w:val="6"/>
        </w:numPr>
        <w:tabs>
          <w:tab w:val="left" w:pos="1702"/>
        </w:tabs>
        <w:spacing w:before="0" w:after="0" w:line="278" w:lineRule="auto"/>
        <w:ind w:left="1176" w:right="874" w:firstLine="0"/>
        <w:jc w:val="left"/>
        <w:rPr>
          <w:sz w:val="21"/>
        </w:rPr>
      </w:pPr>
      <w:r>
        <w:drawing>
          <wp:anchor distT="0" distB="0" distL="0" distR="0" simplePos="0" relativeHeight="251669504" behindDoc="0" locked="0" layoutInCell="1" allowOverlap="1">
            <wp:simplePos x="0" y="0"/>
            <wp:positionH relativeFrom="page">
              <wp:posOffset>215900</wp:posOffset>
            </wp:positionH>
            <wp:positionV relativeFrom="paragraph">
              <wp:posOffset>53687</wp:posOffset>
            </wp:positionV>
            <wp:extent cx="7112000" cy="487680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3"/>
          <w:sz w:val="21"/>
        </w:rPr>
        <w:t>使用单位应当建立基于场车安全风险防控的动态管理机制，建立健全场车使用安全管理制度，结合本单位实际，落实自查要求，并且严格执行。使用安全管理制度至少包括以下内容：</w:t>
      </w:r>
    </w:p>
    <w:p>
      <w:pPr>
        <w:pStyle w:val="ListParagraph"/>
        <w:numPr>
          <w:ilvl w:val="2"/>
          <w:numId w:val="6"/>
        </w:numPr>
        <w:tabs>
          <w:tab w:val="left" w:pos="2017"/>
        </w:tabs>
        <w:spacing w:before="0" w:after="0" w:line="269" w:lineRule="exact"/>
        <w:ind w:left="2016" w:right="0" w:hanging="421"/>
        <w:jc w:val="left"/>
        <w:rPr>
          <w:sz w:val="21"/>
        </w:rPr>
      </w:pPr>
      <w:r>
        <w:rPr>
          <w:spacing w:val="-3"/>
          <w:sz w:val="21"/>
        </w:rPr>
        <w:t>安全管理机构的职责；</w:t>
      </w:r>
    </w:p>
    <w:p>
      <w:pPr>
        <w:pStyle w:val="ListParagraph"/>
        <w:numPr>
          <w:ilvl w:val="2"/>
          <w:numId w:val="6"/>
        </w:numPr>
        <w:tabs>
          <w:tab w:val="left" w:pos="2017"/>
        </w:tabs>
        <w:spacing w:before="43" w:after="0" w:line="240" w:lineRule="auto"/>
        <w:ind w:left="2016" w:right="0" w:hanging="421"/>
        <w:jc w:val="left"/>
        <w:rPr>
          <w:sz w:val="21"/>
        </w:rPr>
      </w:pPr>
      <w:r>
        <w:rPr>
          <w:spacing w:val="-3"/>
          <w:sz w:val="21"/>
        </w:rPr>
        <w:t>单位负责人、场车安全管理人员和作业人员岗位责任制；</w:t>
      </w:r>
    </w:p>
    <w:p>
      <w:pPr>
        <w:pStyle w:val="ListParagraph"/>
        <w:numPr>
          <w:ilvl w:val="2"/>
          <w:numId w:val="6"/>
        </w:numPr>
        <w:tabs>
          <w:tab w:val="left" w:pos="2017"/>
        </w:tabs>
        <w:spacing w:before="43" w:after="0" w:line="240" w:lineRule="auto"/>
        <w:ind w:left="2016" w:right="0" w:hanging="421"/>
        <w:jc w:val="left"/>
        <w:rPr>
          <w:sz w:val="21"/>
        </w:rPr>
      </w:pPr>
      <w:r>
        <w:rPr>
          <w:spacing w:val="-3"/>
          <w:sz w:val="21"/>
        </w:rPr>
        <w:t>安全操作规程，包括操作技术要求、安全要求、操作程序、禁止行为等；</w:t>
      </w:r>
    </w:p>
    <w:p>
      <w:pPr>
        <w:pStyle w:val="ListParagraph"/>
        <w:numPr>
          <w:ilvl w:val="2"/>
          <w:numId w:val="6"/>
        </w:numPr>
        <w:tabs>
          <w:tab w:val="left" w:pos="2017"/>
        </w:tabs>
        <w:spacing w:before="43" w:after="0" w:line="240" w:lineRule="auto"/>
        <w:ind w:left="2016" w:right="0" w:hanging="421"/>
        <w:jc w:val="left"/>
        <w:rPr>
          <w:sz w:val="21"/>
        </w:rPr>
      </w:pPr>
      <w:r>
        <w:rPr>
          <w:spacing w:val="-3"/>
          <w:sz w:val="21"/>
        </w:rPr>
        <w:t>备品备件采购、保管和使用要求；</w:t>
      </w:r>
    </w:p>
    <w:p>
      <w:pPr>
        <w:pStyle w:val="ListParagraph"/>
        <w:numPr>
          <w:ilvl w:val="2"/>
          <w:numId w:val="6"/>
        </w:numPr>
        <w:tabs>
          <w:tab w:val="left" w:pos="2017"/>
        </w:tabs>
        <w:spacing w:before="43" w:after="0" w:line="240" w:lineRule="auto"/>
        <w:ind w:left="2016" w:right="0" w:hanging="421"/>
        <w:jc w:val="left"/>
        <w:rPr>
          <w:sz w:val="21"/>
        </w:rPr>
      </w:pPr>
      <w:r>
        <w:rPr>
          <w:spacing w:val="-3"/>
          <w:sz w:val="21"/>
        </w:rPr>
        <w:t>定期维护保养、自行检查要求；</w:t>
      </w:r>
    </w:p>
    <w:p>
      <w:pPr>
        <w:pStyle w:val="ListParagraph"/>
        <w:numPr>
          <w:ilvl w:val="2"/>
          <w:numId w:val="6"/>
        </w:numPr>
        <w:tabs>
          <w:tab w:val="left" w:pos="2017"/>
        </w:tabs>
        <w:spacing w:before="43" w:after="0" w:line="240" w:lineRule="auto"/>
        <w:ind w:left="2016" w:right="0" w:hanging="421"/>
        <w:jc w:val="left"/>
        <w:rPr>
          <w:sz w:val="21"/>
        </w:rPr>
      </w:pPr>
      <w:r>
        <w:rPr>
          <w:spacing w:val="-3"/>
          <w:sz w:val="21"/>
        </w:rPr>
        <w:t>使用登记和定期报检要求；</w:t>
      </w:r>
    </w:p>
    <w:p>
      <w:pPr>
        <w:pStyle w:val="ListParagraph"/>
        <w:numPr>
          <w:ilvl w:val="2"/>
          <w:numId w:val="6"/>
        </w:numPr>
        <w:tabs>
          <w:tab w:val="left" w:pos="2017"/>
        </w:tabs>
        <w:spacing w:before="43" w:after="0" w:line="240" w:lineRule="auto"/>
        <w:ind w:left="2016" w:right="0" w:hanging="421"/>
        <w:jc w:val="left"/>
        <w:rPr>
          <w:sz w:val="21"/>
        </w:rPr>
      </w:pPr>
      <w:r>
        <w:rPr>
          <w:spacing w:val="-3"/>
          <w:sz w:val="21"/>
        </w:rPr>
        <w:t>安全管理人员、场车作业人员教育培训和持证上岗要求；</w:t>
      </w:r>
    </w:p>
    <w:p>
      <w:pPr>
        <w:pStyle w:val="ListParagraph"/>
        <w:numPr>
          <w:ilvl w:val="2"/>
          <w:numId w:val="6"/>
        </w:numPr>
        <w:tabs>
          <w:tab w:val="left" w:pos="2017"/>
        </w:tabs>
        <w:spacing w:before="43" w:after="0" w:line="240" w:lineRule="auto"/>
        <w:ind w:left="2016" w:right="0" w:hanging="421"/>
        <w:jc w:val="left"/>
        <w:rPr>
          <w:sz w:val="21"/>
        </w:rPr>
      </w:pPr>
      <w:r>
        <w:rPr>
          <w:spacing w:val="-3"/>
          <w:sz w:val="21"/>
        </w:rPr>
        <w:t>安全技术档案管理要求；</w:t>
      </w:r>
    </w:p>
    <w:p>
      <w:pPr>
        <w:pStyle w:val="ListParagraph"/>
        <w:numPr>
          <w:ilvl w:val="2"/>
          <w:numId w:val="6"/>
        </w:numPr>
        <w:tabs>
          <w:tab w:val="left" w:pos="2017"/>
        </w:tabs>
        <w:spacing w:before="43" w:after="0" w:line="240" w:lineRule="auto"/>
        <w:ind w:left="2016" w:right="0" w:hanging="421"/>
        <w:jc w:val="left"/>
        <w:rPr>
          <w:sz w:val="21"/>
        </w:rPr>
      </w:pPr>
      <w:r>
        <w:rPr>
          <w:spacing w:val="-3"/>
          <w:sz w:val="21"/>
        </w:rPr>
        <w:t>应急救援预案和救援演练要求；</w:t>
      </w:r>
    </w:p>
    <w:p>
      <w:pPr>
        <w:pStyle w:val="ListParagraph"/>
        <w:numPr>
          <w:ilvl w:val="2"/>
          <w:numId w:val="6"/>
        </w:numPr>
        <w:tabs>
          <w:tab w:val="left" w:pos="2017"/>
        </w:tabs>
        <w:spacing w:before="43" w:after="0" w:line="240" w:lineRule="auto"/>
        <w:ind w:left="2016" w:right="0" w:hanging="421"/>
        <w:jc w:val="left"/>
        <w:rPr>
          <w:sz w:val="21"/>
        </w:rPr>
      </w:pPr>
      <w:r>
        <w:rPr>
          <w:spacing w:val="-3"/>
          <w:sz w:val="21"/>
        </w:rPr>
        <w:t>事故报告处理制度；</w:t>
      </w:r>
    </w:p>
    <w:p>
      <w:pPr>
        <w:pStyle w:val="ListParagraph"/>
        <w:numPr>
          <w:ilvl w:val="2"/>
          <w:numId w:val="6"/>
        </w:numPr>
        <w:tabs>
          <w:tab w:val="left" w:pos="2017"/>
        </w:tabs>
        <w:spacing w:before="42" w:after="0" w:line="240" w:lineRule="auto"/>
        <w:ind w:left="2016" w:right="0" w:hanging="421"/>
        <w:jc w:val="left"/>
        <w:rPr>
          <w:sz w:val="21"/>
        </w:rPr>
      </w:pPr>
      <w:r>
        <w:rPr>
          <w:spacing w:val="-3"/>
          <w:sz w:val="21"/>
        </w:rPr>
        <w:t>日管控、周排查、月调度工作要求；</w:t>
      </w:r>
    </w:p>
    <w:p>
      <w:pPr>
        <w:pStyle w:val="ListParagraph"/>
        <w:numPr>
          <w:ilvl w:val="2"/>
          <w:numId w:val="6"/>
        </w:numPr>
        <w:tabs>
          <w:tab w:val="left" w:pos="2017"/>
        </w:tabs>
        <w:spacing w:before="44" w:after="0" w:line="240" w:lineRule="auto"/>
        <w:ind w:left="2016" w:right="0" w:hanging="421"/>
        <w:jc w:val="left"/>
        <w:rPr>
          <w:sz w:val="21"/>
        </w:rPr>
      </w:pPr>
      <w:r>
        <w:rPr>
          <w:spacing w:val="-3"/>
          <w:sz w:val="21"/>
        </w:rPr>
        <w:t>安全风险管控制度；</w:t>
      </w:r>
    </w:p>
    <w:p>
      <w:pPr>
        <w:pStyle w:val="ListParagraph"/>
        <w:numPr>
          <w:ilvl w:val="2"/>
          <w:numId w:val="6"/>
        </w:numPr>
        <w:tabs>
          <w:tab w:val="left" w:pos="2017"/>
        </w:tabs>
        <w:spacing w:before="42" w:after="0" w:line="240" w:lineRule="auto"/>
        <w:ind w:left="2016" w:right="0" w:hanging="421"/>
        <w:jc w:val="left"/>
        <w:rPr>
          <w:sz w:val="21"/>
        </w:rPr>
      </w:pPr>
      <w:r>
        <w:rPr>
          <w:spacing w:val="-3"/>
          <w:sz w:val="21"/>
        </w:rPr>
        <w:t>执行本规范以及有关安全技术规范和接受安全监察的要求。</w:t>
      </w:r>
    </w:p>
    <w:p>
      <w:pPr>
        <w:pStyle w:val="BodyText"/>
        <w:spacing w:before="7"/>
        <w:rPr>
          <w:sz w:val="15"/>
        </w:rPr>
      </w:pPr>
    </w:p>
    <w:p>
      <w:pPr>
        <w:pStyle w:val="ListParagraph"/>
        <w:numPr>
          <w:ilvl w:val="1"/>
          <w:numId w:val="6"/>
        </w:numPr>
        <w:tabs>
          <w:tab w:val="left" w:pos="1702"/>
        </w:tabs>
        <w:spacing w:before="0" w:after="0" w:line="240" w:lineRule="auto"/>
        <w:ind w:left="1701" w:right="0" w:hanging="526"/>
        <w:jc w:val="left"/>
        <w:rPr>
          <w:rFonts w:ascii="黑体" w:eastAsia="黑体" w:hint="eastAsia"/>
          <w:sz w:val="21"/>
        </w:rPr>
      </w:pPr>
      <w:r>
        <w:rPr>
          <w:spacing w:val="-3"/>
          <w:sz w:val="21"/>
        </w:rPr>
        <w:t>使用单位应当建立场车安全技术档案。安全技术档案至少包括以下内</w:t>
      </w:r>
      <w:r>
        <w:rPr>
          <w:rFonts w:ascii="黑体" w:eastAsia="黑体" w:hint="eastAsia"/>
          <w:spacing w:val="-2"/>
          <w:sz w:val="21"/>
        </w:rPr>
        <w:t>容：</w:t>
      </w:r>
    </w:p>
    <w:p>
      <w:pPr>
        <w:pStyle w:val="BodyText"/>
        <w:spacing w:before="7"/>
        <w:rPr>
          <w:rFonts w:ascii="黑体"/>
          <w:sz w:val="15"/>
        </w:rPr>
      </w:pPr>
    </w:p>
    <w:p>
      <w:pPr>
        <w:pStyle w:val="ListParagraph"/>
        <w:numPr>
          <w:ilvl w:val="2"/>
          <w:numId w:val="6"/>
        </w:numPr>
        <w:tabs>
          <w:tab w:val="left" w:pos="2017"/>
        </w:tabs>
        <w:spacing w:before="0" w:after="0" w:line="240" w:lineRule="auto"/>
        <w:ind w:left="2016" w:right="0" w:hanging="421"/>
        <w:jc w:val="both"/>
        <w:rPr>
          <w:sz w:val="21"/>
        </w:rPr>
      </w:pPr>
      <w:r>
        <w:rPr>
          <w:spacing w:val="-2"/>
          <w:sz w:val="21"/>
        </w:rPr>
        <w:t>使用登记证；</w:t>
      </w:r>
    </w:p>
    <w:p>
      <w:pPr>
        <w:pStyle w:val="ListParagraph"/>
        <w:numPr>
          <w:ilvl w:val="2"/>
          <w:numId w:val="6"/>
        </w:numPr>
        <w:tabs>
          <w:tab w:val="left" w:pos="2017"/>
        </w:tabs>
        <w:spacing w:before="43" w:after="0" w:line="240" w:lineRule="auto"/>
        <w:ind w:left="2016" w:right="0" w:hanging="421"/>
        <w:jc w:val="both"/>
        <w:rPr>
          <w:sz w:val="21"/>
        </w:rPr>
      </w:pPr>
      <w:r>
        <w:rPr>
          <w:spacing w:val="-2"/>
          <w:sz w:val="21"/>
        </w:rPr>
        <w:t>使用登记表；</w:t>
      </w:r>
    </w:p>
    <w:p>
      <w:pPr>
        <w:pStyle w:val="ListParagraph"/>
        <w:numPr>
          <w:ilvl w:val="2"/>
          <w:numId w:val="6"/>
        </w:numPr>
        <w:tabs>
          <w:tab w:val="left" w:pos="2017"/>
        </w:tabs>
        <w:spacing w:before="43" w:after="0" w:line="278" w:lineRule="auto"/>
        <w:ind w:left="2016" w:right="867" w:hanging="421"/>
        <w:jc w:val="both"/>
        <w:rPr>
          <w:sz w:val="21"/>
        </w:rPr>
      </w:pPr>
      <w:r>
        <w:rPr>
          <w:spacing w:val="-7"/>
          <w:sz w:val="21"/>
        </w:rPr>
        <w:t>随机产品技术资料，包括产品质量合格证明</w:t>
      </w:r>
      <w:r>
        <w:rPr>
          <w:spacing w:val="-3"/>
          <w:sz w:val="21"/>
        </w:rPr>
        <w:t>（包括出厂检验报告和产品合格证</w:t>
      </w:r>
      <w:r>
        <w:rPr>
          <w:spacing w:val="-24"/>
          <w:sz w:val="21"/>
        </w:rPr>
        <w:t>）</w:t>
      </w:r>
      <w:r>
        <w:rPr>
          <w:spacing w:val="-7"/>
          <w:sz w:val="21"/>
        </w:rPr>
        <w:t>、特种设备生</w:t>
      </w:r>
      <w:r>
        <w:rPr>
          <w:spacing w:val="-5"/>
          <w:sz w:val="21"/>
        </w:rPr>
        <w:t>产许可证</w:t>
      </w:r>
      <w:r>
        <w:rPr>
          <w:rFonts w:ascii="Times New Roman" w:eastAsia="Times New Roman"/>
          <w:sz w:val="21"/>
        </w:rPr>
        <w:t>(</w:t>
      </w:r>
      <w:r>
        <w:rPr>
          <w:spacing w:val="-3"/>
          <w:sz w:val="21"/>
        </w:rPr>
        <w:t>进口场车仅提供型式试验证书</w:t>
      </w:r>
      <w:r>
        <w:rPr>
          <w:rFonts w:ascii="Times New Roman" w:eastAsia="Times New Roman"/>
          <w:spacing w:val="-3"/>
          <w:sz w:val="21"/>
        </w:rPr>
        <w:t>)</w:t>
      </w:r>
      <w:r>
        <w:rPr>
          <w:spacing w:val="-6"/>
          <w:sz w:val="21"/>
        </w:rPr>
        <w:t>、整机型式试验证书、使用维护说明书、具有防爆功</w:t>
      </w:r>
      <w:r>
        <w:rPr>
          <w:spacing w:val="-4"/>
          <w:sz w:val="21"/>
        </w:rPr>
        <w:t>能叉车的整机防爆合格证等；</w:t>
      </w:r>
    </w:p>
    <w:p>
      <w:pPr>
        <w:pStyle w:val="ListParagraph"/>
        <w:numPr>
          <w:ilvl w:val="2"/>
          <w:numId w:val="6"/>
        </w:numPr>
        <w:tabs>
          <w:tab w:val="left" w:pos="2017"/>
        </w:tabs>
        <w:spacing w:before="0" w:after="0" w:line="269" w:lineRule="exact"/>
        <w:ind w:left="2016" w:right="0" w:hanging="421"/>
        <w:jc w:val="both"/>
        <w:rPr>
          <w:sz w:val="21"/>
        </w:rPr>
      </w:pPr>
      <w:r>
        <w:rPr>
          <w:spacing w:val="-3"/>
          <w:sz w:val="21"/>
        </w:rPr>
        <w:t>首次检验及定期检验报告；</w:t>
      </w:r>
    </w:p>
    <w:p>
      <w:pPr>
        <w:pStyle w:val="BodyText"/>
        <w:spacing w:before="10"/>
        <w:rPr>
          <w:sz w:val="12"/>
        </w:rPr>
      </w:pPr>
    </w:p>
    <w:p>
      <w:pPr>
        <w:spacing w:before="0"/>
        <w:ind w:left="0" w:right="1072" w:firstLine="0"/>
        <w:jc w:val="right"/>
        <w:rPr>
          <w:sz w:val="18"/>
        </w:rPr>
      </w:pPr>
      <w:r>
        <w:rPr>
          <w:sz w:val="18"/>
        </w:rPr>
        <w:t>3</w:t>
      </w:r>
    </w:p>
    <w:p>
      <w:pPr>
        <w:spacing w:after="0"/>
        <w:jc w:val="right"/>
        <w:rPr>
          <w:sz w:val="18"/>
        </w:rPr>
        <w:sectPr>
          <w:headerReference w:type="even" r:id="rId14"/>
          <w:headerReference w:type="default" r:id="rId15"/>
          <w:pgSz w:w="11910" w:h="16840"/>
          <w:pgMar w:top="1660" w:right="260" w:bottom="280" w:left="240" w:header="1441" w:footer="0"/>
          <w:pgNumType w:start="7"/>
          <w:cols w:space="708"/>
        </w:sectPr>
      </w:pPr>
    </w:p>
    <w:p>
      <w:pPr>
        <w:pStyle w:val="BodyText"/>
        <w:spacing w:before="7"/>
        <w:rPr>
          <w:sz w:val="14"/>
        </w:rPr>
      </w:pPr>
    </w:p>
    <w:p>
      <w:pPr>
        <w:pStyle w:val="ListParagraph"/>
        <w:numPr>
          <w:ilvl w:val="2"/>
          <w:numId w:val="6"/>
        </w:numPr>
        <w:tabs>
          <w:tab w:val="left" w:pos="1733"/>
        </w:tabs>
        <w:spacing w:before="71" w:after="0" w:line="240" w:lineRule="auto"/>
        <w:ind w:left="1732" w:right="0" w:hanging="421"/>
        <w:jc w:val="left"/>
        <w:rPr>
          <w:sz w:val="21"/>
        </w:rPr>
      </w:pPr>
      <w:r>
        <w:rPr>
          <w:spacing w:val="-3"/>
          <w:sz w:val="21"/>
        </w:rPr>
        <w:t>定期自行检查记录或报告；</w:t>
      </w:r>
    </w:p>
    <w:p>
      <w:pPr>
        <w:pStyle w:val="ListParagraph"/>
        <w:numPr>
          <w:ilvl w:val="2"/>
          <w:numId w:val="6"/>
        </w:numPr>
        <w:tabs>
          <w:tab w:val="left" w:pos="1733"/>
        </w:tabs>
        <w:spacing w:before="43" w:after="0" w:line="240" w:lineRule="auto"/>
        <w:ind w:left="1732" w:right="0" w:hanging="421"/>
        <w:jc w:val="left"/>
        <w:rPr>
          <w:sz w:val="21"/>
        </w:rPr>
      </w:pPr>
      <w:r>
        <w:rPr>
          <w:spacing w:val="-3"/>
          <w:sz w:val="21"/>
        </w:rPr>
        <w:t>日常使用状况记录；</w:t>
      </w:r>
    </w:p>
    <w:p>
      <w:pPr>
        <w:pStyle w:val="ListParagraph"/>
        <w:numPr>
          <w:ilvl w:val="2"/>
          <w:numId w:val="6"/>
        </w:numPr>
        <w:tabs>
          <w:tab w:val="left" w:pos="1733"/>
        </w:tabs>
        <w:spacing w:before="43" w:after="0" w:line="240" w:lineRule="auto"/>
        <w:ind w:left="1732" w:right="0" w:hanging="421"/>
        <w:jc w:val="left"/>
        <w:rPr>
          <w:sz w:val="21"/>
        </w:rPr>
      </w:pPr>
      <w:r>
        <w:rPr>
          <w:spacing w:val="-2"/>
          <w:sz w:val="21"/>
        </w:rPr>
        <w:t>维护保养记录；</w:t>
      </w:r>
    </w:p>
    <w:p>
      <w:pPr>
        <w:pStyle w:val="ListParagraph"/>
        <w:numPr>
          <w:ilvl w:val="2"/>
          <w:numId w:val="6"/>
        </w:numPr>
        <w:tabs>
          <w:tab w:val="left" w:pos="1733"/>
        </w:tabs>
        <w:spacing w:before="43" w:after="0" w:line="240" w:lineRule="auto"/>
        <w:ind w:left="1732" w:right="0" w:hanging="421"/>
        <w:jc w:val="left"/>
        <w:rPr>
          <w:sz w:val="21"/>
        </w:rPr>
      </w:pPr>
      <w:r>
        <w:rPr>
          <w:spacing w:val="-3"/>
          <w:sz w:val="21"/>
        </w:rPr>
        <w:t>运行故障、事故记录及事故处理报告。</w:t>
      </w:r>
    </w:p>
    <w:p>
      <w:pPr>
        <w:pStyle w:val="BodyText"/>
        <w:spacing w:before="11"/>
        <w:rPr>
          <w:sz w:val="27"/>
        </w:rPr>
      </w:pPr>
    </w:p>
    <w:p>
      <w:pPr>
        <w:pStyle w:val="ListParagraph"/>
        <w:numPr>
          <w:ilvl w:val="0"/>
          <w:numId w:val="6"/>
        </w:numPr>
        <w:tabs>
          <w:tab w:val="left" w:pos="1208"/>
        </w:tabs>
        <w:spacing w:before="1" w:after="0" w:line="240" w:lineRule="auto"/>
        <w:ind w:left="1207" w:right="0" w:hanging="316"/>
        <w:jc w:val="left"/>
        <w:rPr>
          <w:rFonts w:ascii="黑体" w:eastAsia="黑体" w:hint="eastAsia"/>
          <w:sz w:val="21"/>
        </w:rPr>
      </w:pPr>
      <w:r>
        <w:rPr>
          <w:rFonts w:ascii="黑体" w:eastAsia="黑体" w:hint="eastAsia"/>
          <w:spacing w:val="-2"/>
          <w:sz w:val="21"/>
        </w:rPr>
        <w:t>维护保养和检查</w:t>
      </w:r>
    </w:p>
    <w:p>
      <w:pPr>
        <w:pStyle w:val="BodyText"/>
        <w:spacing w:before="6"/>
        <w:rPr>
          <w:rFonts w:ascii="黑体"/>
          <w:sz w:val="27"/>
        </w:rPr>
      </w:pPr>
    </w:p>
    <w:p>
      <w:pPr>
        <w:pStyle w:val="ListParagraph"/>
        <w:numPr>
          <w:ilvl w:val="1"/>
          <w:numId w:val="6"/>
        </w:numPr>
        <w:tabs>
          <w:tab w:val="left" w:pos="1523"/>
          <w:tab w:val="left" w:pos="1524"/>
        </w:tabs>
        <w:spacing w:before="0" w:after="0" w:line="240" w:lineRule="auto"/>
        <w:ind w:left="1523" w:right="0" w:hanging="632"/>
        <w:jc w:val="left"/>
        <w:rPr>
          <w:rFonts w:ascii="黑体" w:eastAsia="黑体" w:hint="eastAsia"/>
          <w:sz w:val="21"/>
        </w:rPr>
      </w:pPr>
      <w:r>
        <w:rPr>
          <w:rFonts w:ascii="黑体" w:eastAsia="黑体" w:hint="eastAsia"/>
          <w:spacing w:val="-2"/>
          <w:sz w:val="21"/>
        </w:rPr>
        <w:t>一般要求</w:t>
      </w:r>
    </w:p>
    <w:p>
      <w:pPr>
        <w:pStyle w:val="BodyText"/>
        <w:spacing w:before="7"/>
        <w:rPr>
          <w:rFonts w:ascii="黑体"/>
          <w:sz w:val="15"/>
        </w:rPr>
      </w:pPr>
    </w:p>
    <w:p>
      <w:pPr>
        <w:pStyle w:val="ListParagraph"/>
        <w:numPr>
          <w:ilvl w:val="2"/>
          <w:numId w:val="5"/>
        </w:numPr>
        <w:tabs>
          <w:tab w:val="left" w:pos="1733"/>
        </w:tabs>
        <w:spacing w:before="0" w:after="0" w:line="278" w:lineRule="auto"/>
        <w:ind w:left="892" w:right="1154" w:firstLine="0"/>
        <w:jc w:val="both"/>
        <w:rPr>
          <w:sz w:val="21"/>
        </w:rPr>
      </w:pPr>
      <w:r>
        <w:rPr>
          <w:spacing w:val="-7"/>
          <w:sz w:val="21"/>
        </w:rPr>
        <w:t>使用单位应当对在用场车进行经常性维护保养和定期自行检查，维护保养应当符合有关安全技</w:t>
      </w:r>
      <w:r>
        <w:rPr>
          <w:spacing w:val="-10"/>
          <w:sz w:val="21"/>
        </w:rPr>
        <w:t>术规范和产品使用维护说明的要求，定期自行检查分为月度检查和年度检查；对维护保养和检查中发现</w:t>
      </w:r>
      <w:r>
        <w:rPr>
          <w:spacing w:val="-7"/>
          <w:sz w:val="21"/>
        </w:rPr>
        <w:t xml:space="preserve">的异常情况应当及时处理，消除事故隐患，并记录；维护保养、定期自行检查记录至少保存 </w:t>
      </w:r>
      <w:r>
        <w:rPr>
          <w:sz w:val="21"/>
        </w:rPr>
        <w:t>5</w:t>
      </w:r>
      <w:r>
        <w:rPr>
          <w:spacing w:val="-17"/>
          <w:sz w:val="21"/>
        </w:rPr>
        <w:t xml:space="preserve"> 年。</w:t>
      </w:r>
    </w:p>
    <w:p>
      <w:pPr>
        <w:pStyle w:val="ListParagraph"/>
        <w:numPr>
          <w:ilvl w:val="2"/>
          <w:numId w:val="5"/>
        </w:numPr>
        <w:tabs>
          <w:tab w:val="left" w:pos="1628"/>
        </w:tabs>
        <w:spacing w:before="0" w:after="0" w:line="278" w:lineRule="auto"/>
        <w:ind w:left="892" w:right="1160" w:firstLine="0"/>
        <w:jc w:val="both"/>
        <w:rPr>
          <w:sz w:val="21"/>
        </w:rPr>
      </w:pPr>
      <w:r>
        <w:rPr>
          <w:spacing w:val="-3"/>
          <w:sz w:val="21"/>
        </w:rPr>
        <w:t>场车的维护保养、月度检查由使用单位的场车作业人员实施，年度检查由使用单位的场车安全员负责组织实施。</w:t>
      </w:r>
    </w:p>
    <w:p>
      <w:pPr>
        <w:pStyle w:val="ListParagraph"/>
        <w:numPr>
          <w:ilvl w:val="2"/>
          <w:numId w:val="5"/>
        </w:numPr>
        <w:tabs>
          <w:tab w:val="left" w:pos="1628"/>
        </w:tabs>
        <w:spacing w:before="0" w:after="0" w:line="278" w:lineRule="auto"/>
        <w:ind w:left="892" w:right="1160" w:firstLine="0"/>
        <w:jc w:val="both"/>
        <w:rPr>
          <w:sz w:val="21"/>
        </w:rPr>
      </w:pPr>
      <w:r>
        <w:rPr>
          <w:spacing w:val="-3"/>
          <w:sz w:val="21"/>
        </w:rPr>
        <w:t>使用单位应当在场车每日投入使用前，按照使用维护说明的要求进行日常检查，在使用过程中还应当加强对场车的巡检，并形成使用记录。</w:t>
      </w:r>
    </w:p>
    <w:p>
      <w:pPr>
        <w:pStyle w:val="ListParagraph"/>
        <w:numPr>
          <w:ilvl w:val="2"/>
          <w:numId w:val="5"/>
        </w:numPr>
        <w:tabs>
          <w:tab w:val="left" w:pos="1628"/>
        </w:tabs>
        <w:spacing w:before="0" w:after="0" w:line="278" w:lineRule="auto"/>
        <w:ind w:left="892" w:right="1160" w:firstLine="0"/>
        <w:jc w:val="both"/>
        <w:rPr>
          <w:sz w:val="21"/>
        </w:rPr>
      </w:pPr>
      <w:r>
        <w:rPr>
          <w:spacing w:val="-3"/>
          <w:sz w:val="21"/>
        </w:rPr>
        <w:t>场车使用中出现故障或者发生异常情况，使用单位应当停止使用，对其进行检查，消除事故隐患，并记录。</w:t>
      </w:r>
    </w:p>
    <w:p>
      <w:pPr>
        <w:pStyle w:val="ListParagraph"/>
        <w:numPr>
          <w:ilvl w:val="2"/>
          <w:numId w:val="5"/>
        </w:numPr>
        <w:tabs>
          <w:tab w:val="left" w:pos="1628"/>
        </w:tabs>
        <w:spacing w:before="0" w:after="0" w:line="278" w:lineRule="auto"/>
        <w:ind w:left="892" w:right="1160" w:firstLine="0"/>
        <w:jc w:val="both"/>
        <w:rPr>
          <w:sz w:val="21"/>
        </w:rPr>
      </w:pPr>
      <w:r>
        <w:rPr>
          <w:spacing w:val="-3"/>
          <w:sz w:val="21"/>
        </w:rPr>
        <w:t>更换叉车的防爆部件时，使用单位应当保证新部件的防爆级别和技术要求不低于原部件，并且对整车防爆性能的有效性负责，更换记录、部件防爆合格证等技术资料应当存入安全技术档案。</w:t>
      </w:r>
    </w:p>
    <w:p>
      <w:pPr>
        <w:pStyle w:val="ListParagraph"/>
        <w:numPr>
          <w:ilvl w:val="2"/>
          <w:numId w:val="5"/>
        </w:numPr>
        <w:tabs>
          <w:tab w:val="left" w:pos="1628"/>
        </w:tabs>
        <w:spacing w:before="0" w:after="0" w:line="278" w:lineRule="auto"/>
        <w:ind w:left="892" w:right="1160" w:firstLine="0"/>
        <w:jc w:val="both"/>
        <w:rPr>
          <w:sz w:val="21"/>
        </w:rPr>
      </w:pPr>
      <w:r>
        <w:drawing>
          <wp:anchor distT="0" distB="0" distL="0" distR="0" simplePos="0" relativeHeight="251670528" behindDoc="0" locked="0" layoutInCell="1" allowOverlap="1">
            <wp:simplePos x="0" y="0"/>
            <wp:positionH relativeFrom="page">
              <wp:posOffset>215900</wp:posOffset>
            </wp:positionH>
            <wp:positionV relativeFrom="paragraph">
              <wp:posOffset>152796</wp:posOffset>
            </wp:positionV>
            <wp:extent cx="7112000" cy="48768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pacing w:val="-3"/>
          <w:sz w:val="21"/>
        </w:rPr>
        <w:t>维护保养、使用和检查记录可以采用无纸化记录形式，但是内容必须符合本规范要求。数据储存确保客观、真实和安全,并可实时进行查询。</w:t>
      </w:r>
    </w:p>
    <w:p>
      <w:pPr>
        <w:pStyle w:val="ListParagraph"/>
        <w:numPr>
          <w:ilvl w:val="1"/>
          <w:numId w:val="6"/>
        </w:numPr>
        <w:tabs>
          <w:tab w:val="left" w:pos="1523"/>
          <w:tab w:val="left" w:pos="1524"/>
        </w:tabs>
        <w:spacing w:before="154" w:after="0" w:line="240" w:lineRule="auto"/>
        <w:ind w:left="1523" w:right="0" w:hanging="632"/>
        <w:jc w:val="left"/>
        <w:rPr>
          <w:rFonts w:ascii="黑体" w:eastAsia="黑体" w:hint="eastAsia"/>
          <w:sz w:val="21"/>
        </w:rPr>
      </w:pPr>
      <w:r>
        <w:rPr>
          <w:rFonts w:ascii="黑体" w:eastAsia="黑体" w:hint="eastAsia"/>
          <w:spacing w:val="-3"/>
          <w:sz w:val="21"/>
        </w:rPr>
        <w:t>维护保养、月度检查和年度检查</w:t>
      </w:r>
    </w:p>
    <w:p>
      <w:pPr>
        <w:pStyle w:val="BodyText"/>
        <w:spacing w:before="7"/>
        <w:rPr>
          <w:rFonts w:ascii="黑体"/>
          <w:sz w:val="15"/>
        </w:rPr>
      </w:pPr>
    </w:p>
    <w:p>
      <w:pPr>
        <w:pStyle w:val="ListParagraph"/>
        <w:numPr>
          <w:ilvl w:val="2"/>
          <w:numId w:val="4"/>
        </w:numPr>
        <w:tabs>
          <w:tab w:val="left" w:pos="1628"/>
        </w:tabs>
        <w:spacing w:before="0" w:after="0" w:line="278" w:lineRule="auto"/>
        <w:ind w:left="892" w:right="1152" w:firstLine="0"/>
        <w:jc w:val="both"/>
        <w:rPr>
          <w:sz w:val="21"/>
        </w:rPr>
      </w:pPr>
      <w:r>
        <w:rPr>
          <w:spacing w:val="-3"/>
          <w:sz w:val="21"/>
        </w:rPr>
        <w:t>使用单位应当根据叉车和非公路用旅游观光车辆具体型式，按照有关法律法规、安全技术规范</w:t>
      </w:r>
      <w:r>
        <w:rPr>
          <w:spacing w:val="-10"/>
          <w:sz w:val="21"/>
        </w:rPr>
        <w:t>及相关标准、使用维护保养说明的要求，选择维护保养、月度检查、年度检查的项目。使用单位可以根</w:t>
      </w:r>
      <w:r>
        <w:rPr>
          <w:spacing w:val="-11"/>
          <w:sz w:val="21"/>
        </w:rPr>
        <w:t>据场车的使用繁重程度、环境条件状况，确定高于本规范规定的维护保养、月度检查、年度检查的周期</w:t>
      </w:r>
      <w:r>
        <w:rPr>
          <w:spacing w:val="-7"/>
          <w:sz w:val="21"/>
        </w:rPr>
        <w:t>和内容。</w:t>
      </w:r>
    </w:p>
    <w:p>
      <w:pPr>
        <w:pStyle w:val="ListParagraph"/>
        <w:numPr>
          <w:ilvl w:val="2"/>
          <w:numId w:val="4"/>
        </w:numPr>
        <w:tabs>
          <w:tab w:val="left" w:pos="1628"/>
        </w:tabs>
        <w:spacing w:before="0" w:after="0" w:line="278" w:lineRule="auto"/>
        <w:ind w:left="892" w:right="1047" w:firstLine="0"/>
        <w:jc w:val="both"/>
        <w:rPr>
          <w:sz w:val="21"/>
        </w:rPr>
      </w:pPr>
      <w:r>
        <w:rPr>
          <w:spacing w:val="-12"/>
          <w:sz w:val="21"/>
        </w:rPr>
        <w:t>维护保养应至少包括主要受力结构件、安全保护和防护装置、工作机构、操纵机构、电气(液压、</w:t>
      </w:r>
      <w:r>
        <w:rPr>
          <w:spacing w:val="-6"/>
          <w:sz w:val="21"/>
        </w:rPr>
        <w:t>气动)控制系统等的清洁、润滑、检查、调整、更换易损件和失效的零部件。</w:t>
      </w:r>
    </w:p>
    <w:p>
      <w:pPr>
        <w:pStyle w:val="ListParagraph"/>
        <w:numPr>
          <w:ilvl w:val="2"/>
          <w:numId w:val="4"/>
        </w:numPr>
        <w:tabs>
          <w:tab w:val="left" w:pos="1628"/>
        </w:tabs>
        <w:spacing w:before="0" w:after="0" w:line="278" w:lineRule="auto"/>
        <w:ind w:left="892" w:right="1054" w:firstLine="0"/>
        <w:jc w:val="left"/>
        <w:rPr>
          <w:sz w:val="21"/>
        </w:rPr>
      </w:pPr>
      <w:r>
        <w:rPr>
          <w:spacing w:val="-3"/>
          <w:sz w:val="21"/>
        </w:rPr>
        <w:t>月度检查应至少包括整车工作性能、动力系统、转向系统、起升系统、液压系统、制动功能、安全保护和防护装置、载荷搬运装置、载荷装卸控制装置、车轮紧固件、充气轮胎的气压、警示装置、灯光、仪表显示、安全监控装置等。</w:t>
      </w:r>
    </w:p>
    <w:p>
      <w:pPr>
        <w:pStyle w:val="ListParagraph"/>
        <w:numPr>
          <w:ilvl w:val="2"/>
          <w:numId w:val="4"/>
        </w:numPr>
        <w:tabs>
          <w:tab w:val="left" w:pos="1628"/>
        </w:tabs>
        <w:spacing w:before="0" w:after="0" w:line="278" w:lineRule="auto"/>
        <w:ind w:left="892" w:right="1044" w:firstLine="0"/>
        <w:jc w:val="left"/>
        <w:rPr>
          <w:sz w:val="21"/>
        </w:rPr>
      </w:pPr>
      <w:r>
        <w:rPr>
          <w:spacing w:val="-9"/>
          <w:sz w:val="21"/>
        </w:rPr>
        <w:t xml:space="preserve">年度检查除包括 </w:t>
      </w:r>
      <w:r>
        <w:rPr>
          <w:sz w:val="21"/>
        </w:rPr>
        <w:t>7.2.3</w:t>
      </w:r>
      <w:r>
        <w:rPr>
          <w:spacing w:val="-8"/>
          <w:sz w:val="21"/>
        </w:rPr>
        <w:t xml:space="preserve"> 要求的月度检查内容外，还应当包括主要受力结构件的变形、裂纹、腐</w:t>
      </w:r>
      <w:r>
        <w:rPr>
          <w:spacing w:val="-15"/>
          <w:sz w:val="21"/>
        </w:rPr>
        <w:t xml:space="preserve">蚀，实心截面货叉的厚度磨损量，以及其焊缝、铆钉、螺栓等的连接，主要零部件的变形、裂纹、磨损， </w:t>
      </w:r>
      <w:r>
        <w:rPr>
          <w:spacing w:val="-7"/>
          <w:sz w:val="21"/>
        </w:rPr>
        <w:t>指示装置的可靠性和精度，电气和控制系统功能的检查，必要时还需要进行相关试验。</w:t>
      </w:r>
    </w:p>
    <w:p>
      <w:pPr>
        <w:pStyle w:val="ListParagraph"/>
        <w:numPr>
          <w:ilvl w:val="2"/>
          <w:numId w:val="4"/>
        </w:numPr>
        <w:tabs>
          <w:tab w:val="left" w:pos="1628"/>
        </w:tabs>
        <w:spacing w:before="0" w:after="0" w:line="278" w:lineRule="auto"/>
        <w:ind w:left="892" w:right="1160" w:firstLine="0"/>
        <w:jc w:val="left"/>
        <w:rPr>
          <w:sz w:val="21"/>
        </w:rPr>
      </w:pPr>
      <w:r>
        <w:rPr>
          <w:spacing w:val="-3"/>
          <w:sz w:val="21"/>
        </w:rPr>
        <w:t>在爆炸性环境使用的叉车年度检查还应包括对隔爆型、浇封型电气部件，蓄电池及电源装置的安装连接，电路连接性能，电缆引入装置，外壳多余孔及金属部件与整车等电位要求的安全检查。</w:t>
      </w:r>
    </w:p>
    <w:p>
      <w:pPr>
        <w:pStyle w:val="ListParagraph"/>
        <w:numPr>
          <w:ilvl w:val="2"/>
          <w:numId w:val="4"/>
        </w:numPr>
        <w:tabs>
          <w:tab w:val="left" w:pos="1628"/>
        </w:tabs>
        <w:spacing w:before="0" w:after="0" w:line="240" w:lineRule="auto"/>
        <w:ind w:left="1627" w:right="0" w:hanging="736"/>
        <w:jc w:val="left"/>
        <w:rPr>
          <w:sz w:val="21"/>
        </w:rPr>
      </w:pPr>
      <w:r>
        <w:rPr>
          <w:spacing w:val="-2"/>
          <w:sz w:val="21"/>
        </w:rPr>
        <w:t>叉车的维护保养、月度检查、年度检查的项目、基本内容与要求可参照附录</w:t>
      </w:r>
      <w:r>
        <w:rPr>
          <w:sz w:val="21"/>
        </w:rPr>
        <w:t>A。</w:t>
      </w:r>
    </w:p>
    <w:p>
      <w:pPr>
        <w:pStyle w:val="ListParagraph"/>
        <w:numPr>
          <w:ilvl w:val="2"/>
          <w:numId w:val="4"/>
        </w:numPr>
        <w:tabs>
          <w:tab w:val="left" w:pos="1628"/>
        </w:tabs>
        <w:spacing w:before="41" w:after="0" w:line="278" w:lineRule="auto"/>
        <w:ind w:left="892" w:right="1160" w:firstLine="0"/>
        <w:jc w:val="left"/>
        <w:rPr>
          <w:sz w:val="21"/>
        </w:rPr>
      </w:pPr>
      <w:r>
        <w:rPr>
          <w:spacing w:val="-3"/>
          <w:sz w:val="21"/>
        </w:rPr>
        <w:t>非公路用旅游观光车辆的维护保养、月度检查、年度检查的项目、基本内容与要求可参照附录B。</w:t>
      </w:r>
    </w:p>
    <w:p>
      <w:pPr>
        <w:pStyle w:val="BodyText"/>
        <w:rPr>
          <w:sz w:val="20"/>
        </w:rPr>
      </w:pPr>
    </w:p>
    <w:p>
      <w:pPr>
        <w:pStyle w:val="BodyText"/>
        <w:rPr>
          <w:sz w:val="20"/>
        </w:rPr>
      </w:pPr>
    </w:p>
    <w:p>
      <w:pPr>
        <w:pStyle w:val="BodyText"/>
        <w:spacing w:before="7"/>
        <w:rPr>
          <w:sz w:val="24"/>
        </w:rPr>
      </w:pPr>
    </w:p>
    <w:p>
      <w:pPr>
        <w:spacing w:before="74"/>
        <w:ind w:left="1113" w:right="0" w:firstLine="0"/>
        <w:jc w:val="left"/>
        <w:rPr>
          <w:sz w:val="18"/>
        </w:rPr>
      </w:pPr>
      <w:r>
        <w:rPr>
          <w:sz w:val="18"/>
        </w:rPr>
        <w:t>4</w:t>
      </w:r>
    </w:p>
    <w:p>
      <w:pPr>
        <w:spacing w:after="0"/>
        <w:jc w:val="left"/>
        <w:rPr>
          <w:sz w:val="18"/>
        </w:rPr>
        <w:sectPr>
          <w:headerReference w:type="even" r:id="rId16"/>
          <w:headerReference w:type="default" r:id="rId17"/>
          <w:pgSz w:w="11910" w:h="16840"/>
          <w:pgMar w:top="1660" w:right="260" w:bottom="280" w:left="240" w:header="1441" w:footer="0"/>
          <w:pgNumType w:start="8"/>
          <w:cols w:space="708"/>
        </w:sectPr>
      </w:pPr>
    </w:p>
    <w:p>
      <w:pPr>
        <w:pStyle w:val="BodyText"/>
        <w:rPr>
          <w:sz w:val="20"/>
        </w:rPr>
      </w:pPr>
      <w:r>
        <w:drawing>
          <wp:anchor distT="0" distB="0" distL="0" distR="0" simplePos="0" relativeHeight="251671552" behindDoc="0" locked="0" layoutInCell="1" allowOverlap="1">
            <wp:simplePos x="0" y="0"/>
            <wp:positionH relativeFrom="page">
              <wp:posOffset>215900</wp:posOffset>
            </wp:positionH>
            <wp:positionV relativeFrom="page">
              <wp:posOffset>5243703</wp:posOffset>
            </wp:positionV>
            <wp:extent cx="7112000" cy="4876800"/>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rPr>
          <w:sz w:val="20"/>
        </w:rPr>
      </w:pPr>
    </w:p>
    <w:p>
      <w:pPr>
        <w:pStyle w:val="BodyText"/>
        <w:spacing w:before="9"/>
        <w:rPr>
          <w:sz w:val="25"/>
        </w:rPr>
      </w:pPr>
    </w:p>
    <w:p>
      <w:pPr>
        <w:pStyle w:val="BodyText"/>
        <w:spacing w:before="71"/>
        <w:ind w:left="304"/>
        <w:jc w:val="center"/>
        <w:rPr>
          <w:rFonts w:ascii="黑体" w:eastAsia="黑体" w:hint="eastAsia"/>
        </w:rPr>
      </w:pPr>
      <w:r>
        <w:rPr>
          <w:rFonts w:ascii="黑体" w:eastAsia="黑体" w:hint="eastAsia"/>
        </w:rPr>
        <w:t>附 录 A</w:t>
      </w:r>
    </w:p>
    <w:p>
      <w:pPr>
        <w:pStyle w:val="BodyText"/>
        <w:spacing w:before="41"/>
        <w:ind w:left="299"/>
        <w:jc w:val="center"/>
        <w:rPr>
          <w:rFonts w:ascii="黑体" w:eastAsia="黑体" w:hint="eastAsia"/>
        </w:rPr>
      </w:pPr>
      <w:r>
        <w:rPr>
          <w:rFonts w:ascii="黑体" w:eastAsia="黑体" w:hint="eastAsia"/>
        </w:rPr>
        <w:t>（资料性）</w:t>
      </w:r>
    </w:p>
    <w:p>
      <w:pPr>
        <w:pStyle w:val="BodyText"/>
        <w:spacing w:before="43"/>
        <w:ind w:left="299"/>
        <w:jc w:val="center"/>
        <w:rPr>
          <w:rFonts w:ascii="黑体" w:eastAsia="黑体" w:hint="eastAsia"/>
        </w:rPr>
      </w:pPr>
      <w:r>
        <w:rPr>
          <w:rFonts w:ascii="黑体" w:eastAsia="黑体" w:hint="eastAsia"/>
        </w:rPr>
        <w:t>叉车检查项目、基本内容与要求</w:t>
      </w:r>
    </w:p>
    <w:p>
      <w:pPr>
        <w:pStyle w:val="BodyText"/>
        <w:spacing w:before="3"/>
        <w:rPr>
          <w:rFonts w:ascii="黑体"/>
          <w:sz w:val="25"/>
        </w:rPr>
      </w:pPr>
    </w:p>
    <w:p>
      <w:pPr>
        <w:pStyle w:val="BodyText"/>
        <w:ind w:left="1595"/>
      </w:pPr>
      <w:r>
        <w:t>表A.1给出了叉车维护保养项目、基本内容与要求</w:t>
      </w:r>
    </w:p>
    <w:p>
      <w:pPr>
        <w:pStyle w:val="BodyText"/>
        <w:spacing w:before="6"/>
        <w:rPr>
          <w:sz w:val="15"/>
        </w:rPr>
      </w:pPr>
    </w:p>
    <w:p>
      <w:pPr>
        <w:pStyle w:val="BodyText"/>
        <w:spacing w:before="1"/>
        <w:ind w:left="4044"/>
        <w:rPr>
          <w:rFonts w:ascii="黑体" w:eastAsia="黑体" w:hint="eastAsia"/>
        </w:rPr>
      </w:pPr>
      <w:r>
        <w:rPr>
          <w:rFonts w:ascii="黑体" w:eastAsia="黑体" w:hint="eastAsia"/>
        </w:rPr>
        <w:t>表A.1 叉车维护保养项目、基本内容与要求</w:t>
      </w:r>
    </w:p>
    <w:p>
      <w:pPr>
        <w:pStyle w:val="BodyText"/>
        <w:spacing w:before="9"/>
        <w:rPr>
          <w:rFonts w:ascii="黑体"/>
          <w:sz w:val="13"/>
        </w:rPr>
      </w:pPr>
    </w:p>
    <w:tbl>
      <w:tblPr>
        <w:tblStyle w:val="TableNormal0"/>
        <w:tblW w:w="0" w:type="auto"/>
        <w:jc w:val="left"/>
        <w:tblInd w:w="1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89"/>
        <w:gridCol w:w="1637"/>
        <w:gridCol w:w="6730"/>
      </w:tblGrid>
      <w:tr>
        <w:tblPrEx>
          <w:tblW w:w="0" w:type="auto"/>
          <w:jc w:val="left"/>
          <w:tblInd w:w="1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59"/>
          <w:jc w:val="left"/>
        </w:trPr>
        <w:tc>
          <w:tcPr>
            <w:tcW w:w="989" w:type="dxa"/>
          </w:tcPr>
          <w:p>
            <w:pPr>
              <w:pStyle w:val="TableParagraph"/>
              <w:spacing w:before="95"/>
              <w:ind w:left="369"/>
              <w:rPr>
                <w:sz w:val="18"/>
              </w:rPr>
            </w:pPr>
            <w:r>
              <w:rPr>
                <w:sz w:val="18"/>
              </w:rPr>
              <w:t>序号</w:t>
            </w:r>
          </w:p>
        </w:tc>
        <w:tc>
          <w:tcPr>
            <w:tcW w:w="1637" w:type="dxa"/>
          </w:tcPr>
          <w:p>
            <w:pPr>
              <w:pStyle w:val="TableParagraph"/>
              <w:spacing w:before="95"/>
              <w:ind w:left="618" w:right="609"/>
              <w:jc w:val="center"/>
              <w:rPr>
                <w:sz w:val="18"/>
              </w:rPr>
            </w:pPr>
            <w:r>
              <w:rPr>
                <w:sz w:val="18"/>
              </w:rPr>
              <w:t>项目</w:t>
            </w:r>
          </w:p>
        </w:tc>
        <w:tc>
          <w:tcPr>
            <w:tcW w:w="6730" w:type="dxa"/>
          </w:tcPr>
          <w:p>
            <w:pPr>
              <w:pStyle w:val="TableParagraph"/>
              <w:spacing w:before="95"/>
              <w:ind w:left="2713" w:right="2707"/>
              <w:jc w:val="center"/>
              <w:rPr>
                <w:sz w:val="18"/>
              </w:rPr>
            </w:pPr>
            <w:r>
              <w:rPr>
                <w:sz w:val="18"/>
              </w:rPr>
              <w:t>基本内容与要求</w:t>
            </w:r>
          </w:p>
        </w:tc>
      </w:tr>
      <w:tr>
        <w:tblPrEx>
          <w:tblW w:w="0" w:type="auto"/>
          <w:jc w:val="left"/>
          <w:tblInd w:w="1181" w:type="dxa"/>
          <w:tblLayout w:type="fixed"/>
          <w:tblCellMar>
            <w:top w:w="0" w:type="dxa"/>
            <w:left w:w="0" w:type="dxa"/>
            <w:bottom w:w="0" w:type="dxa"/>
            <w:right w:w="0" w:type="dxa"/>
          </w:tblCellMar>
          <w:tblLook w:val="01E0"/>
        </w:tblPrEx>
        <w:trPr>
          <w:trHeight w:val="359"/>
          <w:jc w:val="left"/>
        </w:trPr>
        <w:tc>
          <w:tcPr>
            <w:tcW w:w="989" w:type="dxa"/>
          </w:tcPr>
          <w:p>
            <w:pPr>
              <w:pStyle w:val="TableParagraph"/>
              <w:spacing w:before="74"/>
              <w:ind w:left="403"/>
              <w:rPr>
                <w:rFonts w:ascii="Times New Roman"/>
                <w:sz w:val="18"/>
              </w:rPr>
            </w:pPr>
            <w:r>
              <w:rPr>
                <w:rFonts w:ascii="Times New Roman"/>
                <w:sz w:val="18"/>
              </w:rPr>
              <w:t>01</w:t>
            </w:r>
          </w:p>
        </w:tc>
        <w:tc>
          <w:tcPr>
            <w:tcW w:w="1637" w:type="dxa"/>
            <w:vMerge w:val="restart"/>
          </w:tcPr>
          <w:p>
            <w:pPr>
              <w:pStyle w:val="TableParagraph"/>
              <w:rPr>
                <w:rFonts w:ascii="黑体"/>
                <w:sz w:val="18"/>
              </w:rPr>
            </w:pPr>
          </w:p>
          <w:p>
            <w:pPr>
              <w:pStyle w:val="TableParagraph"/>
              <w:rPr>
                <w:rFonts w:ascii="黑体"/>
                <w:sz w:val="18"/>
              </w:rPr>
            </w:pPr>
          </w:p>
          <w:p>
            <w:pPr>
              <w:pStyle w:val="TableParagraph"/>
              <w:spacing w:before="7"/>
              <w:rPr>
                <w:rFonts w:ascii="黑体"/>
                <w:sz w:val="25"/>
              </w:rPr>
            </w:pPr>
          </w:p>
          <w:p>
            <w:pPr>
              <w:pStyle w:val="TableParagraph"/>
              <w:spacing w:before="1"/>
              <w:ind w:left="9"/>
              <w:rPr>
                <w:sz w:val="18"/>
              </w:rPr>
            </w:pPr>
            <w:r>
              <w:rPr>
                <w:sz w:val="18"/>
              </w:rPr>
              <w:t>主要受力结构件</w:t>
            </w:r>
          </w:p>
        </w:tc>
        <w:tc>
          <w:tcPr>
            <w:tcW w:w="6730" w:type="dxa"/>
          </w:tcPr>
          <w:p>
            <w:pPr>
              <w:pStyle w:val="TableParagraph"/>
              <w:spacing w:before="96"/>
              <w:ind w:left="9"/>
              <w:rPr>
                <w:sz w:val="18"/>
              </w:rPr>
            </w:pPr>
            <w:r>
              <w:rPr>
                <w:sz w:val="18"/>
              </w:rPr>
              <w:t>车架应清洁、防腐、防锈</w:t>
            </w:r>
          </w:p>
        </w:tc>
      </w:tr>
      <w:tr>
        <w:tblPrEx>
          <w:tblW w:w="0" w:type="auto"/>
          <w:jc w:val="left"/>
          <w:tblInd w:w="1181" w:type="dxa"/>
          <w:tblLayout w:type="fixed"/>
          <w:tblCellMar>
            <w:top w:w="0" w:type="dxa"/>
            <w:left w:w="0" w:type="dxa"/>
            <w:bottom w:w="0" w:type="dxa"/>
            <w:right w:w="0" w:type="dxa"/>
          </w:tblCellMar>
          <w:tblLook w:val="01E0"/>
        </w:tblPrEx>
        <w:trPr>
          <w:trHeight w:val="357"/>
          <w:jc w:val="left"/>
        </w:trPr>
        <w:tc>
          <w:tcPr>
            <w:tcW w:w="989" w:type="dxa"/>
          </w:tcPr>
          <w:p>
            <w:pPr>
              <w:pStyle w:val="TableParagraph"/>
              <w:spacing w:before="64"/>
              <w:ind w:left="403"/>
              <w:rPr>
                <w:sz w:val="18"/>
              </w:rPr>
            </w:pPr>
            <w:r>
              <w:rPr>
                <w:sz w:val="18"/>
              </w:rPr>
              <w:t>02</w:t>
            </w:r>
          </w:p>
        </w:tc>
        <w:tc>
          <w:tcPr>
            <w:tcW w:w="1637" w:type="dxa"/>
            <w:vMerge/>
            <w:tcBorders>
              <w:top w:val="nil"/>
            </w:tcBorders>
          </w:tcPr>
          <w:p>
            <w:pPr>
              <w:rPr>
                <w:sz w:val="2"/>
                <w:szCs w:val="2"/>
              </w:rPr>
            </w:pPr>
          </w:p>
        </w:tc>
        <w:tc>
          <w:tcPr>
            <w:tcW w:w="6730" w:type="dxa"/>
          </w:tcPr>
          <w:p>
            <w:pPr>
              <w:pStyle w:val="TableParagraph"/>
              <w:spacing w:before="96"/>
              <w:ind w:left="9"/>
              <w:rPr>
                <w:sz w:val="18"/>
              </w:rPr>
            </w:pPr>
            <w:r>
              <w:rPr>
                <w:sz w:val="18"/>
              </w:rPr>
              <w:t>门架应清洁、防腐、防锈</w:t>
            </w:r>
          </w:p>
        </w:tc>
      </w:tr>
      <w:tr>
        <w:tblPrEx>
          <w:tblW w:w="0" w:type="auto"/>
          <w:jc w:val="left"/>
          <w:tblInd w:w="1181" w:type="dxa"/>
          <w:tblLayout w:type="fixed"/>
          <w:tblCellMar>
            <w:top w:w="0" w:type="dxa"/>
            <w:left w:w="0" w:type="dxa"/>
            <w:bottom w:w="0" w:type="dxa"/>
            <w:right w:w="0" w:type="dxa"/>
          </w:tblCellMar>
          <w:tblLook w:val="01E0"/>
        </w:tblPrEx>
        <w:trPr>
          <w:trHeight w:val="359"/>
          <w:jc w:val="left"/>
        </w:trPr>
        <w:tc>
          <w:tcPr>
            <w:tcW w:w="989" w:type="dxa"/>
          </w:tcPr>
          <w:p>
            <w:pPr>
              <w:pStyle w:val="TableParagraph"/>
              <w:spacing w:before="64"/>
              <w:ind w:left="403"/>
              <w:rPr>
                <w:sz w:val="18"/>
              </w:rPr>
            </w:pPr>
            <w:r>
              <w:rPr>
                <w:sz w:val="18"/>
              </w:rPr>
              <w:t>03</w:t>
            </w:r>
          </w:p>
        </w:tc>
        <w:tc>
          <w:tcPr>
            <w:tcW w:w="1637" w:type="dxa"/>
            <w:vMerge/>
            <w:tcBorders>
              <w:top w:val="nil"/>
            </w:tcBorders>
          </w:tcPr>
          <w:p>
            <w:pPr>
              <w:rPr>
                <w:sz w:val="2"/>
                <w:szCs w:val="2"/>
              </w:rPr>
            </w:pPr>
          </w:p>
        </w:tc>
        <w:tc>
          <w:tcPr>
            <w:tcW w:w="6730" w:type="dxa"/>
          </w:tcPr>
          <w:p>
            <w:pPr>
              <w:pStyle w:val="TableParagraph"/>
              <w:spacing w:before="96"/>
              <w:ind w:left="9"/>
              <w:rPr>
                <w:sz w:val="18"/>
              </w:rPr>
            </w:pPr>
            <w:r>
              <w:rPr>
                <w:sz w:val="18"/>
              </w:rPr>
              <w:t>货叉架应清洁、防腐、防锈</w:t>
            </w:r>
          </w:p>
        </w:tc>
      </w:tr>
      <w:tr>
        <w:tblPrEx>
          <w:tblW w:w="0" w:type="auto"/>
          <w:jc w:val="left"/>
          <w:tblInd w:w="1181" w:type="dxa"/>
          <w:tblLayout w:type="fixed"/>
          <w:tblCellMar>
            <w:top w:w="0" w:type="dxa"/>
            <w:left w:w="0" w:type="dxa"/>
            <w:bottom w:w="0" w:type="dxa"/>
            <w:right w:w="0" w:type="dxa"/>
          </w:tblCellMar>
          <w:tblLook w:val="01E0"/>
        </w:tblPrEx>
        <w:trPr>
          <w:trHeight w:val="717"/>
          <w:jc w:val="left"/>
        </w:trPr>
        <w:tc>
          <w:tcPr>
            <w:tcW w:w="989" w:type="dxa"/>
          </w:tcPr>
          <w:p>
            <w:pPr>
              <w:pStyle w:val="TableParagraph"/>
              <w:spacing w:before="11"/>
              <w:rPr>
                <w:rFonts w:ascii="黑体"/>
                <w:sz w:val="18"/>
              </w:rPr>
            </w:pPr>
          </w:p>
          <w:p>
            <w:pPr>
              <w:pStyle w:val="TableParagraph"/>
              <w:ind w:left="403"/>
              <w:rPr>
                <w:sz w:val="18"/>
              </w:rPr>
            </w:pPr>
            <w:r>
              <w:rPr>
                <w:sz w:val="18"/>
              </w:rPr>
              <w:t>04</w:t>
            </w:r>
          </w:p>
        </w:tc>
        <w:tc>
          <w:tcPr>
            <w:tcW w:w="1637" w:type="dxa"/>
            <w:vMerge/>
            <w:tcBorders>
              <w:top w:val="nil"/>
            </w:tcBorders>
          </w:tcPr>
          <w:p>
            <w:pPr>
              <w:rPr>
                <w:sz w:val="2"/>
                <w:szCs w:val="2"/>
              </w:rPr>
            </w:pPr>
          </w:p>
        </w:tc>
        <w:tc>
          <w:tcPr>
            <w:tcW w:w="6730" w:type="dxa"/>
          </w:tcPr>
          <w:p>
            <w:pPr>
              <w:pStyle w:val="TableParagraph"/>
              <w:spacing w:before="35" w:line="310" w:lineRule="atLeast"/>
              <w:ind w:left="9" w:right="-15"/>
              <w:rPr>
                <w:sz w:val="18"/>
              </w:rPr>
            </w:pPr>
            <w:r>
              <w:rPr>
                <w:sz w:val="18"/>
              </w:rPr>
              <w:t>货叉应当固定可靠，防止货叉从叉架上脱落、防止货叉意外侧向滑移或脱落的装置应完好有效</w:t>
            </w:r>
          </w:p>
        </w:tc>
      </w:tr>
      <w:tr>
        <w:tblPrEx>
          <w:tblW w:w="0" w:type="auto"/>
          <w:jc w:val="left"/>
          <w:tblInd w:w="1181" w:type="dxa"/>
          <w:tblLayout w:type="fixed"/>
          <w:tblCellMar>
            <w:top w:w="0" w:type="dxa"/>
            <w:left w:w="0" w:type="dxa"/>
            <w:bottom w:w="0" w:type="dxa"/>
            <w:right w:w="0" w:type="dxa"/>
          </w:tblCellMar>
          <w:tblLook w:val="01E0"/>
        </w:tblPrEx>
        <w:trPr>
          <w:trHeight w:val="357"/>
          <w:jc w:val="left"/>
        </w:trPr>
        <w:tc>
          <w:tcPr>
            <w:tcW w:w="989" w:type="dxa"/>
          </w:tcPr>
          <w:p>
            <w:pPr>
              <w:pStyle w:val="TableParagraph"/>
              <w:spacing w:before="64"/>
              <w:ind w:left="403"/>
              <w:rPr>
                <w:sz w:val="18"/>
              </w:rPr>
            </w:pPr>
            <w:r>
              <w:rPr>
                <w:sz w:val="18"/>
              </w:rPr>
              <w:t>05</w:t>
            </w:r>
          </w:p>
        </w:tc>
        <w:tc>
          <w:tcPr>
            <w:tcW w:w="1637"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4"/>
              <w:rPr>
                <w:rFonts w:ascii="黑体"/>
                <w:sz w:val="20"/>
              </w:rPr>
            </w:pPr>
          </w:p>
          <w:p>
            <w:pPr>
              <w:pStyle w:val="TableParagraph"/>
              <w:spacing w:line="439" w:lineRule="auto"/>
              <w:ind w:left="9" w:right="-15"/>
              <w:rPr>
                <w:sz w:val="18"/>
              </w:rPr>
            </w:pPr>
            <w:r>
              <w:rPr>
                <w:spacing w:val="21"/>
                <w:sz w:val="18"/>
              </w:rPr>
              <w:t>安全保护和防护装置</w:t>
            </w:r>
          </w:p>
        </w:tc>
        <w:tc>
          <w:tcPr>
            <w:tcW w:w="6730" w:type="dxa"/>
          </w:tcPr>
          <w:p>
            <w:pPr>
              <w:pStyle w:val="TableParagraph"/>
              <w:spacing w:before="95"/>
              <w:ind w:left="9"/>
              <w:rPr>
                <w:sz w:val="18"/>
              </w:rPr>
            </w:pPr>
            <w:r>
              <w:rPr>
                <w:sz w:val="18"/>
              </w:rPr>
              <w:t>能够发出清晰声响的警示装置（如喇叭、倒车蜂鸣器）应有效</w:t>
            </w:r>
          </w:p>
        </w:tc>
      </w:tr>
      <w:tr>
        <w:tblPrEx>
          <w:tblW w:w="0" w:type="auto"/>
          <w:jc w:val="left"/>
          <w:tblInd w:w="1181" w:type="dxa"/>
          <w:tblLayout w:type="fixed"/>
          <w:tblCellMar>
            <w:top w:w="0" w:type="dxa"/>
            <w:left w:w="0" w:type="dxa"/>
            <w:bottom w:w="0" w:type="dxa"/>
            <w:right w:w="0" w:type="dxa"/>
          </w:tblCellMar>
          <w:tblLook w:val="01E0"/>
        </w:tblPrEx>
        <w:trPr>
          <w:trHeight w:val="359"/>
          <w:jc w:val="left"/>
        </w:trPr>
        <w:tc>
          <w:tcPr>
            <w:tcW w:w="989" w:type="dxa"/>
          </w:tcPr>
          <w:p>
            <w:pPr>
              <w:pStyle w:val="TableParagraph"/>
              <w:spacing w:before="64"/>
              <w:ind w:left="403"/>
              <w:rPr>
                <w:sz w:val="18"/>
              </w:rPr>
            </w:pPr>
            <w:r>
              <w:rPr>
                <w:sz w:val="18"/>
              </w:rPr>
              <w:t>06</w:t>
            </w:r>
          </w:p>
        </w:tc>
        <w:tc>
          <w:tcPr>
            <w:tcW w:w="1637" w:type="dxa"/>
            <w:vMerge/>
            <w:tcBorders>
              <w:top w:val="nil"/>
            </w:tcBorders>
          </w:tcPr>
          <w:p>
            <w:pPr>
              <w:rPr>
                <w:sz w:val="2"/>
                <w:szCs w:val="2"/>
              </w:rPr>
            </w:pPr>
          </w:p>
        </w:tc>
        <w:tc>
          <w:tcPr>
            <w:tcW w:w="6730" w:type="dxa"/>
          </w:tcPr>
          <w:p>
            <w:pPr>
              <w:pStyle w:val="TableParagraph"/>
              <w:spacing w:before="95"/>
              <w:ind w:left="9"/>
              <w:rPr>
                <w:sz w:val="18"/>
              </w:rPr>
            </w:pPr>
            <w:r>
              <w:rPr>
                <w:sz w:val="18"/>
              </w:rPr>
              <w:t>后视镜完好、视频监视装置功能有效</w:t>
            </w:r>
          </w:p>
        </w:tc>
      </w:tr>
      <w:tr>
        <w:tblPrEx>
          <w:tblW w:w="0" w:type="auto"/>
          <w:jc w:val="left"/>
          <w:tblInd w:w="1181" w:type="dxa"/>
          <w:tblLayout w:type="fixed"/>
          <w:tblCellMar>
            <w:top w:w="0" w:type="dxa"/>
            <w:left w:w="0" w:type="dxa"/>
            <w:bottom w:w="0" w:type="dxa"/>
            <w:right w:w="0" w:type="dxa"/>
          </w:tblCellMar>
          <w:tblLook w:val="01E0"/>
        </w:tblPrEx>
        <w:trPr>
          <w:trHeight w:val="359"/>
          <w:jc w:val="left"/>
        </w:trPr>
        <w:tc>
          <w:tcPr>
            <w:tcW w:w="989" w:type="dxa"/>
          </w:tcPr>
          <w:p>
            <w:pPr>
              <w:pStyle w:val="TableParagraph"/>
              <w:spacing w:before="64"/>
              <w:ind w:left="403"/>
              <w:rPr>
                <w:sz w:val="18"/>
              </w:rPr>
            </w:pPr>
            <w:r>
              <w:rPr>
                <w:sz w:val="18"/>
              </w:rPr>
              <w:t>07</w:t>
            </w:r>
          </w:p>
        </w:tc>
        <w:tc>
          <w:tcPr>
            <w:tcW w:w="1637" w:type="dxa"/>
            <w:vMerge/>
            <w:tcBorders>
              <w:top w:val="nil"/>
            </w:tcBorders>
          </w:tcPr>
          <w:p>
            <w:pPr>
              <w:rPr>
                <w:sz w:val="2"/>
                <w:szCs w:val="2"/>
              </w:rPr>
            </w:pPr>
          </w:p>
        </w:tc>
        <w:tc>
          <w:tcPr>
            <w:tcW w:w="6730" w:type="dxa"/>
          </w:tcPr>
          <w:p>
            <w:pPr>
              <w:pStyle w:val="TableParagraph"/>
              <w:spacing w:before="96"/>
              <w:ind w:left="9"/>
              <w:rPr>
                <w:sz w:val="18"/>
              </w:rPr>
            </w:pPr>
            <w:r>
              <w:rPr>
                <w:sz w:val="18"/>
              </w:rPr>
              <w:t>坐驾式叉车司机配备的安全带等防护约束装置功能有效</w:t>
            </w:r>
          </w:p>
        </w:tc>
      </w:tr>
      <w:tr>
        <w:tblPrEx>
          <w:tblW w:w="0" w:type="auto"/>
          <w:jc w:val="left"/>
          <w:tblInd w:w="1181" w:type="dxa"/>
          <w:tblLayout w:type="fixed"/>
          <w:tblCellMar>
            <w:top w:w="0" w:type="dxa"/>
            <w:left w:w="0" w:type="dxa"/>
            <w:bottom w:w="0" w:type="dxa"/>
            <w:right w:w="0" w:type="dxa"/>
          </w:tblCellMar>
          <w:tblLook w:val="01E0"/>
        </w:tblPrEx>
        <w:trPr>
          <w:trHeight w:val="359"/>
          <w:jc w:val="left"/>
        </w:trPr>
        <w:tc>
          <w:tcPr>
            <w:tcW w:w="989" w:type="dxa"/>
          </w:tcPr>
          <w:p>
            <w:pPr>
              <w:pStyle w:val="TableParagraph"/>
              <w:spacing w:before="64"/>
              <w:ind w:left="403"/>
              <w:rPr>
                <w:sz w:val="18"/>
              </w:rPr>
            </w:pPr>
            <w:r>
              <w:rPr>
                <w:sz w:val="18"/>
              </w:rPr>
              <w:t>08</w:t>
            </w:r>
          </w:p>
        </w:tc>
        <w:tc>
          <w:tcPr>
            <w:tcW w:w="1637" w:type="dxa"/>
            <w:vMerge/>
            <w:tcBorders>
              <w:top w:val="nil"/>
            </w:tcBorders>
          </w:tcPr>
          <w:p>
            <w:pPr>
              <w:rPr>
                <w:sz w:val="2"/>
                <w:szCs w:val="2"/>
              </w:rPr>
            </w:pPr>
          </w:p>
        </w:tc>
        <w:tc>
          <w:tcPr>
            <w:tcW w:w="6730" w:type="dxa"/>
          </w:tcPr>
          <w:p>
            <w:pPr>
              <w:pStyle w:val="TableParagraph"/>
              <w:spacing w:before="96"/>
              <w:ind w:left="9"/>
              <w:rPr>
                <w:sz w:val="18"/>
              </w:rPr>
            </w:pPr>
            <w:r>
              <w:rPr>
                <w:sz w:val="18"/>
              </w:rPr>
              <w:t>护顶架固定可靠</w:t>
            </w:r>
          </w:p>
        </w:tc>
      </w:tr>
      <w:tr>
        <w:tblPrEx>
          <w:tblW w:w="0" w:type="auto"/>
          <w:jc w:val="left"/>
          <w:tblInd w:w="1181" w:type="dxa"/>
          <w:tblLayout w:type="fixed"/>
          <w:tblCellMar>
            <w:top w:w="0" w:type="dxa"/>
            <w:left w:w="0" w:type="dxa"/>
            <w:bottom w:w="0" w:type="dxa"/>
            <w:right w:w="0" w:type="dxa"/>
          </w:tblCellMar>
          <w:tblLook w:val="01E0"/>
        </w:tblPrEx>
        <w:trPr>
          <w:trHeight w:val="357"/>
          <w:jc w:val="left"/>
        </w:trPr>
        <w:tc>
          <w:tcPr>
            <w:tcW w:w="989" w:type="dxa"/>
          </w:tcPr>
          <w:p>
            <w:pPr>
              <w:pStyle w:val="TableParagraph"/>
              <w:spacing w:before="64"/>
              <w:ind w:left="403"/>
              <w:rPr>
                <w:sz w:val="18"/>
              </w:rPr>
            </w:pPr>
            <w:r>
              <w:rPr>
                <w:sz w:val="18"/>
              </w:rPr>
              <w:t>09</w:t>
            </w:r>
          </w:p>
        </w:tc>
        <w:tc>
          <w:tcPr>
            <w:tcW w:w="1637" w:type="dxa"/>
            <w:vMerge/>
            <w:tcBorders>
              <w:top w:val="nil"/>
            </w:tcBorders>
          </w:tcPr>
          <w:p>
            <w:pPr>
              <w:rPr>
                <w:sz w:val="2"/>
                <w:szCs w:val="2"/>
              </w:rPr>
            </w:pPr>
          </w:p>
        </w:tc>
        <w:tc>
          <w:tcPr>
            <w:tcW w:w="6730" w:type="dxa"/>
          </w:tcPr>
          <w:p>
            <w:pPr>
              <w:pStyle w:val="TableParagraph"/>
              <w:spacing w:before="95"/>
              <w:ind w:left="9"/>
              <w:rPr>
                <w:sz w:val="18"/>
              </w:rPr>
            </w:pPr>
            <w:r>
              <w:rPr>
                <w:sz w:val="18"/>
              </w:rPr>
              <w:t>挡货架完好</w:t>
            </w:r>
          </w:p>
        </w:tc>
      </w:tr>
      <w:tr>
        <w:tblPrEx>
          <w:tblW w:w="0" w:type="auto"/>
          <w:jc w:val="left"/>
          <w:tblInd w:w="1181" w:type="dxa"/>
          <w:tblLayout w:type="fixed"/>
          <w:tblCellMar>
            <w:top w:w="0" w:type="dxa"/>
            <w:left w:w="0" w:type="dxa"/>
            <w:bottom w:w="0" w:type="dxa"/>
            <w:right w:w="0" w:type="dxa"/>
          </w:tblCellMar>
          <w:tblLook w:val="01E0"/>
        </w:tblPrEx>
        <w:trPr>
          <w:trHeight w:val="359"/>
          <w:jc w:val="left"/>
        </w:trPr>
        <w:tc>
          <w:tcPr>
            <w:tcW w:w="989" w:type="dxa"/>
          </w:tcPr>
          <w:p>
            <w:pPr>
              <w:pStyle w:val="TableParagraph"/>
              <w:spacing w:before="64"/>
              <w:ind w:left="403"/>
              <w:rPr>
                <w:sz w:val="18"/>
              </w:rPr>
            </w:pPr>
            <w:r>
              <w:rPr>
                <w:sz w:val="18"/>
              </w:rPr>
              <w:t>10</w:t>
            </w:r>
          </w:p>
        </w:tc>
        <w:tc>
          <w:tcPr>
            <w:tcW w:w="1637" w:type="dxa"/>
            <w:vMerge/>
            <w:tcBorders>
              <w:top w:val="nil"/>
            </w:tcBorders>
          </w:tcPr>
          <w:p>
            <w:pPr>
              <w:rPr>
                <w:sz w:val="2"/>
                <w:szCs w:val="2"/>
              </w:rPr>
            </w:pPr>
          </w:p>
        </w:tc>
        <w:tc>
          <w:tcPr>
            <w:tcW w:w="6730" w:type="dxa"/>
          </w:tcPr>
          <w:p>
            <w:pPr>
              <w:pStyle w:val="TableParagraph"/>
              <w:spacing w:before="95"/>
              <w:ind w:left="9"/>
              <w:rPr>
                <w:sz w:val="18"/>
              </w:rPr>
            </w:pPr>
            <w:r>
              <w:rPr>
                <w:sz w:val="18"/>
              </w:rPr>
              <w:t>车轮防护罩完好</w:t>
            </w:r>
          </w:p>
        </w:tc>
      </w:tr>
      <w:tr>
        <w:tblPrEx>
          <w:tblW w:w="0" w:type="auto"/>
          <w:jc w:val="left"/>
          <w:tblInd w:w="1181" w:type="dxa"/>
          <w:tblLayout w:type="fixed"/>
          <w:tblCellMar>
            <w:top w:w="0" w:type="dxa"/>
            <w:left w:w="0" w:type="dxa"/>
            <w:bottom w:w="0" w:type="dxa"/>
            <w:right w:w="0" w:type="dxa"/>
          </w:tblCellMar>
          <w:tblLook w:val="01E0"/>
        </w:tblPrEx>
        <w:trPr>
          <w:trHeight w:val="359"/>
          <w:jc w:val="left"/>
        </w:trPr>
        <w:tc>
          <w:tcPr>
            <w:tcW w:w="989" w:type="dxa"/>
          </w:tcPr>
          <w:p>
            <w:pPr>
              <w:pStyle w:val="TableParagraph"/>
              <w:spacing w:before="64"/>
              <w:ind w:left="403"/>
              <w:rPr>
                <w:sz w:val="18"/>
              </w:rPr>
            </w:pPr>
            <w:r>
              <w:rPr>
                <w:sz w:val="18"/>
              </w:rPr>
              <w:t>11</w:t>
            </w:r>
          </w:p>
        </w:tc>
        <w:tc>
          <w:tcPr>
            <w:tcW w:w="1637" w:type="dxa"/>
            <w:vMerge/>
            <w:tcBorders>
              <w:top w:val="nil"/>
            </w:tcBorders>
          </w:tcPr>
          <w:p>
            <w:pPr>
              <w:rPr>
                <w:sz w:val="2"/>
                <w:szCs w:val="2"/>
              </w:rPr>
            </w:pPr>
          </w:p>
        </w:tc>
        <w:tc>
          <w:tcPr>
            <w:tcW w:w="6730" w:type="dxa"/>
          </w:tcPr>
          <w:p>
            <w:pPr>
              <w:pStyle w:val="TableParagraph"/>
              <w:spacing w:before="96"/>
              <w:ind w:left="9"/>
              <w:rPr>
                <w:sz w:val="18"/>
              </w:rPr>
            </w:pPr>
            <w:r>
              <w:rPr>
                <w:sz w:val="18"/>
              </w:rPr>
              <w:t>前风窗玻璃刮水器工作正常</w:t>
            </w:r>
          </w:p>
        </w:tc>
      </w:tr>
      <w:tr>
        <w:tblPrEx>
          <w:tblW w:w="0" w:type="auto"/>
          <w:jc w:val="left"/>
          <w:tblInd w:w="1181" w:type="dxa"/>
          <w:tblLayout w:type="fixed"/>
          <w:tblCellMar>
            <w:top w:w="0" w:type="dxa"/>
            <w:left w:w="0" w:type="dxa"/>
            <w:bottom w:w="0" w:type="dxa"/>
            <w:right w:w="0" w:type="dxa"/>
          </w:tblCellMar>
          <w:tblLook w:val="01E0"/>
        </w:tblPrEx>
        <w:trPr>
          <w:trHeight w:val="359"/>
          <w:jc w:val="left"/>
        </w:trPr>
        <w:tc>
          <w:tcPr>
            <w:tcW w:w="989" w:type="dxa"/>
          </w:tcPr>
          <w:p>
            <w:pPr>
              <w:pStyle w:val="TableParagraph"/>
              <w:spacing w:before="64"/>
              <w:ind w:left="403"/>
              <w:rPr>
                <w:sz w:val="18"/>
              </w:rPr>
            </w:pPr>
            <w:r>
              <w:rPr>
                <w:sz w:val="18"/>
              </w:rPr>
              <w:t>12</w:t>
            </w:r>
          </w:p>
        </w:tc>
        <w:tc>
          <w:tcPr>
            <w:tcW w:w="1637" w:type="dxa"/>
            <w:vMerge w:val="restart"/>
          </w:tcPr>
          <w:p>
            <w:pPr>
              <w:pStyle w:val="TableParagraph"/>
              <w:rPr>
                <w:rFonts w:ascii="黑体"/>
                <w:sz w:val="18"/>
              </w:rPr>
            </w:pPr>
          </w:p>
          <w:p>
            <w:pPr>
              <w:pStyle w:val="TableParagraph"/>
              <w:rPr>
                <w:rFonts w:ascii="黑体"/>
                <w:sz w:val="18"/>
              </w:rPr>
            </w:pPr>
          </w:p>
          <w:p>
            <w:pPr>
              <w:pStyle w:val="TableParagraph"/>
              <w:rPr>
                <w:rFonts w:ascii="黑体"/>
                <w:sz w:val="18"/>
              </w:rPr>
            </w:pPr>
          </w:p>
          <w:p>
            <w:pPr>
              <w:pStyle w:val="TableParagraph"/>
              <w:spacing w:before="5"/>
              <w:rPr>
                <w:rFonts w:ascii="黑体"/>
                <w:sz w:val="19"/>
              </w:rPr>
            </w:pPr>
          </w:p>
          <w:p>
            <w:pPr>
              <w:pStyle w:val="TableParagraph"/>
              <w:ind w:left="9"/>
              <w:rPr>
                <w:sz w:val="18"/>
              </w:rPr>
            </w:pPr>
            <w:r>
              <w:rPr>
                <w:sz w:val="18"/>
              </w:rPr>
              <w:t>工作机构</w:t>
            </w:r>
          </w:p>
        </w:tc>
        <w:tc>
          <w:tcPr>
            <w:tcW w:w="6730" w:type="dxa"/>
          </w:tcPr>
          <w:p>
            <w:pPr>
              <w:pStyle w:val="TableParagraph"/>
              <w:spacing w:before="96"/>
              <w:ind w:left="9"/>
              <w:rPr>
                <w:sz w:val="18"/>
              </w:rPr>
            </w:pPr>
            <w:r>
              <w:rPr>
                <w:sz w:val="18"/>
              </w:rPr>
              <w:t>清理、润滑链条，调整两侧链条松紧度，更换磨损严重有裂纹等出现缺陷的链条</w:t>
            </w:r>
          </w:p>
        </w:tc>
      </w:tr>
      <w:tr>
        <w:tblPrEx>
          <w:tblW w:w="0" w:type="auto"/>
          <w:jc w:val="left"/>
          <w:tblInd w:w="1181" w:type="dxa"/>
          <w:tblLayout w:type="fixed"/>
          <w:tblCellMar>
            <w:top w:w="0" w:type="dxa"/>
            <w:left w:w="0" w:type="dxa"/>
            <w:bottom w:w="0" w:type="dxa"/>
            <w:right w:w="0" w:type="dxa"/>
          </w:tblCellMar>
          <w:tblLook w:val="01E0"/>
        </w:tblPrEx>
        <w:trPr>
          <w:trHeight w:val="357"/>
          <w:jc w:val="left"/>
        </w:trPr>
        <w:tc>
          <w:tcPr>
            <w:tcW w:w="989" w:type="dxa"/>
          </w:tcPr>
          <w:p>
            <w:pPr>
              <w:pStyle w:val="TableParagraph"/>
              <w:spacing w:before="64"/>
              <w:ind w:left="403"/>
              <w:rPr>
                <w:sz w:val="18"/>
              </w:rPr>
            </w:pPr>
            <w:r>
              <w:rPr>
                <w:sz w:val="18"/>
              </w:rPr>
              <w:t>13</w:t>
            </w:r>
          </w:p>
        </w:tc>
        <w:tc>
          <w:tcPr>
            <w:tcW w:w="1637" w:type="dxa"/>
            <w:vMerge/>
            <w:tcBorders>
              <w:top w:val="nil"/>
            </w:tcBorders>
          </w:tcPr>
          <w:p>
            <w:pPr>
              <w:rPr>
                <w:sz w:val="2"/>
                <w:szCs w:val="2"/>
              </w:rPr>
            </w:pPr>
          </w:p>
        </w:tc>
        <w:tc>
          <w:tcPr>
            <w:tcW w:w="6730" w:type="dxa"/>
          </w:tcPr>
          <w:p>
            <w:pPr>
              <w:pStyle w:val="TableParagraph"/>
              <w:spacing w:before="95"/>
              <w:ind w:left="9"/>
              <w:rPr>
                <w:sz w:val="18"/>
              </w:rPr>
            </w:pPr>
            <w:r>
              <w:rPr>
                <w:sz w:val="18"/>
              </w:rPr>
              <w:t>清理、润滑门架滚轮，更换磨损严重或缺损的滚轮</w:t>
            </w:r>
          </w:p>
        </w:tc>
      </w:tr>
      <w:tr>
        <w:tblPrEx>
          <w:tblW w:w="0" w:type="auto"/>
          <w:jc w:val="left"/>
          <w:tblInd w:w="1181" w:type="dxa"/>
          <w:tblLayout w:type="fixed"/>
          <w:tblCellMar>
            <w:top w:w="0" w:type="dxa"/>
            <w:left w:w="0" w:type="dxa"/>
            <w:bottom w:w="0" w:type="dxa"/>
            <w:right w:w="0" w:type="dxa"/>
          </w:tblCellMar>
          <w:tblLook w:val="01E0"/>
        </w:tblPrEx>
        <w:trPr>
          <w:trHeight w:val="359"/>
          <w:jc w:val="left"/>
        </w:trPr>
        <w:tc>
          <w:tcPr>
            <w:tcW w:w="989" w:type="dxa"/>
          </w:tcPr>
          <w:p>
            <w:pPr>
              <w:pStyle w:val="TableParagraph"/>
              <w:spacing w:before="64"/>
              <w:ind w:left="403"/>
              <w:rPr>
                <w:sz w:val="18"/>
              </w:rPr>
            </w:pPr>
            <w:r>
              <w:rPr>
                <w:sz w:val="18"/>
              </w:rPr>
              <w:t>14</w:t>
            </w:r>
          </w:p>
        </w:tc>
        <w:tc>
          <w:tcPr>
            <w:tcW w:w="1637" w:type="dxa"/>
            <w:vMerge/>
            <w:tcBorders>
              <w:top w:val="nil"/>
            </w:tcBorders>
          </w:tcPr>
          <w:p>
            <w:pPr>
              <w:rPr>
                <w:sz w:val="2"/>
                <w:szCs w:val="2"/>
              </w:rPr>
            </w:pPr>
          </w:p>
        </w:tc>
        <w:tc>
          <w:tcPr>
            <w:tcW w:w="6730" w:type="dxa"/>
          </w:tcPr>
          <w:p>
            <w:pPr>
              <w:pStyle w:val="TableParagraph"/>
              <w:spacing w:before="95"/>
              <w:ind w:left="9"/>
              <w:rPr>
                <w:sz w:val="18"/>
              </w:rPr>
            </w:pPr>
            <w:r>
              <w:rPr>
                <w:sz w:val="18"/>
              </w:rPr>
              <w:t>防爆叉车电气部件外壳无损伤，紧固件应无明显松动、锈蚀、缺损</w:t>
            </w:r>
          </w:p>
        </w:tc>
      </w:tr>
      <w:tr>
        <w:tblPrEx>
          <w:tblW w:w="0" w:type="auto"/>
          <w:jc w:val="left"/>
          <w:tblInd w:w="1181" w:type="dxa"/>
          <w:tblLayout w:type="fixed"/>
          <w:tblCellMar>
            <w:top w:w="0" w:type="dxa"/>
            <w:left w:w="0" w:type="dxa"/>
            <w:bottom w:w="0" w:type="dxa"/>
            <w:right w:w="0" w:type="dxa"/>
          </w:tblCellMar>
          <w:tblLook w:val="01E0"/>
        </w:tblPrEx>
        <w:trPr>
          <w:trHeight w:val="1019"/>
          <w:jc w:val="left"/>
        </w:trPr>
        <w:tc>
          <w:tcPr>
            <w:tcW w:w="989" w:type="dxa"/>
          </w:tcPr>
          <w:p>
            <w:pPr>
              <w:pStyle w:val="TableParagraph"/>
              <w:rPr>
                <w:rFonts w:ascii="黑体"/>
                <w:sz w:val="18"/>
              </w:rPr>
            </w:pPr>
          </w:p>
          <w:p>
            <w:pPr>
              <w:pStyle w:val="TableParagraph"/>
              <w:spacing w:before="9"/>
              <w:rPr>
                <w:rFonts w:ascii="黑体"/>
                <w:sz w:val="12"/>
              </w:rPr>
            </w:pPr>
          </w:p>
          <w:p>
            <w:pPr>
              <w:pStyle w:val="TableParagraph"/>
              <w:ind w:left="403"/>
              <w:rPr>
                <w:sz w:val="18"/>
              </w:rPr>
            </w:pPr>
            <w:r>
              <w:rPr>
                <w:sz w:val="18"/>
              </w:rPr>
              <w:t>15</w:t>
            </w:r>
          </w:p>
        </w:tc>
        <w:tc>
          <w:tcPr>
            <w:tcW w:w="1637" w:type="dxa"/>
            <w:vMerge/>
            <w:tcBorders>
              <w:top w:val="nil"/>
            </w:tcBorders>
          </w:tcPr>
          <w:p>
            <w:pPr>
              <w:rPr>
                <w:sz w:val="2"/>
                <w:szCs w:val="2"/>
              </w:rPr>
            </w:pPr>
          </w:p>
        </w:tc>
        <w:tc>
          <w:tcPr>
            <w:tcW w:w="6730" w:type="dxa"/>
          </w:tcPr>
          <w:p>
            <w:pPr>
              <w:pStyle w:val="TableParagraph"/>
              <w:spacing w:before="31" w:line="310" w:lineRule="atLeast"/>
              <w:ind w:left="9" w:right="-15"/>
              <w:jc w:val="both"/>
              <w:rPr>
                <w:sz w:val="18"/>
              </w:rPr>
            </w:pPr>
            <w:r>
              <w:rPr>
                <w:sz w:val="18"/>
              </w:rPr>
              <w:t>防爆叉车载荷装卸装置接触、可能接触地面或者载荷所有表面都不能产生火花，应当使用铜、铜锌合金、不锈钢或者用非金属材料（如橡胶、塑料）包覆，无火花材料包覆层磨损不得达到极限</w:t>
            </w:r>
          </w:p>
        </w:tc>
      </w:tr>
      <w:tr>
        <w:tblPrEx>
          <w:tblW w:w="0" w:type="auto"/>
          <w:jc w:val="left"/>
          <w:tblInd w:w="1181" w:type="dxa"/>
          <w:tblLayout w:type="fixed"/>
          <w:tblCellMar>
            <w:top w:w="0" w:type="dxa"/>
            <w:left w:w="0" w:type="dxa"/>
            <w:bottom w:w="0" w:type="dxa"/>
            <w:right w:w="0" w:type="dxa"/>
          </w:tblCellMar>
          <w:tblLook w:val="01E0"/>
        </w:tblPrEx>
        <w:trPr>
          <w:trHeight w:val="359"/>
          <w:jc w:val="left"/>
        </w:trPr>
        <w:tc>
          <w:tcPr>
            <w:tcW w:w="989" w:type="dxa"/>
          </w:tcPr>
          <w:p>
            <w:pPr>
              <w:pStyle w:val="TableParagraph"/>
              <w:spacing w:before="64"/>
              <w:ind w:left="403"/>
              <w:rPr>
                <w:sz w:val="18"/>
              </w:rPr>
            </w:pPr>
            <w:r>
              <w:rPr>
                <w:sz w:val="18"/>
              </w:rPr>
              <w:t>16</w:t>
            </w:r>
          </w:p>
        </w:tc>
        <w:tc>
          <w:tcPr>
            <w:tcW w:w="1637" w:type="dxa"/>
            <w:vMerge w:val="restart"/>
          </w:tcPr>
          <w:p>
            <w:pPr>
              <w:pStyle w:val="TableParagraph"/>
              <w:rPr>
                <w:rFonts w:ascii="黑体"/>
                <w:sz w:val="18"/>
              </w:rPr>
            </w:pPr>
          </w:p>
          <w:p>
            <w:pPr>
              <w:pStyle w:val="TableParagraph"/>
              <w:spacing w:before="4"/>
              <w:rPr>
                <w:rFonts w:ascii="黑体"/>
                <w:sz w:val="15"/>
              </w:rPr>
            </w:pPr>
          </w:p>
          <w:p>
            <w:pPr>
              <w:pStyle w:val="TableParagraph"/>
              <w:ind w:left="9"/>
              <w:rPr>
                <w:sz w:val="18"/>
              </w:rPr>
            </w:pPr>
            <w:r>
              <w:rPr>
                <w:sz w:val="18"/>
              </w:rPr>
              <w:t>操纵机构</w:t>
            </w:r>
          </w:p>
        </w:tc>
        <w:tc>
          <w:tcPr>
            <w:tcW w:w="6730" w:type="dxa"/>
          </w:tcPr>
          <w:p>
            <w:pPr>
              <w:pStyle w:val="TableParagraph"/>
              <w:spacing w:before="96"/>
              <w:ind w:left="9"/>
              <w:rPr>
                <w:sz w:val="18"/>
              </w:rPr>
            </w:pPr>
            <w:r>
              <w:rPr>
                <w:sz w:val="18"/>
              </w:rPr>
              <w:t>转向系统应当转动灵活、操纵方便、无卡滞</w:t>
            </w:r>
          </w:p>
        </w:tc>
      </w:tr>
      <w:tr>
        <w:tblPrEx>
          <w:tblW w:w="0" w:type="auto"/>
          <w:jc w:val="left"/>
          <w:tblInd w:w="1181" w:type="dxa"/>
          <w:tblLayout w:type="fixed"/>
          <w:tblCellMar>
            <w:top w:w="0" w:type="dxa"/>
            <w:left w:w="0" w:type="dxa"/>
            <w:bottom w:w="0" w:type="dxa"/>
            <w:right w:w="0" w:type="dxa"/>
          </w:tblCellMar>
          <w:tblLook w:val="01E0"/>
        </w:tblPrEx>
        <w:trPr>
          <w:trHeight w:val="357"/>
          <w:jc w:val="left"/>
        </w:trPr>
        <w:tc>
          <w:tcPr>
            <w:tcW w:w="989" w:type="dxa"/>
          </w:tcPr>
          <w:p>
            <w:pPr>
              <w:pStyle w:val="TableParagraph"/>
              <w:spacing w:before="64"/>
              <w:ind w:left="403"/>
              <w:rPr>
                <w:sz w:val="18"/>
              </w:rPr>
            </w:pPr>
            <w:r>
              <w:rPr>
                <w:sz w:val="18"/>
              </w:rPr>
              <w:t>17</w:t>
            </w:r>
          </w:p>
        </w:tc>
        <w:tc>
          <w:tcPr>
            <w:tcW w:w="1637" w:type="dxa"/>
            <w:vMerge/>
            <w:tcBorders>
              <w:top w:val="nil"/>
            </w:tcBorders>
          </w:tcPr>
          <w:p>
            <w:pPr>
              <w:rPr>
                <w:sz w:val="2"/>
                <w:szCs w:val="2"/>
              </w:rPr>
            </w:pPr>
          </w:p>
        </w:tc>
        <w:tc>
          <w:tcPr>
            <w:tcW w:w="6730" w:type="dxa"/>
          </w:tcPr>
          <w:p>
            <w:pPr>
              <w:pStyle w:val="TableParagraph"/>
              <w:spacing w:before="96"/>
              <w:ind w:left="9"/>
              <w:rPr>
                <w:sz w:val="18"/>
              </w:rPr>
            </w:pPr>
            <w:r>
              <w:rPr>
                <w:sz w:val="18"/>
              </w:rPr>
              <w:t>载荷装卸控制装置各机构操作</w:t>
            </w:r>
            <w:r>
              <w:rPr>
                <w:color w:val="292C30"/>
                <w:sz w:val="18"/>
              </w:rPr>
              <w:t>应灵活</w:t>
            </w:r>
            <w:r>
              <w:rPr>
                <w:color w:val="4B5159"/>
                <w:sz w:val="18"/>
              </w:rPr>
              <w:t>无卡滞</w:t>
            </w:r>
          </w:p>
        </w:tc>
      </w:tr>
      <w:tr>
        <w:tblPrEx>
          <w:tblW w:w="0" w:type="auto"/>
          <w:jc w:val="left"/>
          <w:tblInd w:w="1181" w:type="dxa"/>
          <w:tblLayout w:type="fixed"/>
          <w:tblCellMar>
            <w:top w:w="0" w:type="dxa"/>
            <w:left w:w="0" w:type="dxa"/>
            <w:bottom w:w="0" w:type="dxa"/>
            <w:right w:w="0" w:type="dxa"/>
          </w:tblCellMar>
          <w:tblLook w:val="01E0"/>
        </w:tblPrEx>
        <w:trPr>
          <w:trHeight w:val="359"/>
          <w:jc w:val="left"/>
        </w:trPr>
        <w:tc>
          <w:tcPr>
            <w:tcW w:w="989" w:type="dxa"/>
          </w:tcPr>
          <w:p>
            <w:pPr>
              <w:pStyle w:val="TableParagraph"/>
              <w:spacing w:before="64"/>
              <w:ind w:left="403"/>
              <w:rPr>
                <w:sz w:val="18"/>
              </w:rPr>
            </w:pPr>
            <w:r>
              <w:rPr>
                <w:sz w:val="18"/>
              </w:rPr>
              <w:t>18</w:t>
            </w:r>
          </w:p>
        </w:tc>
        <w:tc>
          <w:tcPr>
            <w:tcW w:w="1637" w:type="dxa"/>
            <w:vMerge/>
            <w:tcBorders>
              <w:top w:val="nil"/>
            </w:tcBorders>
          </w:tcPr>
          <w:p>
            <w:pPr>
              <w:rPr>
                <w:sz w:val="2"/>
                <w:szCs w:val="2"/>
              </w:rPr>
            </w:pPr>
          </w:p>
        </w:tc>
        <w:tc>
          <w:tcPr>
            <w:tcW w:w="6730" w:type="dxa"/>
          </w:tcPr>
          <w:p>
            <w:pPr>
              <w:pStyle w:val="TableParagraph"/>
              <w:spacing w:before="96"/>
              <w:ind w:left="9"/>
              <w:rPr>
                <w:sz w:val="18"/>
              </w:rPr>
            </w:pPr>
            <w:r>
              <w:rPr>
                <w:sz w:val="18"/>
              </w:rPr>
              <w:t>制动踏板或驻车操纵手柄无异常</w:t>
            </w:r>
            <w:r>
              <w:rPr>
                <w:color w:val="292C30"/>
                <w:sz w:val="18"/>
              </w:rPr>
              <w:t>迟钝</w:t>
            </w:r>
            <w:r>
              <w:rPr>
                <w:sz w:val="18"/>
              </w:rPr>
              <w:t>或卡阻</w:t>
            </w:r>
          </w:p>
        </w:tc>
      </w:tr>
      <w:tr>
        <w:tblPrEx>
          <w:tblW w:w="0" w:type="auto"/>
          <w:jc w:val="left"/>
          <w:tblInd w:w="1181" w:type="dxa"/>
          <w:tblLayout w:type="fixed"/>
          <w:tblCellMar>
            <w:top w:w="0" w:type="dxa"/>
            <w:left w:w="0" w:type="dxa"/>
            <w:bottom w:w="0" w:type="dxa"/>
            <w:right w:w="0" w:type="dxa"/>
          </w:tblCellMar>
          <w:tblLook w:val="01E0"/>
        </w:tblPrEx>
        <w:trPr>
          <w:trHeight w:val="359"/>
          <w:jc w:val="left"/>
        </w:trPr>
        <w:tc>
          <w:tcPr>
            <w:tcW w:w="989" w:type="dxa"/>
          </w:tcPr>
          <w:p>
            <w:pPr>
              <w:pStyle w:val="TableParagraph"/>
              <w:spacing w:before="64"/>
              <w:ind w:left="403"/>
              <w:rPr>
                <w:sz w:val="18"/>
              </w:rPr>
            </w:pPr>
            <w:r>
              <w:rPr>
                <w:sz w:val="18"/>
              </w:rPr>
              <w:t>19</w:t>
            </w:r>
          </w:p>
        </w:tc>
        <w:tc>
          <w:tcPr>
            <w:tcW w:w="1637" w:type="dxa"/>
            <w:vMerge w:val="restart"/>
          </w:tcPr>
          <w:p>
            <w:pPr>
              <w:pStyle w:val="TableParagraph"/>
              <w:rPr>
                <w:rFonts w:ascii="黑体"/>
                <w:sz w:val="18"/>
              </w:rPr>
            </w:pPr>
          </w:p>
          <w:p>
            <w:pPr>
              <w:pStyle w:val="TableParagraph"/>
              <w:rPr>
                <w:rFonts w:ascii="黑体"/>
                <w:sz w:val="18"/>
              </w:rPr>
            </w:pPr>
          </w:p>
          <w:p>
            <w:pPr>
              <w:pStyle w:val="TableParagraph"/>
              <w:spacing w:before="124" w:line="441" w:lineRule="auto"/>
              <w:ind w:left="9" w:right="-15"/>
              <w:rPr>
                <w:sz w:val="18"/>
              </w:rPr>
            </w:pPr>
            <w:r>
              <w:rPr>
                <w:sz w:val="18"/>
              </w:rPr>
              <w:t>电气（液压、气压） 控制系统</w:t>
            </w:r>
          </w:p>
        </w:tc>
        <w:tc>
          <w:tcPr>
            <w:tcW w:w="6730" w:type="dxa"/>
          </w:tcPr>
          <w:p>
            <w:pPr>
              <w:pStyle w:val="TableParagraph"/>
              <w:spacing w:before="95"/>
              <w:ind w:left="9"/>
              <w:rPr>
                <w:sz w:val="18"/>
              </w:rPr>
            </w:pPr>
            <w:r>
              <w:rPr>
                <w:sz w:val="18"/>
              </w:rPr>
              <w:t>启动开关装置工作正常</w:t>
            </w:r>
          </w:p>
        </w:tc>
      </w:tr>
      <w:tr>
        <w:tblPrEx>
          <w:tblW w:w="0" w:type="auto"/>
          <w:jc w:val="left"/>
          <w:tblInd w:w="1181" w:type="dxa"/>
          <w:tblLayout w:type="fixed"/>
          <w:tblCellMar>
            <w:top w:w="0" w:type="dxa"/>
            <w:left w:w="0" w:type="dxa"/>
            <w:bottom w:w="0" w:type="dxa"/>
            <w:right w:w="0" w:type="dxa"/>
          </w:tblCellMar>
          <w:tblLook w:val="01E0"/>
        </w:tblPrEx>
        <w:trPr>
          <w:trHeight w:val="359"/>
          <w:jc w:val="left"/>
        </w:trPr>
        <w:tc>
          <w:tcPr>
            <w:tcW w:w="989" w:type="dxa"/>
          </w:tcPr>
          <w:p>
            <w:pPr>
              <w:pStyle w:val="TableParagraph"/>
              <w:spacing w:before="64"/>
              <w:ind w:left="403"/>
              <w:rPr>
                <w:sz w:val="18"/>
              </w:rPr>
            </w:pPr>
            <w:r>
              <w:rPr>
                <w:sz w:val="18"/>
              </w:rPr>
              <w:t>20</w:t>
            </w:r>
          </w:p>
        </w:tc>
        <w:tc>
          <w:tcPr>
            <w:tcW w:w="1637" w:type="dxa"/>
            <w:vMerge/>
            <w:tcBorders>
              <w:top w:val="nil"/>
            </w:tcBorders>
          </w:tcPr>
          <w:p>
            <w:pPr>
              <w:rPr>
                <w:sz w:val="2"/>
                <w:szCs w:val="2"/>
              </w:rPr>
            </w:pPr>
          </w:p>
        </w:tc>
        <w:tc>
          <w:tcPr>
            <w:tcW w:w="6730" w:type="dxa"/>
          </w:tcPr>
          <w:p>
            <w:pPr>
              <w:pStyle w:val="TableParagraph"/>
              <w:spacing w:before="96"/>
              <w:ind w:left="9"/>
              <w:rPr>
                <w:sz w:val="18"/>
              </w:rPr>
            </w:pPr>
            <w:r>
              <w:rPr>
                <w:sz w:val="18"/>
              </w:rPr>
              <w:t>灯光齐全、工作正常</w:t>
            </w:r>
          </w:p>
        </w:tc>
      </w:tr>
      <w:tr>
        <w:tblPrEx>
          <w:tblW w:w="0" w:type="auto"/>
          <w:jc w:val="left"/>
          <w:tblInd w:w="1181" w:type="dxa"/>
          <w:tblLayout w:type="fixed"/>
          <w:tblCellMar>
            <w:top w:w="0" w:type="dxa"/>
            <w:left w:w="0" w:type="dxa"/>
            <w:bottom w:w="0" w:type="dxa"/>
            <w:right w:w="0" w:type="dxa"/>
          </w:tblCellMar>
          <w:tblLook w:val="01E0"/>
        </w:tblPrEx>
        <w:trPr>
          <w:trHeight w:val="357"/>
          <w:jc w:val="left"/>
        </w:trPr>
        <w:tc>
          <w:tcPr>
            <w:tcW w:w="989" w:type="dxa"/>
          </w:tcPr>
          <w:p>
            <w:pPr>
              <w:pStyle w:val="TableParagraph"/>
              <w:spacing w:before="64"/>
              <w:ind w:left="403"/>
              <w:rPr>
                <w:sz w:val="18"/>
              </w:rPr>
            </w:pPr>
            <w:r>
              <w:rPr>
                <w:sz w:val="18"/>
              </w:rPr>
              <w:t>21</w:t>
            </w:r>
          </w:p>
        </w:tc>
        <w:tc>
          <w:tcPr>
            <w:tcW w:w="1637" w:type="dxa"/>
            <w:vMerge/>
            <w:tcBorders>
              <w:top w:val="nil"/>
            </w:tcBorders>
          </w:tcPr>
          <w:p>
            <w:pPr>
              <w:rPr>
                <w:sz w:val="2"/>
                <w:szCs w:val="2"/>
              </w:rPr>
            </w:pPr>
          </w:p>
        </w:tc>
        <w:tc>
          <w:tcPr>
            <w:tcW w:w="6730" w:type="dxa"/>
          </w:tcPr>
          <w:p>
            <w:pPr>
              <w:pStyle w:val="TableParagraph"/>
              <w:spacing w:before="96"/>
              <w:ind w:left="9"/>
              <w:rPr>
                <w:sz w:val="9"/>
              </w:rPr>
            </w:pPr>
            <w:r>
              <w:rPr>
                <w:sz w:val="18"/>
              </w:rPr>
              <w:t xml:space="preserve">电动叉车的紧急断电开关功能有效 </w:t>
            </w:r>
            <w:r>
              <w:rPr>
                <w:color w:val="A8C0DE"/>
                <w:position w:val="9"/>
                <w:sz w:val="9"/>
              </w:rPr>
              <w:t>1</w:t>
            </w:r>
          </w:p>
        </w:tc>
      </w:tr>
      <w:tr>
        <w:tblPrEx>
          <w:tblW w:w="0" w:type="auto"/>
          <w:jc w:val="left"/>
          <w:tblInd w:w="1181" w:type="dxa"/>
          <w:tblLayout w:type="fixed"/>
          <w:tblCellMar>
            <w:top w:w="0" w:type="dxa"/>
            <w:left w:w="0" w:type="dxa"/>
            <w:bottom w:w="0" w:type="dxa"/>
            <w:right w:w="0" w:type="dxa"/>
          </w:tblCellMar>
          <w:tblLook w:val="01E0"/>
        </w:tblPrEx>
        <w:trPr>
          <w:trHeight w:val="359"/>
          <w:jc w:val="left"/>
        </w:trPr>
        <w:tc>
          <w:tcPr>
            <w:tcW w:w="989" w:type="dxa"/>
          </w:tcPr>
          <w:p>
            <w:pPr>
              <w:pStyle w:val="TableParagraph"/>
              <w:spacing w:before="64"/>
              <w:ind w:left="403"/>
              <w:rPr>
                <w:sz w:val="18"/>
              </w:rPr>
            </w:pPr>
            <w:r>
              <w:rPr>
                <w:sz w:val="18"/>
              </w:rPr>
              <w:t>22</w:t>
            </w:r>
          </w:p>
        </w:tc>
        <w:tc>
          <w:tcPr>
            <w:tcW w:w="1637" w:type="dxa"/>
            <w:vMerge/>
            <w:tcBorders>
              <w:top w:val="nil"/>
            </w:tcBorders>
          </w:tcPr>
          <w:p>
            <w:pPr>
              <w:rPr>
                <w:sz w:val="2"/>
                <w:szCs w:val="2"/>
              </w:rPr>
            </w:pPr>
          </w:p>
        </w:tc>
        <w:tc>
          <w:tcPr>
            <w:tcW w:w="6730" w:type="dxa"/>
          </w:tcPr>
          <w:p>
            <w:pPr>
              <w:pStyle w:val="TableParagraph"/>
              <w:spacing w:before="96"/>
              <w:ind w:left="9"/>
              <w:rPr>
                <w:sz w:val="18"/>
              </w:rPr>
            </w:pPr>
            <w:r>
              <w:rPr>
                <w:sz w:val="18"/>
              </w:rPr>
              <w:t>仪表固定可靠，显示正常</w:t>
            </w:r>
          </w:p>
        </w:tc>
      </w:tr>
      <w:tr>
        <w:tblPrEx>
          <w:tblW w:w="0" w:type="auto"/>
          <w:jc w:val="left"/>
          <w:tblInd w:w="1181" w:type="dxa"/>
          <w:tblLayout w:type="fixed"/>
          <w:tblCellMar>
            <w:top w:w="0" w:type="dxa"/>
            <w:left w:w="0" w:type="dxa"/>
            <w:bottom w:w="0" w:type="dxa"/>
            <w:right w:w="0" w:type="dxa"/>
          </w:tblCellMar>
          <w:tblLook w:val="01E0"/>
        </w:tblPrEx>
        <w:trPr>
          <w:trHeight w:val="359"/>
          <w:jc w:val="left"/>
        </w:trPr>
        <w:tc>
          <w:tcPr>
            <w:tcW w:w="989" w:type="dxa"/>
          </w:tcPr>
          <w:p>
            <w:pPr>
              <w:pStyle w:val="TableParagraph"/>
              <w:spacing w:before="64"/>
              <w:ind w:left="403"/>
              <w:rPr>
                <w:sz w:val="18"/>
              </w:rPr>
            </w:pPr>
            <w:r>
              <w:rPr>
                <w:sz w:val="18"/>
              </w:rPr>
              <w:t>23</w:t>
            </w:r>
          </w:p>
        </w:tc>
        <w:tc>
          <w:tcPr>
            <w:tcW w:w="1637" w:type="dxa"/>
            <w:vMerge/>
            <w:tcBorders>
              <w:top w:val="nil"/>
            </w:tcBorders>
          </w:tcPr>
          <w:p>
            <w:pPr>
              <w:rPr>
                <w:sz w:val="2"/>
                <w:szCs w:val="2"/>
              </w:rPr>
            </w:pPr>
          </w:p>
        </w:tc>
        <w:tc>
          <w:tcPr>
            <w:tcW w:w="6730" w:type="dxa"/>
          </w:tcPr>
          <w:p>
            <w:pPr>
              <w:pStyle w:val="TableParagraph"/>
              <w:spacing w:before="95"/>
              <w:ind w:left="9"/>
              <w:rPr>
                <w:sz w:val="18"/>
              </w:rPr>
            </w:pPr>
            <w:r>
              <w:rPr>
                <w:sz w:val="18"/>
              </w:rPr>
              <w:t>加注、更换液压油，清洗滤油器</w:t>
            </w:r>
          </w:p>
        </w:tc>
      </w:tr>
    </w:tbl>
    <w:p>
      <w:pPr>
        <w:pStyle w:val="BodyText"/>
        <w:rPr>
          <w:rFonts w:ascii="黑体"/>
          <w:sz w:val="20"/>
        </w:rPr>
      </w:pPr>
    </w:p>
    <w:p>
      <w:pPr>
        <w:pStyle w:val="BodyText"/>
        <w:rPr>
          <w:rFonts w:ascii="黑体"/>
          <w:sz w:val="20"/>
        </w:rPr>
      </w:pPr>
    </w:p>
    <w:p>
      <w:pPr>
        <w:pStyle w:val="BodyText"/>
        <w:spacing w:before="11"/>
        <w:rPr>
          <w:rFonts w:ascii="黑体"/>
          <w:sz w:val="26"/>
        </w:rPr>
      </w:pPr>
      <w:r>
        <w:pict>
          <v:shape id="_x0000_s1038" type="#_x0000_t202" style="width:5.5pt;height:9pt;margin-top:19.2pt;margin-left:524.05pt;mso-position-horizontal-relative:page;mso-wrap-distance-left:0;mso-wrap-distance-right:0;position:absolute;z-index:-251643904" filled="f" stroked="f">
            <v:textbox inset="0,0,0,0">
              <w:txbxContent>
                <w:p>
                  <w:pPr>
                    <w:spacing w:before="0" w:line="180" w:lineRule="exact"/>
                    <w:ind w:left="0" w:right="0" w:firstLine="0"/>
                    <w:jc w:val="left"/>
                    <w:rPr>
                      <w:sz w:val="18"/>
                    </w:rPr>
                  </w:pPr>
                  <w:r>
                    <w:rPr>
                      <w:sz w:val="18"/>
                    </w:rPr>
                    <w:t>5</w:t>
                  </w:r>
                </w:p>
              </w:txbxContent>
            </v:textbox>
            <w10:wrap type="topAndBottom"/>
          </v:shape>
        </w:pict>
      </w:r>
    </w:p>
    <w:p>
      <w:pPr>
        <w:spacing w:after="0"/>
        <w:rPr>
          <w:rFonts w:ascii="黑体"/>
          <w:sz w:val="26"/>
        </w:rPr>
      </w:pPr>
      <w:r>
        <w:rPr>
          <w:rFonts w:ascii="黑体"/>
          <w:sz w:val="26"/>
        </w:rPr>
        <w:br/>
      </w:r>
      <w:r>
        <w:rPr>
          <w:rFonts w:ascii="黑体"/>
          <w:sz w:val="26"/>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8" w:history="1">
        <w:r>
          <w:rPr>
            <w:rFonts w:ascii="SimSun" w:eastAsia="SimSun" w:hAnsi="SimSun" w:cs="SimSun"/>
            <w:b/>
            <w:bCs/>
            <w:color w:val="0000EE"/>
            <w:sz w:val="30"/>
            <w:szCs w:val="30"/>
            <w:u w:val="single" w:color="0000EE"/>
          </w:rPr>
          <w:t>https://d.book118.com/866243042201010032</w:t>
        </w:r>
      </w:hyperlink>
    </w:p>
    <w:p>
      <w:pPr>
        <w:spacing w:after="0"/>
        <w:rPr>
          <w:rFonts w:ascii="黑体"/>
          <w:sz w:val="26"/>
        </w:rPr>
      </w:pPr>
    </w:p>
    <w:sectPr>
      <w:headerReference w:type="even" r:id="rId19"/>
      <w:headerReference w:type="default" r:id="rId20"/>
      <w:pgSz w:w="11910" w:h="16840"/>
      <w:pgMar w:top="1660" w:right="260" w:bottom="280" w:left="240" w:header="1441" w:footer="0"/>
      <w:pgNumType w:start="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91.45pt;height:13.7pt;margin-top:71.06pt;margin-left:55.64pt;mso-position-horizontal-relative:page;mso-position-vertical-relative:page;position:absolute;z-index:-251657216" filled="f" stroked="f">
          <v:textbox inset="0,0,0,0">
            <w:txbxContent>
              <w:p>
                <w:pPr>
                  <w:pStyle w:val="BodyText"/>
                  <w:spacing w:line="267" w:lineRule="exact"/>
                  <w:ind w:left="20"/>
                  <w:rPr>
                    <w:rFonts w:ascii="黑体" w:hAnsi="黑体"/>
                  </w:rPr>
                </w:pPr>
                <w:r>
                  <w:rPr>
                    <w:rFonts w:ascii="黑体" w:hAnsi="黑体"/>
                  </w:rPr>
                  <w:t>DB63/T 2229</w:t>
                </w:r>
                <w:r>
                  <w:rPr>
                    <w:rFonts w:ascii="Times New Roman" w:hAnsi="Times New Roman"/>
                  </w:rPr>
                  <w:t>—</w:t>
                </w:r>
                <w:r>
                  <w:rPr>
                    <w:rFonts w:ascii="黑体" w:hAnsi="黑体"/>
                  </w:rPr>
                  <w:t>2023</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91.4pt;height:13.7pt;margin-top:71.06pt;margin-left:448.17pt;mso-position-horizontal-relative:page;mso-position-vertical-relative:page;position:absolute;z-index:-251658240" filled="f" stroked="f">
          <v:textbox inset="0,0,0,0">
            <w:txbxContent>
              <w:p>
                <w:pPr>
                  <w:pStyle w:val="BodyText"/>
                  <w:spacing w:line="267" w:lineRule="exact"/>
                  <w:ind w:left="20"/>
                  <w:rPr>
                    <w:rFonts w:ascii="黑体" w:hAnsi="黑体"/>
                  </w:rPr>
                </w:pPr>
                <w:r>
                  <w:rPr>
                    <w:rFonts w:ascii="黑体" w:hAnsi="黑体"/>
                  </w:rPr>
                  <w:t>DB63/T 2229</w:t>
                </w:r>
                <w:r>
                  <w:rPr>
                    <w:rFonts w:ascii="Times New Roman" w:hAnsi="Times New Roman"/>
                  </w:rPr>
                  <w:t>—</w:t>
                </w:r>
                <w:r>
                  <w:rPr>
                    <w:rFonts w:ascii="黑体" w:hAnsi="黑体"/>
                  </w:rPr>
                  <w:t>2023</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91.45pt;height:13.7pt;margin-top:71.06pt;margin-left:55.64pt;mso-position-horizontal-relative:page;mso-position-vertical-relative:page;position:absolute;z-index:-251655168" filled="f" stroked="f">
          <v:textbox inset="0,0,0,0">
            <w:txbxContent>
              <w:p>
                <w:pPr>
                  <w:pStyle w:val="BodyText"/>
                  <w:spacing w:line="267" w:lineRule="exact"/>
                  <w:ind w:left="20"/>
                  <w:rPr>
                    <w:rFonts w:ascii="黑体" w:hAnsi="黑体"/>
                  </w:rPr>
                </w:pPr>
                <w:r>
                  <w:rPr>
                    <w:rFonts w:ascii="黑体" w:hAnsi="黑体"/>
                  </w:rPr>
                  <w:t>DB63/T 2229</w:t>
                </w:r>
                <w:r>
                  <w:rPr>
                    <w:rFonts w:ascii="Times New Roman" w:hAnsi="Times New Roman"/>
                  </w:rPr>
                  <w:t>—</w:t>
                </w:r>
                <w:r>
                  <w:rPr>
                    <w:rFonts w:ascii="黑体" w:hAnsi="黑体"/>
                  </w:rPr>
                  <w:t>2023</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91.4pt;height:13.7pt;margin-top:71.06pt;margin-left:448.17pt;mso-position-horizontal-relative:page;mso-position-vertical-relative:page;position:absolute;z-index:-251656192" filled="f" stroked="f">
          <v:textbox inset="0,0,0,0">
            <w:txbxContent>
              <w:p>
                <w:pPr>
                  <w:pStyle w:val="BodyText"/>
                  <w:spacing w:line="267" w:lineRule="exact"/>
                  <w:ind w:left="20"/>
                  <w:rPr>
                    <w:rFonts w:ascii="黑体" w:hAnsi="黑体"/>
                  </w:rPr>
                </w:pPr>
                <w:r>
                  <w:rPr>
                    <w:rFonts w:ascii="黑体" w:hAnsi="黑体"/>
                  </w:rPr>
                  <w:t>DB63/T 2229</w:t>
                </w:r>
                <w:r>
                  <w:rPr>
                    <w:rFonts w:ascii="Times New Roman" w:hAnsi="Times New Roman"/>
                  </w:rPr>
                  <w:t>—</w:t>
                </w:r>
                <w:r>
                  <w:rPr>
                    <w:rFonts w:ascii="黑体" w:hAnsi="黑体"/>
                  </w:rPr>
                  <w:t>2023</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91.45pt;height:13.7pt;margin-top:71.06pt;margin-left:55.64pt;mso-position-horizontal-relative:page;mso-position-vertical-relative:page;position:absolute;z-index:-251653120" filled="f" stroked="f">
          <v:textbox inset="0,0,0,0">
            <w:txbxContent>
              <w:p>
                <w:pPr>
                  <w:pStyle w:val="BodyText"/>
                  <w:spacing w:line="267" w:lineRule="exact"/>
                  <w:ind w:left="20"/>
                  <w:rPr>
                    <w:rFonts w:ascii="黑体" w:hAnsi="黑体"/>
                  </w:rPr>
                </w:pPr>
                <w:r>
                  <w:rPr>
                    <w:rFonts w:ascii="黑体" w:hAnsi="黑体"/>
                  </w:rPr>
                  <w:t>DB63/T 2229</w:t>
                </w:r>
                <w:r>
                  <w:rPr>
                    <w:rFonts w:ascii="Times New Roman" w:hAnsi="Times New Roman"/>
                  </w:rPr>
                  <w:t>—</w:t>
                </w:r>
                <w:r>
                  <w:rPr>
                    <w:rFonts w:ascii="黑体" w:hAnsi="黑体"/>
                  </w:rPr>
                  <w:t>2023</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91.4pt;height:13.7pt;margin-top:71.06pt;margin-left:448.17pt;mso-position-horizontal-relative:page;mso-position-vertical-relative:page;position:absolute;z-index:-251654144" filled="f" stroked="f">
          <v:textbox inset="0,0,0,0">
            <w:txbxContent>
              <w:p>
                <w:pPr>
                  <w:pStyle w:val="BodyText"/>
                  <w:spacing w:line="267" w:lineRule="exact"/>
                  <w:ind w:left="20"/>
                  <w:rPr>
                    <w:rFonts w:ascii="黑体" w:hAnsi="黑体"/>
                  </w:rPr>
                </w:pPr>
                <w:r>
                  <w:rPr>
                    <w:rFonts w:ascii="黑体" w:hAnsi="黑体"/>
                  </w:rPr>
                  <w:t>DB63/T 2229</w:t>
                </w:r>
                <w:r>
                  <w:rPr>
                    <w:rFonts w:ascii="Times New Roman" w:hAnsi="Times New Roman"/>
                  </w:rPr>
                  <w:t>—</w:t>
                </w:r>
                <w:r>
                  <w:rPr>
                    <w:rFonts w:ascii="黑体" w:hAnsi="黑体"/>
                  </w:rPr>
                  <w:t>2023</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91.45pt;height:13.7pt;margin-top:71.06pt;margin-left:55.64pt;mso-position-horizontal-relative:page;mso-position-vertical-relative:page;position:absolute;z-index:-251651072" filled="f" stroked="f">
          <v:textbox inset="0,0,0,0">
            <w:txbxContent>
              <w:p>
                <w:pPr>
                  <w:pStyle w:val="BodyText"/>
                  <w:spacing w:line="267" w:lineRule="exact"/>
                  <w:ind w:left="20"/>
                  <w:rPr>
                    <w:rFonts w:ascii="黑体" w:hAnsi="黑体"/>
                  </w:rPr>
                </w:pPr>
                <w:r>
                  <w:rPr>
                    <w:rFonts w:ascii="黑体" w:hAnsi="黑体"/>
                  </w:rPr>
                  <w:t>DB63/T 2229</w:t>
                </w:r>
                <w:r>
                  <w:rPr>
                    <w:rFonts w:ascii="Times New Roman" w:hAnsi="Times New Roman"/>
                  </w:rPr>
                  <w:t>—</w:t>
                </w:r>
                <w:r>
                  <w:rPr>
                    <w:rFonts w:ascii="黑体" w:hAnsi="黑体"/>
                  </w:rPr>
                  <w:t>2023</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91.4pt;height:13.7pt;margin-top:71.06pt;margin-left:448.17pt;mso-position-horizontal-relative:page;mso-position-vertical-relative:page;position:absolute;z-index:-251652096" filled="f" stroked="f">
          <v:textbox inset="0,0,0,0">
            <w:txbxContent>
              <w:p>
                <w:pPr>
                  <w:pStyle w:val="BodyText"/>
                  <w:spacing w:line="267" w:lineRule="exact"/>
                  <w:ind w:left="20"/>
                  <w:rPr>
                    <w:rFonts w:ascii="黑体" w:hAnsi="黑体"/>
                  </w:rPr>
                </w:pPr>
                <w:r>
                  <w:rPr>
                    <w:rFonts w:ascii="黑体" w:hAnsi="黑体"/>
                  </w:rPr>
                  <w:t>DB63/T 2229</w:t>
                </w:r>
                <w:r>
                  <w:rPr>
                    <w:rFonts w:ascii="Times New Roman" w:hAnsi="Times New Roman"/>
                  </w:rPr>
                  <w:t>—</w:t>
                </w:r>
                <w:r>
                  <w:rPr>
                    <w:rFonts w:ascii="黑体" w:hAnsi="黑体"/>
                  </w:rPr>
                  <w:t>2023</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91.45pt;height:13.7pt;margin-top:71.06pt;margin-left:55.64pt;mso-position-horizontal-relative:page;mso-position-vertical-relative:page;position:absolute;z-index:-251649024" filled="f" stroked="f">
          <v:textbox inset="0,0,0,0">
            <w:txbxContent>
              <w:p>
                <w:pPr>
                  <w:pStyle w:val="BodyText"/>
                  <w:spacing w:line="267" w:lineRule="exact"/>
                  <w:ind w:left="20"/>
                  <w:rPr>
                    <w:rFonts w:ascii="黑体" w:hAnsi="黑体"/>
                  </w:rPr>
                </w:pPr>
                <w:r>
                  <w:rPr>
                    <w:rFonts w:ascii="黑体" w:hAnsi="黑体"/>
                  </w:rPr>
                  <w:t>DB63/T 2229</w:t>
                </w:r>
                <w:r>
                  <w:rPr>
                    <w:rFonts w:ascii="Times New Roman" w:hAnsi="Times New Roman"/>
                  </w:rPr>
                  <w:t>—</w:t>
                </w:r>
                <w:r>
                  <w:rPr>
                    <w:rFonts w:ascii="黑体" w:hAnsi="黑体"/>
                  </w:rPr>
                  <w:t>2023</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91.4pt;height:13.7pt;margin-top:71.06pt;margin-left:448.17pt;mso-position-horizontal-relative:page;mso-position-vertical-relative:page;position:absolute;z-index:-251650048" filled="f" stroked="f">
          <v:textbox inset="0,0,0,0">
            <w:txbxContent>
              <w:p>
                <w:pPr>
                  <w:pStyle w:val="BodyText"/>
                  <w:spacing w:line="267" w:lineRule="exact"/>
                  <w:ind w:left="20"/>
                  <w:rPr>
                    <w:rFonts w:ascii="黑体" w:hAnsi="黑体"/>
                  </w:rPr>
                </w:pPr>
                <w:r>
                  <w:rPr>
                    <w:rFonts w:ascii="黑体" w:hAnsi="黑体"/>
                  </w:rPr>
                  <w:t>DB63/T 2229</w:t>
                </w:r>
                <w:r>
                  <w:rPr>
                    <w:rFonts w:ascii="Times New Roman" w:hAnsi="Times New Roman"/>
                  </w:rPr>
                  <w:t>—</w:t>
                </w:r>
                <w:r>
                  <w:rPr>
                    <w:rFonts w:ascii="黑体" w:hAnsi="黑体"/>
                  </w:rPr>
                  <w:t>2023</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91.45pt;height:13.7pt;margin-top:71.06pt;margin-left:55.64pt;mso-position-horizontal-relative:page;mso-position-vertical-relative:page;position:absolute;z-index:-251646976" filled="f" stroked="f">
          <v:textbox inset="0,0,0,0">
            <w:txbxContent>
              <w:p>
                <w:pPr>
                  <w:pStyle w:val="BodyText"/>
                  <w:spacing w:line="267" w:lineRule="exact"/>
                  <w:ind w:left="20"/>
                  <w:rPr>
                    <w:rFonts w:ascii="黑体" w:hAnsi="黑体"/>
                  </w:rPr>
                </w:pPr>
                <w:r>
                  <w:rPr>
                    <w:rFonts w:ascii="黑体" w:hAnsi="黑体"/>
                  </w:rPr>
                  <w:t>DB63/T 2229</w:t>
                </w:r>
                <w:r>
                  <w:rPr>
                    <w:rFonts w:ascii="Times New Roman" w:hAnsi="Times New Roman"/>
                  </w:rPr>
                  <w:t>—</w:t>
                </w:r>
                <w:r>
                  <w:rPr>
                    <w:rFonts w:ascii="黑体" w:hAnsi="黑体"/>
                  </w:rPr>
                  <w:t>2023</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91.4pt;height:13.7pt;margin-top:71.06pt;margin-left:448.17pt;mso-position-horizontal-relative:page;mso-position-vertical-relative:page;position:absolute;z-index:-251648000" filled="f" stroked="f">
          <v:textbox inset="0,0,0,0">
            <w:txbxContent>
              <w:p>
                <w:pPr>
                  <w:pStyle w:val="BodyText"/>
                  <w:spacing w:line="267" w:lineRule="exact"/>
                  <w:ind w:left="20"/>
                  <w:rPr>
                    <w:rFonts w:ascii="黑体" w:hAnsi="黑体"/>
                  </w:rPr>
                </w:pPr>
                <w:r>
                  <w:rPr>
                    <w:rFonts w:ascii="黑体" w:hAnsi="黑体"/>
                  </w:rPr>
                  <w:t>DB63/T 2229</w:t>
                </w:r>
                <w:r>
                  <w:rPr>
                    <w:rFonts w:ascii="Times New Roman" w:hAnsi="Times New Roman"/>
                  </w:rPr>
                  <w:t>—</w:t>
                </w:r>
                <w:r>
                  <w:rPr>
                    <w:rFonts w:ascii="黑体" w:hAnsi="黑体"/>
                  </w:rPr>
                  <w:t>2023</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91.45pt;height:13.7pt;margin-top:71.06pt;margin-left:55.64pt;mso-position-horizontal-relative:page;mso-position-vertical-relative:page;position:absolute;z-index:-251644928" filled="f" stroked="f">
          <v:textbox inset="0,0,0,0">
            <w:txbxContent>
              <w:p>
                <w:pPr>
                  <w:pStyle w:val="BodyText"/>
                  <w:spacing w:line="267" w:lineRule="exact"/>
                  <w:ind w:left="20"/>
                  <w:rPr>
                    <w:rFonts w:ascii="黑体" w:hAnsi="黑体"/>
                  </w:rPr>
                </w:pPr>
                <w:r>
                  <w:rPr>
                    <w:rFonts w:ascii="黑体" w:hAnsi="黑体"/>
                  </w:rPr>
                  <w:t>DB63/T 2229</w:t>
                </w:r>
                <w:r>
                  <w:rPr>
                    <w:rFonts w:ascii="Times New Roman" w:hAnsi="Times New Roman"/>
                  </w:rPr>
                  <w:t>—</w:t>
                </w:r>
                <w:r>
                  <w:rPr>
                    <w:rFonts w:ascii="黑体" w:hAnsi="黑体"/>
                  </w:rPr>
                  <w:t>2023</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91.4pt;height:13.7pt;margin-top:71.06pt;margin-left:448.17pt;mso-position-horizontal-relative:page;mso-position-vertical-relative:page;position:absolute;z-index:-251645952" filled="f" stroked="f">
          <v:textbox inset="0,0,0,0">
            <w:txbxContent>
              <w:p>
                <w:pPr>
                  <w:pStyle w:val="BodyText"/>
                  <w:spacing w:line="267" w:lineRule="exact"/>
                  <w:ind w:left="20"/>
                  <w:rPr>
                    <w:rFonts w:ascii="黑体" w:hAnsi="黑体"/>
                  </w:rPr>
                </w:pPr>
                <w:r>
                  <w:rPr>
                    <w:rFonts w:ascii="黑体" w:hAnsi="黑体"/>
                  </w:rPr>
                  <w:t>DB63/T 2229</w:t>
                </w:r>
                <w:r>
                  <w:rPr>
                    <w:rFonts w:ascii="Times New Roman" w:hAnsi="Times New Roman"/>
                  </w:rPr>
                  <w:t>—</w:t>
                </w:r>
                <w:r>
                  <w:rPr>
                    <w:rFonts w:ascii="黑体" w:hAnsi="黑体"/>
                  </w:rPr>
                  <w:t>2023</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00B26"/>
    <w:multiLevelType w:val="hybridMultilevel"/>
    <w:tmpl w:val="00000000"/>
    <w:lvl w:ilvl="0">
      <w:start w:val="1"/>
      <w:numFmt w:val="decimal"/>
      <w:lvlText w:val="%1"/>
      <w:lvlJc w:val="left"/>
      <w:pPr>
        <w:ind w:left="1490" w:hanging="315"/>
        <w:jc w:val="right"/>
      </w:pPr>
      <w:rPr>
        <w:rFonts w:ascii="黑体" w:eastAsia="黑体" w:hAnsi="黑体" w:cs="黑体" w:hint="default"/>
        <w:w w:val="100"/>
        <w:sz w:val="21"/>
        <w:szCs w:val="21"/>
        <w:lang w:val="ca-ES" w:eastAsia="en-US" w:bidi="ar-SA"/>
      </w:rPr>
    </w:lvl>
    <w:lvl w:ilvl="1">
      <w:start w:val="1"/>
      <w:numFmt w:val="decimal"/>
      <w:lvlText w:val="%1.%2"/>
      <w:lvlJc w:val="left"/>
      <w:pPr>
        <w:ind w:left="892" w:hanging="526"/>
        <w:jc w:val="left"/>
      </w:pPr>
      <w:rPr>
        <w:rFonts w:ascii="黑体" w:eastAsia="黑体" w:hAnsi="黑体" w:cs="黑体" w:hint="default"/>
        <w:w w:val="100"/>
        <w:sz w:val="21"/>
        <w:szCs w:val="21"/>
        <w:lang w:val="ca-ES" w:eastAsia="en-US" w:bidi="ar-SA"/>
      </w:rPr>
    </w:lvl>
    <w:lvl w:ilvl="2">
      <w:start w:val="1"/>
      <w:numFmt w:val="lowerLetter"/>
      <w:lvlText w:val="%3)"/>
      <w:lvlJc w:val="left"/>
      <w:pPr>
        <w:ind w:left="1732" w:hanging="421"/>
        <w:jc w:val="left"/>
      </w:pPr>
      <w:rPr>
        <w:rFonts w:ascii="宋体" w:eastAsia="宋体" w:hAnsi="宋体" w:cs="宋体" w:hint="default"/>
        <w:spacing w:val="0"/>
        <w:w w:val="99"/>
        <w:sz w:val="20"/>
        <w:szCs w:val="20"/>
        <w:lang w:val="ca-ES" w:eastAsia="en-US" w:bidi="ar-SA"/>
      </w:rPr>
    </w:lvl>
    <w:lvl w:ilvl="3">
      <w:start w:val="0"/>
      <w:numFmt w:val="bullet"/>
      <w:lvlText w:val="•"/>
      <w:lvlJc w:val="left"/>
      <w:pPr>
        <w:ind w:left="1500" w:hanging="421"/>
      </w:pPr>
      <w:rPr>
        <w:rFonts w:hint="default"/>
        <w:lang w:val="ca-ES" w:eastAsia="en-US" w:bidi="ar-SA"/>
      </w:rPr>
    </w:lvl>
    <w:lvl w:ilvl="4">
      <w:start w:val="0"/>
      <w:numFmt w:val="bullet"/>
      <w:lvlText w:val="•"/>
      <w:lvlJc w:val="left"/>
      <w:pPr>
        <w:ind w:left="1520" w:hanging="421"/>
      </w:pPr>
      <w:rPr>
        <w:rFonts w:hint="default"/>
        <w:lang w:val="ca-ES" w:eastAsia="en-US" w:bidi="ar-SA"/>
      </w:rPr>
    </w:lvl>
    <w:lvl w:ilvl="5">
      <w:start w:val="0"/>
      <w:numFmt w:val="bullet"/>
      <w:lvlText w:val="•"/>
      <w:lvlJc w:val="left"/>
      <w:pPr>
        <w:ind w:left="1740" w:hanging="421"/>
      </w:pPr>
      <w:rPr>
        <w:rFonts w:hint="default"/>
        <w:lang w:val="ca-ES" w:eastAsia="en-US" w:bidi="ar-SA"/>
      </w:rPr>
    </w:lvl>
    <w:lvl w:ilvl="6">
      <w:start w:val="0"/>
      <w:numFmt w:val="bullet"/>
      <w:lvlText w:val="•"/>
      <w:lvlJc w:val="left"/>
      <w:pPr>
        <w:ind w:left="2020" w:hanging="421"/>
      </w:pPr>
      <w:rPr>
        <w:rFonts w:hint="default"/>
        <w:lang w:val="ca-ES" w:eastAsia="en-US" w:bidi="ar-SA"/>
      </w:rPr>
    </w:lvl>
    <w:lvl w:ilvl="7">
      <w:start w:val="0"/>
      <w:numFmt w:val="bullet"/>
      <w:lvlText w:val="•"/>
      <w:lvlJc w:val="left"/>
      <w:pPr>
        <w:ind w:left="4366" w:hanging="421"/>
      </w:pPr>
      <w:rPr>
        <w:rFonts w:hint="default"/>
        <w:lang w:val="ca-ES" w:eastAsia="en-US" w:bidi="ar-SA"/>
      </w:rPr>
    </w:lvl>
    <w:lvl w:ilvl="8">
      <w:start w:val="0"/>
      <w:numFmt w:val="bullet"/>
      <w:lvlText w:val="•"/>
      <w:lvlJc w:val="left"/>
      <w:pPr>
        <w:ind w:left="6712" w:hanging="421"/>
      </w:pPr>
      <w:rPr>
        <w:rFonts w:hint="default"/>
        <w:lang w:val="ca-ES" w:eastAsia="en-US" w:bidi="ar-SA"/>
      </w:rPr>
    </w:lvl>
  </w:abstractNum>
  <w:abstractNum w:abstractNumId="1">
    <w:nsid w:val="0405B84B"/>
    <w:multiLevelType w:val="hybridMultilevel"/>
    <w:tmpl w:val="00000000"/>
    <w:lvl w:ilvl="0">
      <w:start w:val="1"/>
      <w:numFmt w:val="decimal"/>
      <w:lvlText w:val="(%1)"/>
      <w:lvlJc w:val="left"/>
      <w:pPr>
        <w:ind w:left="282" w:hanging="274"/>
        <w:jc w:val="left"/>
      </w:pPr>
      <w:rPr>
        <w:rFonts w:ascii="宋体" w:eastAsia="宋体" w:hAnsi="宋体" w:cs="宋体" w:hint="default"/>
        <w:spacing w:val="1"/>
        <w:w w:val="100"/>
        <w:sz w:val="16"/>
        <w:szCs w:val="16"/>
        <w:lang w:val="ca-ES" w:eastAsia="en-US" w:bidi="ar-SA"/>
      </w:rPr>
    </w:lvl>
    <w:lvl w:ilvl="1">
      <w:start w:val="0"/>
      <w:numFmt w:val="bullet"/>
      <w:lvlText w:val="•"/>
      <w:lvlJc w:val="left"/>
      <w:pPr>
        <w:ind w:left="861" w:hanging="274"/>
      </w:pPr>
      <w:rPr>
        <w:rFonts w:hint="default"/>
        <w:lang w:val="ca-ES" w:eastAsia="en-US" w:bidi="ar-SA"/>
      </w:rPr>
    </w:lvl>
    <w:lvl w:ilvl="2">
      <w:start w:val="0"/>
      <w:numFmt w:val="bullet"/>
      <w:lvlText w:val="•"/>
      <w:lvlJc w:val="left"/>
      <w:pPr>
        <w:ind w:left="1442" w:hanging="274"/>
      </w:pPr>
      <w:rPr>
        <w:rFonts w:hint="default"/>
        <w:lang w:val="ca-ES" w:eastAsia="en-US" w:bidi="ar-SA"/>
      </w:rPr>
    </w:lvl>
    <w:lvl w:ilvl="3">
      <w:start w:val="0"/>
      <w:numFmt w:val="bullet"/>
      <w:lvlText w:val="•"/>
      <w:lvlJc w:val="left"/>
      <w:pPr>
        <w:ind w:left="2023" w:hanging="274"/>
      </w:pPr>
      <w:rPr>
        <w:rFonts w:hint="default"/>
        <w:lang w:val="ca-ES" w:eastAsia="en-US" w:bidi="ar-SA"/>
      </w:rPr>
    </w:lvl>
    <w:lvl w:ilvl="4">
      <w:start w:val="0"/>
      <w:numFmt w:val="bullet"/>
      <w:lvlText w:val="•"/>
      <w:lvlJc w:val="left"/>
      <w:pPr>
        <w:ind w:left="2604" w:hanging="274"/>
      </w:pPr>
      <w:rPr>
        <w:rFonts w:hint="default"/>
        <w:lang w:val="ca-ES" w:eastAsia="en-US" w:bidi="ar-SA"/>
      </w:rPr>
    </w:lvl>
    <w:lvl w:ilvl="5">
      <w:start w:val="0"/>
      <w:numFmt w:val="bullet"/>
      <w:lvlText w:val="•"/>
      <w:lvlJc w:val="left"/>
      <w:pPr>
        <w:ind w:left="3185" w:hanging="274"/>
      </w:pPr>
      <w:rPr>
        <w:rFonts w:hint="default"/>
        <w:lang w:val="ca-ES" w:eastAsia="en-US" w:bidi="ar-SA"/>
      </w:rPr>
    </w:lvl>
    <w:lvl w:ilvl="6">
      <w:start w:val="0"/>
      <w:numFmt w:val="bullet"/>
      <w:lvlText w:val="•"/>
      <w:lvlJc w:val="left"/>
      <w:pPr>
        <w:ind w:left="3766" w:hanging="274"/>
      </w:pPr>
      <w:rPr>
        <w:rFonts w:hint="default"/>
        <w:lang w:val="ca-ES" w:eastAsia="en-US" w:bidi="ar-SA"/>
      </w:rPr>
    </w:lvl>
    <w:lvl w:ilvl="7">
      <w:start w:val="0"/>
      <w:numFmt w:val="bullet"/>
      <w:lvlText w:val="•"/>
      <w:lvlJc w:val="left"/>
      <w:pPr>
        <w:ind w:left="4347" w:hanging="274"/>
      </w:pPr>
      <w:rPr>
        <w:rFonts w:hint="default"/>
        <w:lang w:val="ca-ES" w:eastAsia="en-US" w:bidi="ar-SA"/>
      </w:rPr>
    </w:lvl>
    <w:lvl w:ilvl="8">
      <w:start w:val="0"/>
      <w:numFmt w:val="bullet"/>
      <w:lvlText w:val="•"/>
      <w:lvlJc w:val="left"/>
      <w:pPr>
        <w:ind w:left="4928" w:hanging="274"/>
      </w:pPr>
      <w:rPr>
        <w:rFonts w:hint="default"/>
        <w:lang w:val="ca-ES" w:eastAsia="en-US" w:bidi="ar-SA"/>
      </w:rPr>
    </w:lvl>
  </w:abstractNum>
  <w:abstractNum w:abstractNumId="2">
    <w:nsid w:val="26B04365"/>
    <w:multiLevelType w:val="hybridMultilevel"/>
    <w:tmpl w:val="00000000"/>
    <w:lvl w:ilvl="0">
      <w:start w:val="7"/>
      <w:numFmt w:val="decimal"/>
      <w:lvlText w:val="%1"/>
      <w:lvlJc w:val="left"/>
      <w:pPr>
        <w:ind w:left="892" w:hanging="735"/>
        <w:jc w:val="left"/>
      </w:pPr>
      <w:rPr>
        <w:rFonts w:hint="default"/>
        <w:lang w:val="ca-ES" w:eastAsia="en-US" w:bidi="ar-SA"/>
      </w:rPr>
    </w:lvl>
    <w:lvl w:ilvl="1">
      <w:start w:val="2"/>
      <w:numFmt w:val="decimal"/>
      <w:lvlText w:val="%1.%2"/>
      <w:lvlJc w:val="left"/>
      <w:pPr>
        <w:ind w:left="892" w:hanging="735"/>
        <w:jc w:val="left"/>
      </w:pPr>
      <w:rPr>
        <w:rFonts w:hint="default"/>
        <w:lang w:val="ca-ES" w:eastAsia="en-US" w:bidi="ar-SA"/>
      </w:rPr>
    </w:lvl>
    <w:lvl w:ilvl="2">
      <w:start w:val="1"/>
      <w:numFmt w:val="decimal"/>
      <w:lvlText w:val="%1.%2.%3"/>
      <w:lvlJc w:val="left"/>
      <w:pPr>
        <w:ind w:left="892" w:hanging="735"/>
        <w:jc w:val="left"/>
      </w:pPr>
      <w:rPr>
        <w:rFonts w:ascii="黑体" w:eastAsia="黑体" w:hAnsi="黑体" w:cs="黑体" w:hint="default"/>
        <w:w w:val="100"/>
        <w:sz w:val="21"/>
        <w:szCs w:val="21"/>
        <w:lang w:val="ca-ES" w:eastAsia="en-US" w:bidi="ar-SA"/>
      </w:rPr>
    </w:lvl>
    <w:lvl w:ilvl="3">
      <w:start w:val="1"/>
      <w:numFmt w:val="decimal"/>
      <w:lvlText w:val="[%4]"/>
      <w:lvlJc w:val="left"/>
      <w:pPr>
        <w:ind w:left="1898" w:hanging="303"/>
        <w:jc w:val="left"/>
      </w:pPr>
      <w:rPr>
        <w:rFonts w:ascii="宋体" w:eastAsia="宋体" w:hAnsi="宋体" w:cs="宋体" w:hint="default"/>
        <w:spacing w:val="1"/>
        <w:w w:val="99"/>
        <w:sz w:val="18"/>
        <w:szCs w:val="18"/>
        <w:lang w:val="ca-ES" w:eastAsia="en-US" w:bidi="ar-SA"/>
      </w:rPr>
    </w:lvl>
    <w:lvl w:ilvl="4">
      <w:start w:val="0"/>
      <w:numFmt w:val="bullet"/>
      <w:lvlText w:val="•"/>
      <w:lvlJc w:val="left"/>
      <w:pPr>
        <w:ind w:left="5068" w:hanging="303"/>
      </w:pPr>
      <w:rPr>
        <w:rFonts w:hint="default"/>
        <w:lang w:val="ca-ES" w:eastAsia="en-US" w:bidi="ar-SA"/>
      </w:rPr>
    </w:lvl>
    <w:lvl w:ilvl="5">
      <w:start w:val="0"/>
      <w:numFmt w:val="bullet"/>
      <w:lvlText w:val="•"/>
      <w:lvlJc w:val="left"/>
      <w:pPr>
        <w:ind w:left="6124" w:hanging="303"/>
      </w:pPr>
      <w:rPr>
        <w:rFonts w:hint="default"/>
        <w:lang w:val="ca-ES" w:eastAsia="en-US" w:bidi="ar-SA"/>
      </w:rPr>
    </w:lvl>
    <w:lvl w:ilvl="6">
      <w:start w:val="0"/>
      <w:numFmt w:val="bullet"/>
      <w:lvlText w:val="•"/>
      <w:lvlJc w:val="left"/>
      <w:pPr>
        <w:ind w:left="7180" w:hanging="303"/>
      </w:pPr>
      <w:rPr>
        <w:rFonts w:hint="default"/>
        <w:lang w:val="ca-ES" w:eastAsia="en-US" w:bidi="ar-SA"/>
      </w:rPr>
    </w:lvl>
    <w:lvl w:ilvl="7">
      <w:start w:val="0"/>
      <w:numFmt w:val="bullet"/>
      <w:lvlText w:val="•"/>
      <w:lvlJc w:val="left"/>
      <w:pPr>
        <w:ind w:left="8237" w:hanging="303"/>
      </w:pPr>
      <w:rPr>
        <w:rFonts w:hint="default"/>
        <w:lang w:val="ca-ES" w:eastAsia="en-US" w:bidi="ar-SA"/>
      </w:rPr>
    </w:lvl>
    <w:lvl w:ilvl="8">
      <w:start w:val="0"/>
      <w:numFmt w:val="bullet"/>
      <w:lvlText w:val="•"/>
      <w:lvlJc w:val="left"/>
      <w:pPr>
        <w:ind w:left="9293" w:hanging="303"/>
      </w:pPr>
      <w:rPr>
        <w:rFonts w:hint="default"/>
        <w:lang w:val="ca-ES" w:eastAsia="en-US" w:bidi="ar-SA"/>
      </w:rPr>
    </w:lvl>
  </w:abstractNum>
  <w:abstractNum w:abstractNumId="3">
    <w:nsid w:val="35BD9F4E"/>
    <w:multiLevelType w:val="hybridMultilevel"/>
    <w:tmpl w:val="00000000"/>
    <w:lvl w:ilvl="0">
      <w:start w:val="7"/>
      <w:numFmt w:val="decimal"/>
      <w:lvlText w:val="%1"/>
      <w:lvlJc w:val="left"/>
      <w:pPr>
        <w:ind w:left="892" w:hanging="840"/>
        <w:jc w:val="left"/>
      </w:pPr>
      <w:rPr>
        <w:rFonts w:hint="default"/>
        <w:lang w:val="ca-ES" w:eastAsia="en-US" w:bidi="ar-SA"/>
      </w:rPr>
    </w:lvl>
    <w:lvl w:ilvl="1">
      <w:start w:val="1"/>
      <w:numFmt w:val="decimal"/>
      <w:lvlText w:val="%1.%2"/>
      <w:lvlJc w:val="left"/>
      <w:pPr>
        <w:ind w:left="892" w:hanging="840"/>
        <w:jc w:val="left"/>
      </w:pPr>
      <w:rPr>
        <w:rFonts w:hint="default"/>
        <w:lang w:val="ca-ES" w:eastAsia="en-US" w:bidi="ar-SA"/>
      </w:rPr>
    </w:lvl>
    <w:lvl w:ilvl="2">
      <w:start w:val="1"/>
      <w:numFmt w:val="decimal"/>
      <w:lvlText w:val="%1.%2.%3"/>
      <w:lvlJc w:val="left"/>
      <w:pPr>
        <w:ind w:left="892" w:hanging="840"/>
        <w:jc w:val="left"/>
      </w:pPr>
      <w:rPr>
        <w:rFonts w:ascii="黑体" w:eastAsia="黑体" w:hAnsi="黑体" w:cs="黑体" w:hint="default"/>
        <w:w w:val="100"/>
        <w:sz w:val="21"/>
        <w:szCs w:val="21"/>
        <w:lang w:val="ca-ES" w:eastAsia="en-US" w:bidi="ar-SA"/>
      </w:rPr>
    </w:lvl>
    <w:lvl w:ilvl="3">
      <w:start w:val="0"/>
      <w:numFmt w:val="bullet"/>
      <w:lvlText w:val="•"/>
      <w:lvlJc w:val="left"/>
      <w:pPr>
        <w:ind w:left="4051" w:hanging="840"/>
      </w:pPr>
      <w:rPr>
        <w:rFonts w:hint="default"/>
        <w:lang w:val="ca-ES" w:eastAsia="en-US" w:bidi="ar-SA"/>
      </w:rPr>
    </w:lvl>
    <w:lvl w:ilvl="4">
      <w:start w:val="0"/>
      <w:numFmt w:val="bullet"/>
      <w:lvlText w:val="•"/>
      <w:lvlJc w:val="left"/>
      <w:pPr>
        <w:ind w:left="5102" w:hanging="840"/>
      </w:pPr>
      <w:rPr>
        <w:rFonts w:hint="default"/>
        <w:lang w:val="ca-ES" w:eastAsia="en-US" w:bidi="ar-SA"/>
      </w:rPr>
    </w:lvl>
    <w:lvl w:ilvl="5">
      <w:start w:val="0"/>
      <w:numFmt w:val="bullet"/>
      <w:lvlText w:val="•"/>
      <w:lvlJc w:val="left"/>
      <w:pPr>
        <w:ind w:left="6152" w:hanging="840"/>
      </w:pPr>
      <w:rPr>
        <w:rFonts w:hint="default"/>
        <w:lang w:val="ca-ES" w:eastAsia="en-US" w:bidi="ar-SA"/>
      </w:rPr>
    </w:lvl>
    <w:lvl w:ilvl="6">
      <w:start w:val="0"/>
      <w:numFmt w:val="bullet"/>
      <w:lvlText w:val="•"/>
      <w:lvlJc w:val="left"/>
      <w:pPr>
        <w:ind w:left="7203" w:hanging="840"/>
      </w:pPr>
      <w:rPr>
        <w:rFonts w:hint="default"/>
        <w:lang w:val="ca-ES" w:eastAsia="en-US" w:bidi="ar-SA"/>
      </w:rPr>
    </w:lvl>
    <w:lvl w:ilvl="7">
      <w:start w:val="0"/>
      <w:numFmt w:val="bullet"/>
      <w:lvlText w:val="•"/>
      <w:lvlJc w:val="left"/>
      <w:pPr>
        <w:ind w:left="8253" w:hanging="840"/>
      </w:pPr>
      <w:rPr>
        <w:rFonts w:hint="default"/>
        <w:lang w:val="ca-ES" w:eastAsia="en-US" w:bidi="ar-SA"/>
      </w:rPr>
    </w:lvl>
    <w:lvl w:ilvl="8">
      <w:start w:val="0"/>
      <w:numFmt w:val="bullet"/>
      <w:lvlText w:val="•"/>
      <w:lvlJc w:val="left"/>
      <w:pPr>
        <w:ind w:left="9304" w:hanging="840"/>
      </w:pPr>
      <w:rPr>
        <w:rFonts w:hint="default"/>
        <w:lang w:val="ca-ES" w:eastAsia="en-US" w:bidi="ar-SA"/>
      </w:rPr>
    </w:lvl>
  </w:abstractNum>
  <w:abstractNum w:abstractNumId="4">
    <w:nsid w:val="54B85BD3"/>
    <w:multiLevelType w:val="hybridMultilevel"/>
    <w:tmpl w:val="00000000"/>
    <w:lvl w:ilvl="0">
      <w:start w:val="1"/>
      <w:numFmt w:val="decimal"/>
      <w:lvlText w:val="%1"/>
      <w:lvlJc w:val="left"/>
      <w:pPr>
        <w:ind w:left="1490" w:hanging="315"/>
        <w:jc w:val="right"/>
      </w:pPr>
      <w:rPr>
        <w:rFonts w:ascii="黑体" w:eastAsia="黑体" w:hAnsi="黑体" w:cs="黑体" w:hint="default"/>
        <w:w w:val="100"/>
        <w:sz w:val="21"/>
        <w:szCs w:val="21"/>
        <w:lang w:val="ca-ES" w:eastAsia="en-US" w:bidi="ar-SA"/>
      </w:rPr>
    </w:lvl>
    <w:lvl w:ilvl="1">
      <w:start w:val="1"/>
      <w:numFmt w:val="decimal"/>
      <w:lvlText w:val="%1.%2"/>
      <w:lvlJc w:val="left"/>
      <w:pPr>
        <w:ind w:left="892" w:hanging="526"/>
        <w:jc w:val="left"/>
      </w:pPr>
      <w:rPr>
        <w:rFonts w:ascii="黑体" w:eastAsia="黑体" w:hAnsi="黑体" w:cs="黑体" w:hint="default"/>
        <w:w w:val="100"/>
        <w:sz w:val="21"/>
        <w:szCs w:val="21"/>
        <w:lang w:val="ca-ES" w:eastAsia="en-US" w:bidi="ar-SA"/>
      </w:rPr>
    </w:lvl>
    <w:lvl w:ilvl="2">
      <w:start w:val="1"/>
      <w:numFmt w:val="lowerLetter"/>
      <w:lvlText w:val="%3)"/>
      <w:lvlJc w:val="left"/>
      <w:pPr>
        <w:ind w:left="1732" w:hanging="421"/>
        <w:jc w:val="left"/>
      </w:pPr>
      <w:rPr>
        <w:rFonts w:ascii="宋体" w:eastAsia="宋体" w:hAnsi="宋体" w:cs="宋体" w:hint="default"/>
        <w:spacing w:val="0"/>
        <w:w w:val="99"/>
        <w:sz w:val="20"/>
        <w:szCs w:val="20"/>
        <w:lang w:val="ca-ES" w:eastAsia="en-US" w:bidi="ar-SA"/>
      </w:rPr>
    </w:lvl>
    <w:lvl w:ilvl="3">
      <w:start w:val="0"/>
      <w:numFmt w:val="bullet"/>
      <w:lvlText w:val="•"/>
      <w:lvlJc w:val="left"/>
      <w:pPr>
        <w:ind w:left="1500" w:hanging="421"/>
      </w:pPr>
      <w:rPr>
        <w:rFonts w:hint="default"/>
        <w:lang w:val="ca-ES" w:eastAsia="en-US" w:bidi="ar-SA"/>
      </w:rPr>
    </w:lvl>
    <w:lvl w:ilvl="4">
      <w:start w:val="0"/>
      <w:numFmt w:val="bullet"/>
      <w:lvlText w:val="•"/>
      <w:lvlJc w:val="left"/>
      <w:pPr>
        <w:ind w:left="1520" w:hanging="421"/>
      </w:pPr>
      <w:rPr>
        <w:rFonts w:hint="default"/>
        <w:lang w:val="ca-ES" w:eastAsia="en-US" w:bidi="ar-SA"/>
      </w:rPr>
    </w:lvl>
    <w:lvl w:ilvl="5">
      <w:start w:val="0"/>
      <w:numFmt w:val="bullet"/>
      <w:lvlText w:val="•"/>
      <w:lvlJc w:val="left"/>
      <w:pPr>
        <w:ind w:left="1740" w:hanging="421"/>
      </w:pPr>
      <w:rPr>
        <w:rFonts w:hint="default"/>
        <w:lang w:val="ca-ES" w:eastAsia="en-US" w:bidi="ar-SA"/>
      </w:rPr>
    </w:lvl>
    <w:lvl w:ilvl="6">
      <w:start w:val="0"/>
      <w:numFmt w:val="bullet"/>
      <w:lvlText w:val="•"/>
      <w:lvlJc w:val="left"/>
      <w:pPr>
        <w:ind w:left="2020" w:hanging="421"/>
      </w:pPr>
      <w:rPr>
        <w:rFonts w:hint="default"/>
        <w:lang w:val="ca-ES" w:eastAsia="en-US" w:bidi="ar-SA"/>
      </w:rPr>
    </w:lvl>
    <w:lvl w:ilvl="7">
      <w:start w:val="0"/>
      <w:numFmt w:val="bullet"/>
      <w:lvlText w:val="•"/>
      <w:lvlJc w:val="left"/>
      <w:pPr>
        <w:ind w:left="4366" w:hanging="421"/>
      </w:pPr>
      <w:rPr>
        <w:rFonts w:hint="default"/>
        <w:lang w:val="ca-ES" w:eastAsia="en-US" w:bidi="ar-SA"/>
      </w:rPr>
    </w:lvl>
    <w:lvl w:ilvl="8">
      <w:start w:val="0"/>
      <w:numFmt w:val="bullet"/>
      <w:lvlText w:val="•"/>
      <w:lvlJc w:val="left"/>
      <w:pPr>
        <w:ind w:left="6712" w:hanging="421"/>
      </w:pPr>
      <w:rPr>
        <w:rFonts w:hint="default"/>
        <w:lang w:val="ca-ES" w:eastAsia="en-US" w:bidi="ar-SA"/>
      </w:rPr>
    </w:lvl>
  </w:abstractNum>
  <w:abstractNum w:abstractNumId="5">
    <w:nsid w:val="559C773F"/>
    <w:multiLevelType w:val="hybridMultilevel"/>
    <w:tmpl w:val="00000000"/>
    <w:lvl w:ilvl="0">
      <w:start w:val="1"/>
      <w:numFmt w:val="decimal"/>
      <w:lvlText w:val="%1"/>
      <w:lvlJc w:val="left"/>
      <w:pPr>
        <w:ind w:left="1492" w:hanging="317"/>
        <w:jc w:val="left"/>
      </w:pPr>
      <w:rPr>
        <w:rFonts w:ascii="宋体" w:eastAsia="宋体" w:hAnsi="宋体" w:cs="宋体" w:hint="default"/>
        <w:w w:val="100"/>
        <w:sz w:val="21"/>
        <w:szCs w:val="21"/>
        <w:lang w:val="ca-ES" w:eastAsia="en-US" w:bidi="ar-SA"/>
      </w:rPr>
    </w:lvl>
    <w:lvl w:ilvl="1">
      <w:start w:val="0"/>
      <w:numFmt w:val="bullet"/>
      <w:lvlText w:val="•"/>
      <w:lvlJc w:val="left"/>
      <w:pPr>
        <w:ind w:left="2490" w:hanging="317"/>
      </w:pPr>
      <w:rPr>
        <w:rFonts w:hint="default"/>
        <w:lang w:val="ca-ES" w:eastAsia="en-US" w:bidi="ar-SA"/>
      </w:rPr>
    </w:lvl>
    <w:lvl w:ilvl="2">
      <w:start w:val="0"/>
      <w:numFmt w:val="bullet"/>
      <w:lvlText w:val="•"/>
      <w:lvlJc w:val="left"/>
      <w:pPr>
        <w:ind w:left="3481" w:hanging="317"/>
      </w:pPr>
      <w:rPr>
        <w:rFonts w:hint="default"/>
        <w:lang w:val="ca-ES" w:eastAsia="en-US" w:bidi="ar-SA"/>
      </w:rPr>
    </w:lvl>
    <w:lvl w:ilvl="3">
      <w:start w:val="0"/>
      <w:numFmt w:val="bullet"/>
      <w:lvlText w:val="•"/>
      <w:lvlJc w:val="left"/>
      <w:pPr>
        <w:ind w:left="4471" w:hanging="317"/>
      </w:pPr>
      <w:rPr>
        <w:rFonts w:hint="default"/>
        <w:lang w:val="ca-ES" w:eastAsia="en-US" w:bidi="ar-SA"/>
      </w:rPr>
    </w:lvl>
    <w:lvl w:ilvl="4">
      <w:start w:val="0"/>
      <w:numFmt w:val="bullet"/>
      <w:lvlText w:val="•"/>
      <w:lvlJc w:val="left"/>
      <w:pPr>
        <w:ind w:left="5462" w:hanging="317"/>
      </w:pPr>
      <w:rPr>
        <w:rFonts w:hint="default"/>
        <w:lang w:val="ca-ES" w:eastAsia="en-US" w:bidi="ar-SA"/>
      </w:rPr>
    </w:lvl>
    <w:lvl w:ilvl="5">
      <w:start w:val="0"/>
      <w:numFmt w:val="bullet"/>
      <w:lvlText w:val="•"/>
      <w:lvlJc w:val="left"/>
      <w:pPr>
        <w:ind w:left="6452" w:hanging="317"/>
      </w:pPr>
      <w:rPr>
        <w:rFonts w:hint="default"/>
        <w:lang w:val="ca-ES" w:eastAsia="en-US" w:bidi="ar-SA"/>
      </w:rPr>
    </w:lvl>
    <w:lvl w:ilvl="6">
      <w:start w:val="0"/>
      <w:numFmt w:val="bullet"/>
      <w:lvlText w:val="•"/>
      <w:lvlJc w:val="left"/>
      <w:pPr>
        <w:ind w:left="7443" w:hanging="317"/>
      </w:pPr>
      <w:rPr>
        <w:rFonts w:hint="default"/>
        <w:lang w:val="ca-ES" w:eastAsia="en-US" w:bidi="ar-SA"/>
      </w:rPr>
    </w:lvl>
    <w:lvl w:ilvl="7">
      <w:start w:val="0"/>
      <w:numFmt w:val="bullet"/>
      <w:lvlText w:val="•"/>
      <w:lvlJc w:val="left"/>
      <w:pPr>
        <w:ind w:left="8433" w:hanging="317"/>
      </w:pPr>
      <w:rPr>
        <w:rFonts w:hint="default"/>
        <w:lang w:val="ca-ES" w:eastAsia="en-US" w:bidi="ar-SA"/>
      </w:rPr>
    </w:lvl>
    <w:lvl w:ilvl="8">
      <w:start w:val="0"/>
      <w:numFmt w:val="bullet"/>
      <w:lvlText w:val="•"/>
      <w:lvlJc w:val="left"/>
      <w:pPr>
        <w:ind w:left="9424" w:hanging="317"/>
      </w:pPr>
      <w:rPr>
        <w:rFonts w:hint="default"/>
        <w:lang w:val="ca-ES" w:eastAsia="en-US" w:bidi="ar-SA"/>
      </w:rPr>
    </w:lvl>
  </w:abstractNum>
  <w:abstractNum w:abstractNumId="6">
    <w:nsid w:val="614912E6"/>
    <w:multiLevelType w:val="hybridMultilevel"/>
    <w:tmpl w:val="00000000"/>
    <w:lvl w:ilvl="0">
      <w:start w:val="1"/>
      <w:numFmt w:val="decimal"/>
      <w:lvlText w:val="(%1)"/>
      <w:lvlJc w:val="left"/>
      <w:pPr>
        <w:ind w:left="284" w:hanging="274"/>
        <w:jc w:val="left"/>
      </w:pPr>
      <w:rPr>
        <w:rFonts w:ascii="宋体" w:eastAsia="宋体" w:hAnsi="宋体" w:cs="宋体" w:hint="default"/>
        <w:spacing w:val="1"/>
        <w:w w:val="100"/>
        <w:sz w:val="16"/>
        <w:szCs w:val="16"/>
        <w:lang w:val="ca-ES" w:eastAsia="en-US" w:bidi="ar-SA"/>
      </w:rPr>
    </w:lvl>
    <w:lvl w:ilvl="1">
      <w:start w:val="0"/>
      <w:numFmt w:val="bullet"/>
      <w:lvlText w:val="•"/>
      <w:lvlJc w:val="left"/>
      <w:pPr>
        <w:ind w:left="846" w:hanging="274"/>
      </w:pPr>
      <w:rPr>
        <w:rFonts w:hint="default"/>
        <w:lang w:val="ca-ES" w:eastAsia="en-US" w:bidi="ar-SA"/>
      </w:rPr>
    </w:lvl>
    <w:lvl w:ilvl="2">
      <w:start w:val="0"/>
      <w:numFmt w:val="bullet"/>
      <w:lvlText w:val="•"/>
      <w:lvlJc w:val="left"/>
      <w:pPr>
        <w:ind w:left="1413" w:hanging="274"/>
      </w:pPr>
      <w:rPr>
        <w:rFonts w:hint="default"/>
        <w:lang w:val="ca-ES" w:eastAsia="en-US" w:bidi="ar-SA"/>
      </w:rPr>
    </w:lvl>
    <w:lvl w:ilvl="3">
      <w:start w:val="0"/>
      <w:numFmt w:val="bullet"/>
      <w:lvlText w:val="•"/>
      <w:lvlJc w:val="left"/>
      <w:pPr>
        <w:ind w:left="1980" w:hanging="274"/>
      </w:pPr>
      <w:rPr>
        <w:rFonts w:hint="default"/>
        <w:lang w:val="ca-ES" w:eastAsia="en-US" w:bidi="ar-SA"/>
      </w:rPr>
    </w:lvl>
    <w:lvl w:ilvl="4">
      <w:start w:val="0"/>
      <w:numFmt w:val="bullet"/>
      <w:lvlText w:val="•"/>
      <w:lvlJc w:val="left"/>
      <w:pPr>
        <w:ind w:left="2546" w:hanging="274"/>
      </w:pPr>
      <w:rPr>
        <w:rFonts w:hint="default"/>
        <w:lang w:val="ca-ES" w:eastAsia="en-US" w:bidi="ar-SA"/>
      </w:rPr>
    </w:lvl>
    <w:lvl w:ilvl="5">
      <w:start w:val="0"/>
      <w:numFmt w:val="bullet"/>
      <w:lvlText w:val="•"/>
      <w:lvlJc w:val="left"/>
      <w:pPr>
        <w:ind w:left="3113" w:hanging="274"/>
      </w:pPr>
      <w:rPr>
        <w:rFonts w:hint="default"/>
        <w:lang w:val="ca-ES" w:eastAsia="en-US" w:bidi="ar-SA"/>
      </w:rPr>
    </w:lvl>
    <w:lvl w:ilvl="6">
      <w:start w:val="0"/>
      <w:numFmt w:val="bullet"/>
      <w:lvlText w:val="•"/>
      <w:lvlJc w:val="left"/>
      <w:pPr>
        <w:ind w:left="3680" w:hanging="274"/>
      </w:pPr>
      <w:rPr>
        <w:rFonts w:hint="default"/>
        <w:lang w:val="ca-ES" w:eastAsia="en-US" w:bidi="ar-SA"/>
      </w:rPr>
    </w:lvl>
    <w:lvl w:ilvl="7">
      <w:start w:val="0"/>
      <w:numFmt w:val="bullet"/>
      <w:lvlText w:val="•"/>
      <w:lvlJc w:val="left"/>
      <w:pPr>
        <w:ind w:left="4246" w:hanging="274"/>
      </w:pPr>
      <w:rPr>
        <w:rFonts w:hint="default"/>
        <w:lang w:val="ca-ES" w:eastAsia="en-US" w:bidi="ar-SA"/>
      </w:rPr>
    </w:lvl>
    <w:lvl w:ilvl="8">
      <w:start w:val="0"/>
      <w:numFmt w:val="bullet"/>
      <w:lvlText w:val="•"/>
      <w:lvlJc w:val="left"/>
      <w:pPr>
        <w:ind w:left="4813" w:hanging="274"/>
      </w:pPr>
      <w:rPr>
        <w:rFonts w:hint="default"/>
        <w:lang w:val="ca-ES" w:eastAsia="en-US" w:bidi="ar-SA"/>
      </w:rPr>
    </w:lvl>
  </w:abstractNum>
  <w:abstractNum w:abstractNumId="7">
    <w:nsid w:val="7C8A59CF"/>
    <w:multiLevelType w:val="hybridMultilevel"/>
    <w:tmpl w:val="00000000"/>
    <w:lvl w:ilvl="0">
      <w:start w:val="3"/>
      <w:numFmt w:val="decimal"/>
      <w:lvlText w:val="(%1)"/>
      <w:lvlJc w:val="left"/>
      <w:pPr>
        <w:ind w:left="10" w:hanging="216"/>
        <w:jc w:val="left"/>
      </w:pPr>
      <w:rPr>
        <w:rFonts w:ascii="Times New Roman" w:eastAsia="Times New Roman" w:hAnsi="Times New Roman" w:cs="Times New Roman" w:hint="default"/>
        <w:w w:val="100"/>
        <w:sz w:val="16"/>
        <w:szCs w:val="16"/>
        <w:lang w:val="ca-ES" w:eastAsia="en-US" w:bidi="ar-SA"/>
      </w:rPr>
    </w:lvl>
    <w:lvl w:ilvl="1">
      <w:start w:val="0"/>
      <w:numFmt w:val="bullet"/>
      <w:lvlText w:val="•"/>
      <w:lvlJc w:val="left"/>
      <w:pPr>
        <w:ind w:left="659" w:hanging="216"/>
      </w:pPr>
      <w:rPr>
        <w:rFonts w:hint="default"/>
        <w:lang w:val="ca-ES" w:eastAsia="en-US" w:bidi="ar-SA"/>
      </w:rPr>
    </w:lvl>
    <w:lvl w:ilvl="2">
      <w:start w:val="0"/>
      <w:numFmt w:val="bullet"/>
      <w:lvlText w:val="•"/>
      <w:lvlJc w:val="left"/>
      <w:pPr>
        <w:ind w:left="1298" w:hanging="216"/>
      </w:pPr>
      <w:rPr>
        <w:rFonts w:hint="default"/>
        <w:lang w:val="ca-ES" w:eastAsia="en-US" w:bidi="ar-SA"/>
      </w:rPr>
    </w:lvl>
    <w:lvl w:ilvl="3">
      <w:start w:val="0"/>
      <w:numFmt w:val="bullet"/>
      <w:lvlText w:val="•"/>
      <w:lvlJc w:val="left"/>
      <w:pPr>
        <w:ind w:left="1938" w:hanging="216"/>
      </w:pPr>
      <w:rPr>
        <w:rFonts w:hint="default"/>
        <w:lang w:val="ca-ES" w:eastAsia="en-US" w:bidi="ar-SA"/>
      </w:rPr>
    </w:lvl>
    <w:lvl w:ilvl="4">
      <w:start w:val="0"/>
      <w:numFmt w:val="bullet"/>
      <w:lvlText w:val="•"/>
      <w:lvlJc w:val="left"/>
      <w:pPr>
        <w:ind w:left="2577" w:hanging="216"/>
      </w:pPr>
      <w:rPr>
        <w:rFonts w:hint="default"/>
        <w:lang w:val="ca-ES" w:eastAsia="en-US" w:bidi="ar-SA"/>
      </w:rPr>
    </w:lvl>
    <w:lvl w:ilvl="5">
      <w:start w:val="0"/>
      <w:numFmt w:val="bullet"/>
      <w:lvlText w:val="•"/>
      <w:lvlJc w:val="left"/>
      <w:pPr>
        <w:ind w:left="3217" w:hanging="216"/>
      </w:pPr>
      <w:rPr>
        <w:rFonts w:hint="default"/>
        <w:lang w:val="ca-ES" w:eastAsia="en-US" w:bidi="ar-SA"/>
      </w:rPr>
    </w:lvl>
    <w:lvl w:ilvl="6">
      <w:start w:val="0"/>
      <w:numFmt w:val="bullet"/>
      <w:lvlText w:val="•"/>
      <w:lvlJc w:val="left"/>
      <w:pPr>
        <w:ind w:left="3856" w:hanging="216"/>
      </w:pPr>
      <w:rPr>
        <w:rFonts w:hint="default"/>
        <w:lang w:val="ca-ES" w:eastAsia="en-US" w:bidi="ar-SA"/>
      </w:rPr>
    </w:lvl>
    <w:lvl w:ilvl="7">
      <w:start w:val="0"/>
      <w:numFmt w:val="bullet"/>
      <w:lvlText w:val="•"/>
      <w:lvlJc w:val="left"/>
      <w:pPr>
        <w:ind w:left="4495" w:hanging="216"/>
      </w:pPr>
      <w:rPr>
        <w:rFonts w:hint="default"/>
        <w:lang w:val="ca-ES" w:eastAsia="en-US" w:bidi="ar-SA"/>
      </w:rPr>
    </w:lvl>
    <w:lvl w:ilvl="8">
      <w:start w:val="0"/>
      <w:numFmt w:val="bullet"/>
      <w:lvlText w:val="•"/>
      <w:lvlJc w:val="left"/>
      <w:pPr>
        <w:ind w:left="5135" w:hanging="216"/>
      </w:pPr>
      <w:rPr>
        <w:rFonts w:hint="default"/>
        <w:lang w:val="ca-ES" w:eastAsia="en-US" w:bidi="ar-SA"/>
      </w:rPr>
    </w:lvl>
  </w:abstractNum>
  <w:num w:numId="1">
    <w:abstractNumId w:val="6"/>
  </w:num>
  <w:num w:numId="2">
    <w:abstractNumId w:val="1"/>
  </w:num>
  <w:num w:numId="3">
    <w:abstractNumId w:val="7"/>
  </w:num>
  <w:num w:numId="4">
    <w:abstractNumId w:val="2"/>
  </w:num>
  <w:num w:numId="5">
    <w:abstractNumId w:val="3"/>
  </w:num>
  <w:num w:numId="6">
    <w:abstractNumId w:val="4"/>
  </w:num>
  <w:num w:numId="7">
    <w:abstractNumId w:val="5"/>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ca-ES" w:eastAsia="en-US" w:bidi="ar-SA"/>
    </w:rPr>
  </w:style>
  <w:style w:type="paragraph" w:styleId="Heading1">
    <w:name w:val="heading 1"/>
    <w:basedOn w:val="Normal"/>
    <w:uiPriority w:val="1"/>
    <w:qFormat/>
    <w:pPr>
      <w:spacing w:before="55"/>
      <w:jc w:val="center"/>
      <w:outlineLvl w:val="0"/>
    </w:pPr>
    <w:rPr>
      <w:rFonts w:ascii="黑体" w:eastAsia="黑体" w:hAnsi="黑体" w:cs="黑体"/>
      <w:sz w:val="32"/>
      <w:szCs w:val="32"/>
      <w:lang w:val="ca-ES" w:eastAsia="en-US"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ca-ES" w:eastAsia="en-US" w:bidi="ar-SA"/>
    </w:rPr>
  </w:style>
  <w:style w:type="paragraph" w:styleId="Title">
    <w:name w:val="Title"/>
    <w:basedOn w:val="Normal"/>
    <w:uiPriority w:val="1"/>
    <w:qFormat/>
    <w:pPr>
      <w:spacing w:line="1063" w:lineRule="exact"/>
    </w:pPr>
    <w:rPr>
      <w:rFonts w:ascii="Times New Roman" w:eastAsia="Times New Roman" w:hAnsi="Times New Roman" w:cs="Times New Roman"/>
      <w:b/>
      <w:bCs/>
      <w:sz w:val="96"/>
      <w:szCs w:val="96"/>
      <w:lang w:val="ca-ES" w:eastAsia="en-US" w:bidi="ar-SA"/>
    </w:rPr>
  </w:style>
  <w:style w:type="paragraph" w:styleId="ListParagraph">
    <w:name w:val="List Paragraph"/>
    <w:basedOn w:val="Normal"/>
    <w:uiPriority w:val="1"/>
    <w:qFormat/>
    <w:pPr>
      <w:spacing w:before="43"/>
      <w:ind w:left="2016" w:hanging="421"/>
    </w:pPr>
    <w:rPr>
      <w:rFonts w:ascii="宋体" w:eastAsia="宋体" w:hAnsi="宋体" w:cs="宋体"/>
      <w:lang w:val="ca-ES" w:eastAsia="en-US" w:bidi="ar-SA"/>
    </w:rPr>
  </w:style>
  <w:style w:type="paragraph" w:customStyle="1" w:styleId="TableParagraph">
    <w:name w:val="Table Paragraph"/>
    <w:basedOn w:val="Normal"/>
    <w:uiPriority w:val="1"/>
    <w:qFormat/>
    <w:rPr>
      <w:rFonts w:ascii="宋体" w:eastAsia="宋体" w:hAnsi="宋体" w:cs="宋体"/>
      <w:lang w:val="ca-ES" w:eastAsia="en-US"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header" Target="header8.xml" /><Relationship Id="rId14" Type="http://schemas.openxmlformats.org/officeDocument/2006/relationships/header" Target="header9.xml" /><Relationship Id="rId15" Type="http://schemas.openxmlformats.org/officeDocument/2006/relationships/header" Target="header10.xml" /><Relationship Id="rId16" Type="http://schemas.openxmlformats.org/officeDocument/2006/relationships/header" Target="header11.xml" /><Relationship Id="rId17" Type="http://schemas.openxmlformats.org/officeDocument/2006/relationships/header" Target="header12.xml" /><Relationship Id="rId18" Type="http://schemas.openxmlformats.org/officeDocument/2006/relationships/hyperlink" Target="https://d.book118.com/866243042201010032" TargetMode="External" /><Relationship Id="rId19" Type="http://schemas.openxmlformats.org/officeDocument/2006/relationships/header" Target="header13.xml" /><Relationship Id="rId2" Type="http://schemas.openxmlformats.org/officeDocument/2006/relationships/webSettings" Target="webSettings.xml" /><Relationship Id="rId20" Type="http://schemas.openxmlformats.org/officeDocument/2006/relationships/header" Target="header14.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2024-01-09T07:34:03Z</dcterms:created>
  <dcterms:modified xsi:type="dcterms:W3CDTF">2024-01-09T07:34:03Z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2024-01-05T00:00:00Z</vt:filetime>
  </property>
  <property fmtid="{D5CDD505-2E9C-101B-9397-08002B2CF9AE}" pid="3" name="Creator">
    <vt:lpwstr>Aspose Ltd.</vt:lpwstr>
  </property>
  <property fmtid="{D5CDD505-2E9C-101B-9397-08002B2CF9AE}" pid="4" name="LastSaved">
    <vt:filetime>2024-01-09T00:00:00Z</vt:filetime>
  </property>
</Properties>
</file>