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配电箱相关行业公司成立报告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34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_Toc4345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82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_Toc6482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_Toc32751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5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_Toc12558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_Toc763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_Toc24775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_Toc605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_Toc2969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9" w:history="1">
        <w:r>
          <w:rPr>
            <w:rFonts w:ascii="仿宋" w:eastAsia="仿宋" w:hAnsi="仿宋" w:cs="仿宋" w:hint="eastAsia"/>
            <w:lang w:eastAsia="zh-CN"/>
          </w:rPr>
          <w:t>(七)、配电箱项目建设必要性分析</w:t>
        </w:r>
        <w:r>
          <w:tab/>
        </w:r>
        <w:r>
          <w:fldChar w:fldCharType="begin"/>
        </w:r>
        <w:r>
          <w:instrText xml:space="preserve"> PAGEREF _Toc2329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08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_Toc23408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_Toc148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_Toc1690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_Toc30304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_Toc15096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_Toc9508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3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_Toc9138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_Toc513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13" w:history="1">
        <w:r>
          <w:rPr>
            <w:rFonts w:ascii="仿宋" w:eastAsia="仿宋" w:hAnsi="仿宋" w:cs="仿宋" w:hint="eastAsia"/>
            <w:lang w:eastAsia="zh-CN"/>
          </w:rPr>
          <w:t>三、配电箱项目概况</w:t>
        </w:r>
        <w:r>
          <w:tab/>
        </w:r>
        <w:r>
          <w:fldChar w:fldCharType="begin"/>
        </w:r>
        <w:r>
          <w:instrText xml:space="preserve"> PAGEREF _Toc26013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_Toc23012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4" w:history="1">
        <w:r>
          <w:rPr>
            <w:rFonts w:ascii="仿宋" w:eastAsia="仿宋" w:hAnsi="仿宋" w:cs="仿宋" w:hint="eastAsia"/>
            <w:lang w:eastAsia="zh-CN"/>
          </w:rPr>
          <w:t>(二)、配电箱项目提出的理由</w:t>
        </w:r>
        <w:r>
          <w:tab/>
        </w:r>
        <w:r>
          <w:fldChar w:fldCharType="begin"/>
        </w:r>
        <w:r>
          <w:instrText xml:space="preserve"> PAGEREF _Toc4014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92" w:history="1">
        <w:r>
          <w:rPr>
            <w:rFonts w:ascii="仿宋" w:eastAsia="仿宋" w:hAnsi="仿宋" w:cs="仿宋" w:hint="eastAsia"/>
            <w:lang w:eastAsia="zh-CN"/>
          </w:rPr>
          <w:t>(三)、配电箱项目选址</w:t>
        </w:r>
        <w:r>
          <w:tab/>
        </w:r>
        <w:r>
          <w:fldChar w:fldCharType="begin"/>
        </w:r>
        <w:r>
          <w:instrText xml:space="preserve"> PAGEREF _Toc9892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9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_Toc10291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_Toc16866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5" w:history="1">
        <w:r>
          <w:rPr>
            <w:rFonts w:ascii="仿宋" w:eastAsia="仿宋" w:hAnsi="仿宋" w:cs="仿宋" w:hint="eastAsia"/>
            <w:lang w:eastAsia="zh-CN"/>
          </w:rPr>
          <w:t>(六)、配电箱项目投资</w:t>
        </w:r>
        <w:r>
          <w:tab/>
        </w:r>
        <w:r>
          <w:fldChar w:fldCharType="begin"/>
        </w:r>
        <w:r>
          <w:instrText xml:space="preserve"> PAGEREF _Toc1195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" w:history="1">
        <w:r>
          <w:rPr>
            <w:rFonts w:ascii="仿宋" w:eastAsia="仿宋" w:hAnsi="仿宋" w:cs="仿宋" w:hint="eastAsia"/>
            <w:lang w:eastAsia="zh-CN"/>
          </w:rPr>
          <w:t>(七)、配电箱项目进度规划</w:t>
        </w:r>
        <w:r>
          <w:tab/>
        </w:r>
        <w:r>
          <w:fldChar w:fldCharType="begin"/>
        </w:r>
        <w:r>
          <w:instrText xml:space="preserve"> PAGEREF _Toc3070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9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_Toc18796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00" w:history="1">
        <w:r>
          <w:rPr>
            <w:rFonts w:ascii="仿宋" w:eastAsia="仿宋" w:hAnsi="仿宋" w:cs="仿宋" w:hint="eastAsia"/>
            <w:lang w:eastAsia="zh-CN"/>
          </w:rPr>
          <w:t>(九)、配电箱项目综合评价</w:t>
        </w:r>
        <w:r>
          <w:tab/>
        </w:r>
        <w:r>
          <w:fldChar w:fldCharType="begin"/>
        </w:r>
        <w:r>
          <w:instrText xml:space="preserve"> PAGEREF _Toc4000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14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_Toc6014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2" w:history="1">
        <w:r>
          <w:rPr>
            <w:rFonts w:ascii="仿宋" w:eastAsia="仿宋" w:hAnsi="仿宋" w:cs="仿宋" w:hint="eastAsia"/>
            <w:lang w:eastAsia="zh-CN"/>
          </w:rPr>
          <w:t>(一)、配电箱项目选址原则</w:t>
        </w:r>
        <w:r>
          <w:tab/>
        </w:r>
        <w:r>
          <w:fldChar w:fldCharType="begin"/>
        </w:r>
        <w:r>
          <w:instrText xml:space="preserve"> PAGEREF _Toc11942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_Toc25174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_Toc2941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_Toc29779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4" w:history="1">
        <w:r>
          <w:rPr>
            <w:rFonts w:ascii="仿宋" w:eastAsia="仿宋" w:hAnsi="仿宋" w:cs="仿宋" w:hint="eastAsia"/>
            <w:lang w:eastAsia="zh-CN"/>
          </w:rPr>
          <w:t>(五)、配电箱项目选址综合评价</w:t>
        </w:r>
        <w:r>
          <w:tab/>
        </w:r>
        <w:r>
          <w:fldChar w:fldCharType="begin"/>
        </w:r>
        <w:r>
          <w:instrText xml:space="preserve"> PAGEREF _Toc14884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29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_Toc8229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7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_Toc24177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_Toc20115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_Toc18763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9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_Toc21299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49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_Toc29949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_Toc2060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_Toc202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48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_Toc28485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_Toc3682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24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_Toc21324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_Toc14333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_Toc24848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7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_Toc19474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_Toc21837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25" w:history="1">
        <w:r>
          <w:rPr>
            <w:rFonts w:ascii="仿宋" w:eastAsia="仿宋" w:hAnsi="仿宋" w:cs="仿宋" w:hint="eastAsia"/>
            <w:lang w:eastAsia="zh-CN"/>
          </w:rPr>
          <w:t>八、配电箱项目经济效益</w:t>
        </w:r>
        <w:r>
          <w:tab/>
        </w:r>
        <w:r>
          <w:fldChar w:fldCharType="begin"/>
        </w:r>
        <w:r>
          <w:instrText xml:space="preserve"> PAGEREF _Toc9225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04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_Toc23804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_Toc21860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" w:history="1">
        <w:r>
          <w:rPr>
            <w:rFonts w:ascii="仿宋" w:eastAsia="仿宋" w:hAnsi="仿宋" w:cs="仿宋" w:hint="eastAsia"/>
            <w:lang w:eastAsia="zh-CN"/>
          </w:rPr>
          <w:t>(三)、配电箱项目盈利能力分析</w:t>
        </w:r>
        <w:r>
          <w:tab/>
        </w:r>
        <w:r>
          <w:fldChar w:fldCharType="begin"/>
        </w:r>
        <w:r>
          <w:instrText xml:space="preserve"> PAGEREF _Toc2648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1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_Toc14631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_Toc2855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_Toc25483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19" w:history="1">
        <w:r>
          <w:rPr>
            <w:rFonts w:ascii="仿宋" w:eastAsia="仿宋" w:hAnsi="仿宋" w:cs="仿宋" w:hint="eastAsia"/>
            <w:lang w:eastAsia="zh-CN"/>
          </w:rPr>
          <w:t>九、配电箱项目风险分析</w:t>
        </w:r>
        <w:r>
          <w:tab/>
        </w:r>
        <w:r>
          <w:fldChar w:fldCharType="begin"/>
        </w:r>
        <w:r>
          <w:instrText xml:space="preserve"> PAGEREF _Toc29219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8" w:history="1">
        <w:r>
          <w:rPr>
            <w:rFonts w:ascii="仿宋" w:eastAsia="仿宋" w:hAnsi="仿宋" w:cs="仿宋" w:hint="eastAsia"/>
            <w:lang w:eastAsia="zh-CN"/>
          </w:rPr>
          <w:t>(一)、配电箱项目风险分析</w:t>
        </w:r>
        <w:r>
          <w:tab/>
        </w:r>
        <w:r>
          <w:fldChar w:fldCharType="begin"/>
        </w:r>
        <w:r>
          <w:instrText xml:space="preserve"> PAGEREF _Toc13888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5" w:history="1">
        <w:r>
          <w:rPr>
            <w:rFonts w:ascii="仿宋" w:eastAsia="仿宋" w:hAnsi="仿宋" w:cs="仿宋" w:hint="eastAsia"/>
            <w:lang w:eastAsia="zh-CN"/>
          </w:rPr>
          <w:t>(二)、配电箱项目风险对策</w:t>
        </w:r>
        <w:r>
          <w:tab/>
        </w:r>
        <w:r>
          <w:fldChar w:fldCharType="begin"/>
        </w:r>
        <w:r>
          <w:instrText xml:space="preserve"> PAGEREF _Toc13485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89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_Toc18889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_Toc18237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_Toc3771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5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_Toc22055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_Toc19936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3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_Toc17835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_Toc9875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_Toc15217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_Toc25802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2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_Toc17620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_Toc5292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_Toc2225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_Toc10153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9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_Toc10394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23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_Toc24423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52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_Toc21652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77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_Toc5377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6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_Toc28106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34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482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751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2558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https://d.book118.com/867040010016006034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配电箱相关行业公司成立报告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配电箱相关行业公司成立报告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配电箱相关行业公司成立报告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配电箱相关行业公司成立报告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配电箱相关行业公司成立报告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6704001001600603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2024-01-14T19:30:00Z</dcterms:created>
  <dcterms:modified xsi:type="dcterms:W3CDTF">2024-01-14T19:31:05Z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D43FFA33EBDD4E2F898901BC6A115265_11</vt:lpwstr>
  </property>
  <property fmtid="{D5CDD505-2E9C-101B-9397-08002B2CF9AE}" pid="3" name="KSOProductBuildVer">
    <vt:lpwstr>2052-12.1.0.16120</vt:lpwstr>
  </property>
</Properties>
</file>