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钴基及钴镍基项目概述报告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44" w:history="1">
        <w:r>
          <w:rPr>
            <w:rFonts w:ascii="仿宋" w:eastAsia="仿宋" w:hAnsi="仿宋" w:cs="仿宋" w:hint="eastAsia"/>
            <w:lang w:eastAsia="zh-CN"/>
          </w:rPr>
          <w:t>概论</w:t>
        </w:r>
        <w:r>
          <w:tab/>
        </w:r>
        <w:r>
          <w:fldChar w:fldCharType="begin"/>
        </w:r>
        <w:r>
          <w:instrText xml:space="preserve"> PAGEREF _Toc12844 \h </w:instrText>
        </w:r>
        <w:r>
          <w:fldChar w:fldCharType="separate"/>
        </w:r>
        <w:r>
          <w:t>3</w:t>
        </w:r>
        <w:r>
          <w:fldChar w:fldCharType="end"/>
        </w:r>
      </w:hyperlink>
    </w:p>
    <w:p>
      <w:pPr>
        <w:pStyle w:val="TOC1"/>
        <w:tabs>
          <w:tab w:val="right" w:leader="dot" w:pos="8306"/>
        </w:tabs>
      </w:pPr>
      <w:hyperlink w:anchor="_Toc6553" w:history="1">
        <w:r>
          <w:rPr>
            <w:rFonts w:ascii="仿宋" w:eastAsia="仿宋" w:hAnsi="仿宋" w:cs="仿宋" w:hint="eastAsia"/>
            <w:lang w:eastAsia="zh-CN"/>
          </w:rPr>
          <w:t>一、钴基及钴镍基项目环境保护分析</w:t>
        </w:r>
        <w:r>
          <w:tab/>
        </w:r>
        <w:r>
          <w:fldChar w:fldCharType="begin"/>
        </w:r>
        <w:r>
          <w:instrText xml:space="preserve"> PAGEREF _Toc6553 \h </w:instrText>
        </w:r>
        <w:r>
          <w:fldChar w:fldCharType="separate"/>
        </w:r>
        <w:r>
          <w:t>3</w:t>
        </w:r>
        <w:r>
          <w:fldChar w:fldCharType="end"/>
        </w:r>
      </w:hyperlink>
    </w:p>
    <w:p>
      <w:pPr>
        <w:pStyle w:val="TOC2"/>
        <w:tabs>
          <w:tab w:val="right" w:leader="dot" w:pos="8306"/>
        </w:tabs>
      </w:pPr>
      <w:hyperlink w:anchor="_Toc15366" w:history="1">
        <w:r>
          <w:rPr>
            <w:rFonts w:ascii="仿宋" w:eastAsia="仿宋" w:hAnsi="仿宋" w:cs="仿宋" w:hint="eastAsia"/>
            <w:lang w:eastAsia="zh-CN"/>
          </w:rPr>
          <w:t>(一)、建设区域环境质量现状</w:t>
        </w:r>
        <w:r>
          <w:tab/>
        </w:r>
        <w:r>
          <w:fldChar w:fldCharType="begin"/>
        </w:r>
        <w:r>
          <w:instrText xml:space="preserve"> PAGEREF _Toc15366 \h </w:instrText>
        </w:r>
        <w:r>
          <w:fldChar w:fldCharType="separate"/>
        </w:r>
        <w:r>
          <w:t>3</w:t>
        </w:r>
        <w:r>
          <w:fldChar w:fldCharType="end"/>
        </w:r>
      </w:hyperlink>
    </w:p>
    <w:p>
      <w:pPr>
        <w:pStyle w:val="TOC2"/>
        <w:tabs>
          <w:tab w:val="right" w:leader="dot" w:pos="8306"/>
        </w:tabs>
      </w:pPr>
      <w:hyperlink w:anchor="_Toc19538" w:history="1">
        <w:r>
          <w:rPr>
            <w:rFonts w:ascii="仿宋" w:eastAsia="仿宋" w:hAnsi="仿宋" w:cs="仿宋" w:hint="eastAsia"/>
            <w:lang w:eastAsia="zh-CN"/>
          </w:rPr>
          <w:t>(二)、建设期环境保护</w:t>
        </w:r>
        <w:r>
          <w:tab/>
        </w:r>
        <w:r>
          <w:fldChar w:fldCharType="begin"/>
        </w:r>
        <w:r>
          <w:instrText xml:space="preserve"> PAGEREF _Toc19538 \h </w:instrText>
        </w:r>
        <w:r>
          <w:fldChar w:fldCharType="separate"/>
        </w:r>
        <w:r>
          <w:t>4</w:t>
        </w:r>
        <w:r>
          <w:fldChar w:fldCharType="end"/>
        </w:r>
      </w:hyperlink>
    </w:p>
    <w:p>
      <w:pPr>
        <w:pStyle w:val="TOC2"/>
        <w:tabs>
          <w:tab w:val="right" w:leader="dot" w:pos="8306"/>
        </w:tabs>
      </w:pPr>
      <w:hyperlink w:anchor="_Toc28582" w:history="1">
        <w:r>
          <w:rPr>
            <w:rFonts w:ascii="仿宋" w:eastAsia="仿宋" w:hAnsi="仿宋" w:cs="仿宋" w:hint="eastAsia"/>
            <w:lang w:eastAsia="zh-CN"/>
          </w:rPr>
          <w:t>(三)、运营期环境保护</w:t>
        </w:r>
        <w:r>
          <w:tab/>
        </w:r>
        <w:r>
          <w:fldChar w:fldCharType="begin"/>
        </w:r>
        <w:r>
          <w:instrText xml:space="preserve"> PAGEREF _Toc28582 \h </w:instrText>
        </w:r>
        <w:r>
          <w:fldChar w:fldCharType="separate"/>
        </w:r>
        <w:r>
          <w:t>5</w:t>
        </w:r>
        <w:r>
          <w:fldChar w:fldCharType="end"/>
        </w:r>
      </w:hyperlink>
    </w:p>
    <w:p>
      <w:pPr>
        <w:pStyle w:val="TOC2"/>
        <w:tabs>
          <w:tab w:val="right" w:leader="dot" w:pos="8306"/>
        </w:tabs>
      </w:pPr>
      <w:hyperlink w:anchor="_Toc6189" w:history="1">
        <w:r>
          <w:rPr>
            <w:rFonts w:ascii="仿宋" w:eastAsia="仿宋" w:hAnsi="仿宋" w:cs="仿宋" w:hint="eastAsia"/>
            <w:lang w:eastAsia="zh-CN"/>
          </w:rPr>
          <w:t>(四)、钴基及钴镍基项目建设对区域经济的影响</w:t>
        </w:r>
        <w:r>
          <w:tab/>
        </w:r>
        <w:r>
          <w:fldChar w:fldCharType="begin"/>
        </w:r>
        <w:r>
          <w:instrText xml:space="preserve"> PAGEREF _Toc6189 \h </w:instrText>
        </w:r>
        <w:r>
          <w:fldChar w:fldCharType="separate"/>
        </w:r>
        <w:r>
          <w:t>6</w:t>
        </w:r>
        <w:r>
          <w:fldChar w:fldCharType="end"/>
        </w:r>
      </w:hyperlink>
    </w:p>
    <w:p>
      <w:pPr>
        <w:pStyle w:val="TOC2"/>
        <w:tabs>
          <w:tab w:val="right" w:leader="dot" w:pos="8306"/>
        </w:tabs>
      </w:pPr>
      <w:hyperlink w:anchor="_Toc31106" w:history="1">
        <w:r>
          <w:rPr>
            <w:rFonts w:ascii="仿宋" w:eastAsia="仿宋" w:hAnsi="仿宋" w:cs="仿宋" w:hint="eastAsia"/>
            <w:lang w:eastAsia="zh-CN"/>
          </w:rPr>
          <w:t>(五)、废弃物处理</w:t>
        </w:r>
        <w:r>
          <w:tab/>
        </w:r>
        <w:r>
          <w:fldChar w:fldCharType="begin"/>
        </w:r>
        <w:r>
          <w:instrText xml:space="preserve"> PAGEREF _Toc31106 \h </w:instrText>
        </w:r>
        <w:r>
          <w:fldChar w:fldCharType="separate"/>
        </w:r>
        <w:r>
          <w:t>8</w:t>
        </w:r>
        <w:r>
          <w:fldChar w:fldCharType="end"/>
        </w:r>
      </w:hyperlink>
    </w:p>
    <w:p>
      <w:pPr>
        <w:pStyle w:val="TOC2"/>
        <w:tabs>
          <w:tab w:val="right" w:leader="dot" w:pos="8306"/>
        </w:tabs>
      </w:pPr>
      <w:hyperlink w:anchor="_Toc19827" w:history="1">
        <w:r>
          <w:rPr>
            <w:rFonts w:ascii="仿宋" w:eastAsia="仿宋" w:hAnsi="仿宋" w:cs="仿宋" w:hint="eastAsia"/>
            <w:lang w:eastAsia="zh-CN"/>
          </w:rPr>
          <w:t>(六)、特殊环境影响分析</w:t>
        </w:r>
        <w:r>
          <w:tab/>
        </w:r>
        <w:r>
          <w:fldChar w:fldCharType="begin"/>
        </w:r>
        <w:r>
          <w:instrText xml:space="preserve"> PAGEREF _Toc19827 \h </w:instrText>
        </w:r>
        <w:r>
          <w:fldChar w:fldCharType="separate"/>
        </w:r>
        <w:r>
          <w:t>9</w:t>
        </w:r>
        <w:r>
          <w:fldChar w:fldCharType="end"/>
        </w:r>
      </w:hyperlink>
    </w:p>
    <w:p>
      <w:pPr>
        <w:pStyle w:val="TOC2"/>
        <w:tabs>
          <w:tab w:val="right" w:leader="dot" w:pos="8306"/>
        </w:tabs>
      </w:pPr>
      <w:hyperlink w:anchor="_Toc4031" w:history="1">
        <w:r>
          <w:rPr>
            <w:rFonts w:ascii="仿宋" w:eastAsia="仿宋" w:hAnsi="仿宋" w:cs="仿宋" w:hint="eastAsia"/>
            <w:lang w:eastAsia="zh-CN"/>
          </w:rPr>
          <w:t>(七)、清洁生产</w:t>
        </w:r>
        <w:r>
          <w:tab/>
        </w:r>
        <w:r>
          <w:fldChar w:fldCharType="begin"/>
        </w:r>
        <w:r>
          <w:instrText xml:space="preserve"> PAGEREF _Toc4031 \h </w:instrText>
        </w:r>
        <w:r>
          <w:fldChar w:fldCharType="separate"/>
        </w:r>
        <w:r>
          <w:t>11</w:t>
        </w:r>
        <w:r>
          <w:fldChar w:fldCharType="end"/>
        </w:r>
      </w:hyperlink>
    </w:p>
    <w:p>
      <w:pPr>
        <w:pStyle w:val="TOC2"/>
        <w:tabs>
          <w:tab w:val="right" w:leader="dot" w:pos="8306"/>
        </w:tabs>
      </w:pPr>
      <w:hyperlink w:anchor="_Toc23729" w:history="1">
        <w:r>
          <w:rPr>
            <w:rFonts w:ascii="仿宋" w:eastAsia="仿宋" w:hAnsi="仿宋" w:cs="仿宋" w:hint="eastAsia"/>
            <w:lang w:eastAsia="zh-CN"/>
          </w:rPr>
          <w:t>(八)、环境保护综合评价</w:t>
        </w:r>
        <w:r>
          <w:tab/>
        </w:r>
        <w:r>
          <w:fldChar w:fldCharType="begin"/>
        </w:r>
        <w:r>
          <w:instrText xml:space="preserve"> PAGEREF _Toc23729 \h </w:instrText>
        </w:r>
        <w:r>
          <w:fldChar w:fldCharType="separate"/>
        </w:r>
        <w:r>
          <w:t>12</w:t>
        </w:r>
        <w:r>
          <w:fldChar w:fldCharType="end"/>
        </w:r>
      </w:hyperlink>
    </w:p>
    <w:p>
      <w:pPr>
        <w:pStyle w:val="TOC1"/>
        <w:tabs>
          <w:tab w:val="right" w:leader="dot" w:pos="8306"/>
        </w:tabs>
      </w:pPr>
      <w:hyperlink w:anchor="_Toc4041" w:history="1">
        <w:r>
          <w:rPr>
            <w:rFonts w:ascii="仿宋" w:eastAsia="仿宋" w:hAnsi="仿宋" w:cs="仿宋" w:hint="eastAsia"/>
            <w:lang w:eastAsia="zh-CN"/>
          </w:rPr>
          <w:t>二、钴基及钴镍基项目选址说明</w:t>
        </w:r>
        <w:r>
          <w:tab/>
        </w:r>
        <w:r>
          <w:fldChar w:fldCharType="begin"/>
        </w:r>
        <w:r>
          <w:instrText xml:space="preserve"> PAGEREF _Toc4041 \h </w:instrText>
        </w:r>
        <w:r>
          <w:fldChar w:fldCharType="separate"/>
        </w:r>
        <w:r>
          <w:t>14</w:t>
        </w:r>
        <w:r>
          <w:fldChar w:fldCharType="end"/>
        </w:r>
      </w:hyperlink>
    </w:p>
    <w:p>
      <w:pPr>
        <w:pStyle w:val="TOC2"/>
        <w:tabs>
          <w:tab w:val="right" w:leader="dot" w:pos="8306"/>
        </w:tabs>
      </w:pPr>
      <w:hyperlink w:anchor="_Toc26732" w:history="1">
        <w:r>
          <w:rPr>
            <w:rFonts w:ascii="仿宋" w:eastAsia="仿宋" w:hAnsi="仿宋" w:cs="仿宋" w:hint="eastAsia"/>
            <w:lang w:eastAsia="zh-CN"/>
          </w:rPr>
          <w:t>(一)、钴基及钴镍基项目选址</w:t>
        </w:r>
        <w:r>
          <w:tab/>
        </w:r>
        <w:r>
          <w:fldChar w:fldCharType="begin"/>
        </w:r>
        <w:r>
          <w:instrText xml:space="preserve"> PAGEREF _Toc26732 \h </w:instrText>
        </w:r>
        <w:r>
          <w:fldChar w:fldCharType="separate"/>
        </w:r>
        <w:r>
          <w:t>14</w:t>
        </w:r>
        <w:r>
          <w:fldChar w:fldCharType="end"/>
        </w:r>
      </w:hyperlink>
    </w:p>
    <w:p>
      <w:pPr>
        <w:pStyle w:val="TOC2"/>
        <w:tabs>
          <w:tab w:val="right" w:leader="dot" w:pos="8306"/>
        </w:tabs>
      </w:pPr>
      <w:hyperlink w:anchor="_Toc2480" w:history="1">
        <w:r>
          <w:rPr>
            <w:rFonts w:ascii="仿宋" w:eastAsia="仿宋" w:hAnsi="仿宋" w:cs="仿宋" w:hint="eastAsia"/>
            <w:lang w:eastAsia="zh-CN"/>
          </w:rPr>
          <w:t>(二)、用地控制指标</w:t>
        </w:r>
        <w:r>
          <w:tab/>
        </w:r>
        <w:r>
          <w:fldChar w:fldCharType="begin"/>
        </w:r>
        <w:r>
          <w:instrText xml:space="preserve"> PAGEREF _Toc2480 \h </w:instrText>
        </w:r>
        <w:r>
          <w:fldChar w:fldCharType="separate"/>
        </w:r>
        <w:r>
          <w:t>15</w:t>
        </w:r>
        <w:r>
          <w:fldChar w:fldCharType="end"/>
        </w:r>
      </w:hyperlink>
    </w:p>
    <w:p>
      <w:pPr>
        <w:pStyle w:val="TOC2"/>
        <w:tabs>
          <w:tab w:val="right" w:leader="dot" w:pos="8306"/>
        </w:tabs>
      </w:pPr>
      <w:hyperlink w:anchor="_Toc24970" w:history="1">
        <w:r>
          <w:rPr>
            <w:rFonts w:ascii="仿宋" w:eastAsia="仿宋" w:hAnsi="仿宋" w:cs="仿宋" w:hint="eastAsia"/>
            <w:lang w:eastAsia="zh-CN"/>
          </w:rPr>
          <w:t>(三)、节约用地措施</w:t>
        </w:r>
        <w:r>
          <w:tab/>
        </w:r>
        <w:r>
          <w:fldChar w:fldCharType="begin"/>
        </w:r>
        <w:r>
          <w:instrText xml:space="preserve"> PAGEREF _Toc24970 \h </w:instrText>
        </w:r>
        <w:r>
          <w:fldChar w:fldCharType="separate"/>
        </w:r>
        <w:r>
          <w:t>15</w:t>
        </w:r>
        <w:r>
          <w:fldChar w:fldCharType="end"/>
        </w:r>
      </w:hyperlink>
    </w:p>
    <w:p>
      <w:pPr>
        <w:pStyle w:val="TOC2"/>
        <w:tabs>
          <w:tab w:val="right" w:leader="dot" w:pos="8306"/>
        </w:tabs>
      </w:pPr>
      <w:hyperlink w:anchor="_Toc12152" w:history="1">
        <w:r>
          <w:rPr>
            <w:rFonts w:ascii="仿宋" w:eastAsia="仿宋" w:hAnsi="仿宋" w:cs="仿宋" w:hint="eastAsia"/>
            <w:lang w:eastAsia="zh-CN"/>
          </w:rPr>
          <w:t>(四)、总图布置方案</w:t>
        </w:r>
        <w:r>
          <w:tab/>
        </w:r>
        <w:r>
          <w:fldChar w:fldCharType="begin"/>
        </w:r>
        <w:r>
          <w:instrText xml:space="preserve"> PAGEREF _Toc12152 \h </w:instrText>
        </w:r>
        <w:r>
          <w:fldChar w:fldCharType="separate"/>
        </w:r>
        <w:r>
          <w:t>16</w:t>
        </w:r>
        <w:r>
          <w:fldChar w:fldCharType="end"/>
        </w:r>
      </w:hyperlink>
    </w:p>
    <w:p>
      <w:pPr>
        <w:pStyle w:val="TOC2"/>
        <w:tabs>
          <w:tab w:val="right" w:leader="dot" w:pos="8306"/>
        </w:tabs>
      </w:pPr>
      <w:hyperlink w:anchor="_Toc27632" w:history="1">
        <w:r>
          <w:rPr>
            <w:rFonts w:ascii="仿宋" w:eastAsia="仿宋" w:hAnsi="仿宋" w:cs="仿宋" w:hint="eastAsia"/>
            <w:lang w:eastAsia="zh-CN"/>
          </w:rPr>
          <w:t>(五)、选址综合评价</w:t>
        </w:r>
        <w:r>
          <w:tab/>
        </w:r>
        <w:r>
          <w:fldChar w:fldCharType="begin"/>
        </w:r>
        <w:r>
          <w:instrText xml:space="preserve"> PAGEREF _Toc27632 \h </w:instrText>
        </w:r>
        <w:r>
          <w:fldChar w:fldCharType="separate"/>
        </w:r>
        <w:r>
          <w:t>17</w:t>
        </w:r>
        <w:r>
          <w:fldChar w:fldCharType="end"/>
        </w:r>
      </w:hyperlink>
    </w:p>
    <w:p>
      <w:pPr>
        <w:pStyle w:val="TOC1"/>
        <w:tabs>
          <w:tab w:val="right" w:leader="dot" w:pos="8306"/>
        </w:tabs>
      </w:pPr>
      <w:hyperlink w:anchor="_Toc4015" w:history="1">
        <w:r>
          <w:rPr>
            <w:rFonts w:ascii="仿宋" w:eastAsia="仿宋" w:hAnsi="仿宋" w:cs="仿宋" w:hint="eastAsia"/>
            <w:lang w:eastAsia="zh-CN"/>
          </w:rPr>
          <w:t>三、工艺分析</w:t>
        </w:r>
        <w:r>
          <w:tab/>
        </w:r>
        <w:r>
          <w:fldChar w:fldCharType="begin"/>
        </w:r>
        <w:r>
          <w:instrText xml:space="preserve"> PAGEREF _Toc4015 \h </w:instrText>
        </w:r>
        <w:r>
          <w:fldChar w:fldCharType="separate"/>
        </w:r>
        <w:r>
          <w:t>19</w:t>
        </w:r>
        <w:r>
          <w:fldChar w:fldCharType="end"/>
        </w:r>
      </w:hyperlink>
    </w:p>
    <w:p>
      <w:pPr>
        <w:pStyle w:val="TOC2"/>
        <w:tabs>
          <w:tab w:val="right" w:leader="dot" w:pos="8306"/>
        </w:tabs>
      </w:pPr>
      <w:hyperlink w:anchor="_Toc29991" w:history="1">
        <w:r>
          <w:rPr>
            <w:rFonts w:ascii="仿宋" w:eastAsia="仿宋" w:hAnsi="仿宋" w:cs="仿宋" w:hint="eastAsia"/>
            <w:lang w:eastAsia="zh-CN"/>
          </w:rPr>
          <w:t>(一)、技术管理特点</w:t>
        </w:r>
        <w:r>
          <w:tab/>
        </w:r>
        <w:r>
          <w:fldChar w:fldCharType="begin"/>
        </w:r>
        <w:r>
          <w:instrText xml:space="preserve"> PAGEREF _Toc29991 \h </w:instrText>
        </w:r>
        <w:r>
          <w:fldChar w:fldCharType="separate"/>
        </w:r>
        <w:r>
          <w:t>19</w:t>
        </w:r>
        <w:r>
          <w:fldChar w:fldCharType="end"/>
        </w:r>
      </w:hyperlink>
    </w:p>
    <w:p>
      <w:pPr>
        <w:pStyle w:val="TOC2"/>
        <w:tabs>
          <w:tab w:val="right" w:leader="dot" w:pos="8306"/>
        </w:tabs>
      </w:pPr>
      <w:hyperlink w:anchor="_Toc32277" w:history="1">
        <w:r>
          <w:rPr>
            <w:rFonts w:ascii="仿宋" w:eastAsia="仿宋" w:hAnsi="仿宋" w:cs="仿宋" w:hint="eastAsia"/>
            <w:lang w:eastAsia="zh-CN"/>
          </w:rPr>
          <w:t>(二)、钴基及钴镍基项目工艺技术设计方案</w:t>
        </w:r>
        <w:r>
          <w:tab/>
        </w:r>
        <w:r>
          <w:fldChar w:fldCharType="begin"/>
        </w:r>
        <w:r>
          <w:instrText xml:space="preserve"> PAGEREF _Toc32277 \h </w:instrText>
        </w:r>
        <w:r>
          <w:fldChar w:fldCharType="separate"/>
        </w:r>
        <w:r>
          <w:t>19</w:t>
        </w:r>
        <w:r>
          <w:fldChar w:fldCharType="end"/>
        </w:r>
      </w:hyperlink>
    </w:p>
    <w:p>
      <w:pPr>
        <w:pStyle w:val="TOC2"/>
        <w:tabs>
          <w:tab w:val="right" w:leader="dot" w:pos="8306"/>
        </w:tabs>
      </w:pPr>
      <w:hyperlink w:anchor="_Toc29950" w:history="1">
        <w:r>
          <w:rPr>
            <w:rFonts w:ascii="仿宋" w:eastAsia="仿宋" w:hAnsi="仿宋" w:cs="仿宋" w:hint="eastAsia"/>
            <w:lang w:eastAsia="zh-CN"/>
          </w:rPr>
          <w:t>(三)、设备选型方案</w:t>
        </w:r>
        <w:r>
          <w:tab/>
        </w:r>
        <w:r>
          <w:fldChar w:fldCharType="begin"/>
        </w:r>
        <w:r>
          <w:instrText xml:space="preserve"> PAGEREF _Toc29950 \h </w:instrText>
        </w:r>
        <w:r>
          <w:fldChar w:fldCharType="separate"/>
        </w:r>
        <w:r>
          <w:t>20</w:t>
        </w:r>
        <w:r>
          <w:fldChar w:fldCharType="end"/>
        </w:r>
      </w:hyperlink>
    </w:p>
    <w:p>
      <w:pPr>
        <w:pStyle w:val="TOC1"/>
        <w:tabs>
          <w:tab w:val="right" w:leader="dot" w:pos="8306"/>
        </w:tabs>
      </w:pPr>
      <w:hyperlink w:anchor="_Toc25108" w:history="1">
        <w:r>
          <w:rPr>
            <w:rFonts w:ascii="仿宋" w:eastAsia="仿宋" w:hAnsi="仿宋" w:cs="仿宋" w:hint="eastAsia"/>
            <w:lang w:eastAsia="zh-CN"/>
          </w:rPr>
          <w:t>四、建设单位基本信息</w:t>
        </w:r>
        <w:r>
          <w:tab/>
        </w:r>
        <w:r>
          <w:fldChar w:fldCharType="begin"/>
        </w:r>
        <w:r>
          <w:instrText xml:space="preserve"> PAGEREF _Toc25108 \h </w:instrText>
        </w:r>
        <w:r>
          <w:fldChar w:fldCharType="separate"/>
        </w:r>
        <w:r>
          <w:t>21</w:t>
        </w:r>
        <w:r>
          <w:fldChar w:fldCharType="end"/>
        </w:r>
      </w:hyperlink>
    </w:p>
    <w:p>
      <w:pPr>
        <w:pStyle w:val="TOC2"/>
        <w:tabs>
          <w:tab w:val="right" w:leader="dot" w:pos="8306"/>
        </w:tabs>
      </w:pPr>
      <w:hyperlink w:anchor="_Toc20625" w:history="1">
        <w:r>
          <w:rPr>
            <w:rFonts w:ascii="仿宋" w:eastAsia="仿宋" w:hAnsi="仿宋" w:cs="仿宋" w:hint="eastAsia"/>
            <w:lang w:eastAsia="zh-CN"/>
          </w:rPr>
          <w:t>(一)、钴基及钴镍基项目承办单位基本情况</w:t>
        </w:r>
        <w:r>
          <w:tab/>
        </w:r>
        <w:r>
          <w:fldChar w:fldCharType="begin"/>
        </w:r>
        <w:r>
          <w:instrText xml:space="preserve"> PAGEREF _Toc20625 \h </w:instrText>
        </w:r>
        <w:r>
          <w:fldChar w:fldCharType="separate"/>
        </w:r>
        <w:r>
          <w:t>21</w:t>
        </w:r>
        <w:r>
          <w:fldChar w:fldCharType="end"/>
        </w:r>
      </w:hyperlink>
    </w:p>
    <w:p>
      <w:pPr>
        <w:pStyle w:val="TOC2"/>
        <w:tabs>
          <w:tab w:val="right" w:leader="dot" w:pos="8306"/>
        </w:tabs>
      </w:pPr>
      <w:hyperlink w:anchor="_Toc8786" w:history="1">
        <w:r>
          <w:rPr>
            <w:rFonts w:ascii="仿宋" w:eastAsia="仿宋" w:hAnsi="仿宋" w:cs="仿宋" w:hint="eastAsia"/>
            <w:lang w:eastAsia="zh-CN"/>
          </w:rPr>
          <w:t>(二)、公司经济效益分析</w:t>
        </w:r>
        <w:r>
          <w:tab/>
        </w:r>
        <w:r>
          <w:fldChar w:fldCharType="begin"/>
        </w:r>
        <w:r>
          <w:instrText xml:space="preserve"> PAGEREF _Toc8786 \h </w:instrText>
        </w:r>
        <w:r>
          <w:fldChar w:fldCharType="separate"/>
        </w:r>
        <w:r>
          <w:t>23</w:t>
        </w:r>
        <w:r>
          <w:fldChar w:fldCharType="end"/>
        </w:r>
      </w:hyperlink>
    </w:p>
    <w:p>
      <w:pPr>
        <w:pStyle w:val="TOC1"/>
        <w:tabs>
          <w:tab w:val="right" w:leader="dot" w:pos="8306"/>
        </w:tabs>
      </w:pPr>
      <w:hyperlink w:anchor="_Toc23057" w:history="1">
        <w:r>
          <w:rPr>
            <w:rFonts w:ascii="仿宋" w:eastAsia="仿宋" w:hAnsi="仿宋" w:cs="仿宋" w:hint="eastAsia"/>
            <w:lang w:eastAsia="zh-CN"/>
          </w:rPr>
          <w:t>五、员工福利与企业文化</w:t>
        </w:r>
        <w:r>
          <w:tab/>
        </w:r>
        <w:r>
          <w:fldChar w:fldCharType="begin"/>
        </w:r>
        <w:r>
          <w:instrText xml:space="preserve"> PAGEREF _Toc23057 \h </w:instrText>
        </w:r>
        <w:r>
          <w:fldChar w:fldCharType="separate"/>
        </w:r>
        <w:r>
          <w:t>24</w:t>
        </w:r>
        <w:r>
          <w:fldChar w:fldCharType="end"/>
        </w:r>
      </w:hyperlink>
    </w:p>
    <w:p>
      <w:pPr>
        <w:pStyle w:val="TOC2"/>
        <w:tabs>
          <w:tab w:val="right" w:leader="dot" w:pos="8306"/>
        </w:tabs>
      </w:pPr>
      <w:hyperlink w:anchor="_Toc23993" w:history="1">
        <w:r>
          <w:rPr>
            <w:rFonts w:ascii="仿宋" w:eastAsia="仿宋" w:hAnsi="仿宋" w:cs="仿宋" w:hint="eastAsia"/>
            <w:lang w:eastAsia="zh-CN"/>
          </w:rPr>
          <w:t>(一)、员工福利政策</w:t>
        </w:r>
        <w:r>
          <w:tab/>
        </w:r>
        <w:r>
          <w:fldChar w:fldCharType="begin"/>
        </w:r>
        <w:r>
          <w:instrText xml:space="preserve"> PAGEREF _Toc23993 \h </w:instrText>
        </w:r>
        <w:r>
          <w:fldChar w:fldCharType="separate"/>
        </w:r>
        <w:r>
          <w:t>24</w:t>
        </w:r>
        <w:r>
          <w:fldChar w:fldCharType="end"/>
        </w:r>
      </w:hyperlink>
    </w:p>
    <w:p>
      <w:pPr>
        <w:pStyle w:val="TOC2"/>
        <w:tabs>
          <w:tab w:val="right" w:leader="dot" w:pos="8306"/>
        </w:tabs>
      </w:pPr>
      <w:hyperlink w:anchor="_Toc31811" w:history="1">
        <w:r>
          <w:rPr>
            <w:rFonts w:ascii="仿宋" w:eastAsia="仿宋" w:hAnsi="仿宋" w:cs="仿宋" w:hint="eastAsia"/>
            <w:lang w:eastAsia="zh-CN"/>
          </w:rPr>
          <w:t>(二)、团队建设与员工培训</w:t>
        </w:r>
        <w:r>
          <w:tab/>
        </w:r>
        <w:r>
          <w:fldChar w:fldCharType="begin"/>
        </w:r>
        <w:r>
          <w:instrText xml:space="preserve"> PAGEREF _Toc31811 \h </w:instrText>
        </w:r>
        <w:r>
          <w:fldChar w:fldCharType="separate"/>
        </w:r>
        <w:r>
          <w:t>26</w:t>
        </w:r>
        <w:r>
          <w:fldChar w:fldCharType="end"/>
        </w:r>
      </w:hyperlink>
    </w:p>
    <w:p>
      <w:pPr>
        <w:pStyle w:val="TOC2"/>
        <w:tabs>
          <w:tab w:val="right" w:leader="dot" w:pos="8306"/>
        </w:tabs>
      </w:pPr>
      <w:hyperlink w:anchor="_Toc26000" w:history="1">
        <w:r>
          <w:rPr>
            <w:rFonts w:ascii="仿宋" w:eastAsia="仿宋" w:hAnsi="仿宋" w:cs="仿宋" w:hint="eastAsia"/>
            <w:lang w:eastAsia="zh-CN"/>
          </w:rPr>
          <w:t>(三)、企业文化建设</w:t>
        </w:r>
        <w:r>
          <w:tab/>
        </w:r>
        <w:r>
          <w:fldChar w:fldCharType="begin"/>
        </w:r>
        <w:r>
          <w:instrText xml:space="preserve"> PAGEREF _Toc26000 \h </w:instrText>
        </w:r>
        <w:r>
          <w:fldChar w:fldCharType="separate"/>
        </w:r>
        <w:r>
          <w:t>27</w:t>
        </w:r>
        <w:r>
          <w:fldChar w:fldCharType="end"/>
        </w:r>
      </w:hyperlink>
    </w:p>
    <w:p>
      <w:pPr>
        <w:pStyle w:val="TOC2"/>
        <w:tabs>
          <w:tab w:val="right" w:leader="dot" w:pos="8306"/>
        </w:tabs>
      </w:pPr>
      <w:hyperlink w:anchor="_Toc22168" w:history="1">
        <w:r>
          <w:rPr>
            <w:rFonts w:ascii="仿宋" w:eastAsia="仿宋" w:hAnsi="仿宋" w:cs="仿宋" w:hint="eastAsia"/>
            <w:lang w:eastAsia="zh-CN"/>
          </w:rPr>
          <w:t>(四)、员工健康与工作平衡</w:t>
        </w:r>
        <w:r>
          <w:tab/>
        </w:r>
        <w:r>
          <w:fldChar w:fldCharType="begin"/>
        </w:r>
        <w:r>
          <w:instrText xml:space="preserve"> PAGEREF _Toc22168 \h </w:instrText>
        </w:r>
        <w:r>
          <w:fldChar w:fldCharType="separate"/>
        </w:r>
        <w:r>
          <w:t>29</w:t>
        </w:r>
        <w:r>
          <w:fldChar w:fldCharType="end"/>
        </w:r>
      </w:hyperlink>
    </w:p>
    <w:p>
      <w:pPr>
        <w:pStyle w:val="TOC1"/>
        <w:tabs>
          <w:tab w:val="right" w:leader="dot" w:pos="8306"/>
        </w:tabs>
      </w:pPr>
      <w:hyperlink w:anchor="_Toc18854" w:history="1">
        <w:r>
          <w:rPr>
            <w:rFonts w:ascii="仿宋" w:eastAsia="仿宋" w:hAnsi="仿宋" w:cs="仿宋" w:hint="eastAsia"/>
            <w:lang w:eastAsia="zh-CN"/>
          </w:rPr>
          <w:t>六、知识管理与技术创新</w:t>
        </w:r>
        <w:r>
          <w:tab/>
        </w:r>
        <w:r>
          <w:fldChar w:fldCharType="begin"/>
        </w:r>
        <w:r>
          <w:instrText xml:space="preserve"> PAGEREF _Toc18854 \h </w:instrText>
        </w:r>
        <w:r>
          <w:fldChar w:fldCharType="separate"/>
        </w:r>
        <w:r>
          <w:t>31</w:t>
        </w:r>
        <w:r>
          <w:fldChar w:fldCharType="end"/>
        </w:r>
      </w:hyperlink>
    </w:p>
    <w:p>
      <w:pPr>
        <w:pStyle w:val="TOC2"/>
        <w:tabs>
          <w:tab w:val="right" w:leader="dot" w:pos="8306"/>
        </w:tabs>
      </w:pPr>
      <w:hyperlink w:anchor="_Toc30525" w:history="1">
        <w:r>
          <w:rPr>
            <w:rFonts w:ascii="仿宋" w:eastAsia="仿宋" w:hAnsi="仿宋" w:cs="仿宋" w:hint="eastAsia"/>
            <w:lang w:eastAsia="zh-CN"/>
          </w:rPr>
          <w:t>(一)、知识管理体系建设</w:t>
        </w:r>
        <w:r>
          <w:tab/>
        </w:r>
        <w:r>
          <w:fldChar w:fldCharType="begin"/>
        </w:r>
        <w:r>
          <w:instrText xml:space="preserve"> PAGEREF _Toc30525 \h </w:instrText>
        </w:r>
        <w:r>
          <w:fldChar w:fldCharType="separate"/>
        </w:r>
        <w:r>
          <w:t>31</w:t>
        </w:r>
        <w:r>
          <w:fldChar w:fldCharType="end"/>
        </w:r>
      </w:hyperlink>
    </w:p>
    <w:p>
      <w:pPr>
        <w:pStyle w:val="TOC2"/>
        <w:tabs>
          <w:tab w:val="right" w:leader="dot" w:pos="8306"/>
        </w:tabs>
      </w:pPr>
      <w:hyperlink w:anchor="_Toc3747" w:history="1">
        <w:r>
          <w:rPr>
            <w:rFonts w:ascii="仿宋" w:eastAsia="仿宋" w:hAnsi="仿宋" w:cs="仿宋" w:hint="eastAsia"/>
            <w:lang w:eastAsia="zh-CN"/>
          </w:rPr>
          <w:t>(二)、技术创新与研发投入</w:t>
        </w:r>
        <w:r>
          <w:tab/>
        </w:r>
        <w:r>
          <w:fldChar w:fldCharType="begin"/>
        </w:r>
        <w:r>
          <w:instrText xml:space="preserve"> PAGEREF _Toc3747 \h </w:instrText>
        </w:r>
        <w:r>
          <w:fldChar w:fldCharType="separate"/>
        </w:r>
        <w:r>
          <w:t>33</w:t>
        </w:r>
        <w:r>
          <w:fldChar w:fldCharType="end"/>
        </w:r>
      </w:hyperlink>
    </w:p>
    <w:p>
      <w:pPr>
        <w:pStyle w:val="TOC2"/>
        <w:tabs>
          <w:tab w:val="right" w:leader="dot" w:pos="8306"/>
        </w:tabs>
      </w:pPr>
      <w:hyperlink w:anchor="_Toc2725" w:history="1">
        <w:r>
          <w:rPr>
            <w:rFonts w:ascii="仿宋" w:eastAsia="仿宋" w:hAnsi="仿宋" w:cs="仿宋" w:hint="eastAsia"/>
            <w:lang w:eastAsia="zh-CN"/>
          </w:rPr>
          <w:t>(三)、专利申请与技术保护</w:t>
        </w:r>
        <w:r>
          <w:tab/>
        </w:r>
        <w:r>
          <w:fldChar w:fldCharType="begin"/>
        </w:r>
        <w:r>
          <w:instrText xml:space="preserve"> PAGEREF _Toc2725 \h </w:instrText>
        </w:r>
        <w:r>
          <w:fldChar w:fldCharType="separate"/>
        </w:r>
        <w:r>
          <w:t>34</w:t>
        </w:r>
        <w:r>
          <w:fldChar w:fldCharType="end"/>
        </w:r>
      </w:hyperlink>
    </w:p>
    <w:p>
      <w:pPr>
        <w:pStyle w:val="TOC2"/>
        <w:tabs>
          <w:tab w:val="right" w:leader="dot" w:pos="8306"/>
        </w:tabs>
      </w:pPr>
      <w:hyperlink w:anchor="_Toc10222" w:history="1">
        <w:r>
          <w:rPr>
            <w:rFonts w:ascii="仿宋" w:eastAsia="仿宋" w:hAnsi="仿宋" w:cs="仿宋" w:hint="eastAsia"/>
            <w:lang w:eastAsia="zh-CN"/>
          </w:rPr>
          <w:t>(四)、人才培养与团队建设</w:t>
        </w:r>
        <w:r>
          <w:tab/>
        </w:r>
        <w:r>
          <w:fldChar w:fldCharType="begin"/>
        </w:r>
        <w:r>
          <w:instrText xml:space="preserve"> PAGEREF _Toc10222 \h </w:instrText>
        </w:r>
        <w:r>
          <w:fldChar w:fldCharType="separate"/>
        </w:r>
        <w:r>
          <w:t>37</w:t>
        </w:r>
        <w:r>
          <w:fldChar w:fldCharType="end"/>
        </w:r>
      </w:hyperlink>
    </w:p>
    <w:p>
      <w:pPr>
        <w:pStyle w:val="TOC1"/>
        <w:tabs>
          <w:tab w:val="right" w:leader="dot" w:pos="8306"/>
        </w:tabs>
      </w:pPr>
      <w:hyperlink w:anchor="_Toc21588" w:history="1">
        <w:r>
          <w:rPr>
            <w:rFonts w:ascii="仿宋" w:eastAsia="仿宋" w:hAnsi="仿宋" w:cs="仿宋" w:hint="eastAsia"/>
            <w:lang w:eastAsia="zh-CN"/>
          </w:rPr>
          <w:t>七、钴基及钴镍基项目风险评估</w:t>
        </w:r>
        <w:r>
          <w:tab/>
        </w:r>
        <w:r>
          <w:fldChar w:fldCharType="begin"/>
        </w:r>
        <w:r>
          <w:instrText xml:space="preserve"> PAGEREF _Toc21588 \h </w:instrText>
        </w:r>
        <w:r>
          <w:fldChar w:fldCharType="separate"/>
        </w:r>
        <w:r>
          <w:t>39</w:t>
        </w:r>
        <w:r>
          <w:fldChar w:fldCharType="end"/>
        </w:r>
      </w:hyperlink>
    </w:p>
    <w:p>
      <w:pPr>
        <w:pStyle w:val="TOC2"/>
        <w:tabs>
          <w:tab w:val="right" w:leader="dot" w:pos="8306"/>
        </w:tabs>
      </w:pPr>
      <w:hyperlink w:anchor="_Toc22997" w:history="1">
        <w:r>
          <w:rPr>
            <w:rFonts w:ascii="仿宋" w:eastAsia="仿宋" w:hAnsi="仿宋" w:cs="仿宋" w:hint="eastAsia"/>
            <w:lang w:eastAsia="zh-CN"/>
          </w:rPr>
          <w:t>(一)、政策风险分析</w:t>
        </w:r>
        <w:r>
          <w:tab/>
        </w:r>
        <w:r>
          <w:fldChar w:fldCharType="begin"/>
        </w:r>
        <w:r>
          <w:instrText xml:space="preserve"> PAGEREF _Toc22997 \h </w:instrText>
        </w:r>
        <w:r>
          <w:fldChar w:fldCharType="separate"/>
        </w:r>
        <w:r>
          <w:t>39</w:t>
        </w:r>
        <w:r>
          <w:fldChar w:fldCharType="end"/>
        </w:r>
      </w:hyperlink>
    </w:p>
    <w:p>
      <w:pPr>
        <w:pStyle w:val="TOC2"/>
        <w:tabs>
          <w:tab w:val="right" w:leader="dot" w:pos="8306"/>
        </w:tabs>
      </w:pPr>
      <w:hyperlink w:anchor="_Toc8937" w:history="1">
        <w:r>
          <w:rPr>
            <w:rFonts w:ascii="仿宋" w:eastAsia="仿宋" w:hAnsi="仿宋" w:cs="仿宋" w:hint="eastAsia"/>
            <w:lang w:eastAsia="zh-CN"/>
          </w:rPr>
          <w:t>(二)、社会风险分析</w:t>
        </w:r>
        <w:r>
          <w:tab/>
        </w:r>
        <w:r>
          <w:fldChar w:fldCharType="begin"/>
        </w:r>
        <w:r>
          <w:instrText xml:space="preserve"> PAGEREF _Toc8937 \h </w:instrText>
        </w:r>
        <w:r>
          <w:fldChar w:fldCharType="separate"/>
        </w:r>
        <w:r>
          <w:t>41</w:t>
        </w:r>
        <w:r>
          <w:fldChar w:fldCharType="end"/>
        </w:r>
      </w:hyperlink>
    </w:p>
    <w:p>
      <w:pPr>
        <w:pStyle w:val="TOC2"/>
        <w:tabs>
          <w:tab w:val="right" w:leader="dot" w:pos="8306"/>
        </w:tabs>
      </w:pPr>
      <w:hyperlink w:anchor="_Toc3540" w:history="1">
        <w:r>
          <w:rPr>
            <w:rFonts w:ascii="仿宋" w:eastAsia="仿宋" w:hAnsi="仿宋" w:cs="仿宋" w:hint="eastAsia"/>
            <w:lang w:eastAsia="zh-CN"/>
          </w:rPr>
          <w:t>(三)、市场风险分析</w:t>
        </w:r>
        <w:r>
          <w:tab/>
        </w:r>
        <w:r>
          <w:fldChar w:fldCharType="begin"/>
        </w:r>
        <w:r>
          <w:instrText xml:space="preserve"> PAGEREF _Toc3540 \h </w:instrText>
        </w:r>
        <w:r>
          <w:fldChar w:fldCharType="separate"/>
        </w:r>
        <w:r>
          <w:t>42</w:t>
        </w:r>
        <w:r>
          <w:fldChar w:fldCharType="end"/>
        </w:r>
      </w:hyperlink>
    </w:p>
    <w:p>
      <w:pPr>
        <w:pStyle w:val="TOC2"/>
        <w:tabs>
          <w:tab w:val="right" w:leader="dot" w:pos="8306"/>
        </w:tabs>
      </w:pPr>
      <w:hyperlink w:anchor="_Toc16844" w:history="1">
        <w:r>
          <w:rPr>
            <w:rFonts w:ascii="仿宋" w:eastAsia="仿宋" w:hAnsi="仿宋" w:cs="仿宋" w:hint="eastAsia"/>
            <w:lang w:eastAsia="zh-CN"/>
          </w:rPr>
          <w:t>(四)、资金风险分析</w:t>
        </w:r>
        <w:r>
          <w:tab/>
        </w:r>
        <w:r>
          <w:fldChar w:fldCharType="begin"/>
        </w:r>
        <w:r>
          <w:instrText xml:space="preserve"> PAGEREF _Toc16844 \h </w:instrText>
        </w:r>
        <w:r>
          <w:fldChar w:fldCharType="separate"/>
        </w:r>
        <w:r>
          <w:t>44</w:t>
        </w:r>
        <w:r>
          <w:fldChar w:fldCharType="end"/>
        </w:r>
      </w:hyperlink>
    </w:p>
    <w:p>
      <w:pPr>
        <w:pStyle w:val="TOC2"/>
        <w:tabs>
          <w:tab w:val="right" w:leader="dot" w:pos="8306"/>
        </w:tabs>
      </w:pPr>
      <w:hyperlink w:anchor="_Toc12845" w:history="1">
        <w:r>
          <w:rPr>
            <w:rFonts w:ascii="仿宋" w:eastAsia="仿宋" w:hAnsi="仿宋" w:cs="仿宋" w:hint="eastAsia"/>
            <w:lang w:eastAsia="zh-CN"/>
          </w:rPr>
          <w:t>(五)、技术风险分析</w:t>
        </w:r>
        <w:r>
          <w:tab/>
        </w:r>
        <w:r>
          <w:fldChar w:fldCharType="begin"/>
        </w:r>
        <w:r>
          <w:instrText xml:space="preserve"> PAGEREF _Toc12845 \h </w:instrText>
        </w:r>
        <w:r>
          <w:fldChar w:fldCharType="separate"/>
        </w:r>
        <w:r>
          <w:t>46</w:t>
        </w:r>
        <w:r>
          <w:fldChar w:fldCharType="end"/>
        </w:r>
      </w:hyperlink>
    </w:p>
    <w:p>
      <w:pPr>
        <w:pStyle w:val="TOC2"/>
        <w:tabs>
          <w:tab w:val="right" w:leader="dot" w:pos="8306"/>
        </w:tabs>
      </w:pPr>
      <w:hyperlink w:anchor="_Toc15584" w:history="1">
        <w:r>
          <w:rPr>
            <w:rFonts w:ascii="仿宋" w:eastAsia="仿宋" w:hAnsi="仿宋" w:cs="仿宋" w:hint="eastAsia"/>
            <w:lang w:eastAsia="zh-CN"/>
          </w:rPr>
          <w:t>(六)、财务风险分析</w:t>
        </w:r>
        <w:r>
          <w:tab/>
        </w:r>
        <w:r>
          <w:fldChar w:fldCharType="begin"/>
        </w:r>
        <w:r>
          <w:instrText xml:space="preserve"> PAGEREF _Toc15584 \h </w:instrText>
        </w:r>
        <w:r>
          <w:fldChar w:fldCharType="separate"/>
        </w:r>
        <w:r>
          <w:t>48</w:t>
        </w:r>
        <w:r>
          <w:fldChar w:fldCharType="end"/>
        </w:r>
      </w:hyperlink>
    </w:p>
    <w:p>
      <w:pPr>
        <w:pStyle w:val="TOC2"/>
        <w:tabs>
          <w:tab w:val="right" w:leader="dot" w:pos="8306"/>
        </w:tabs>
      </w:pPr>
      <w:hyperlink w:anchor="_Toc18226" w:history="1">
        <w:r>
          <w:rPr>
            <w:rFonts w:ascii="仿宋" w:eastAsia="仿宋" w:hAnsi="仿宋" w:cs="仿宋" w:hint="eastAsia"/>
            <w:lang w:eastAsia="zh-CN"/>
          </w:rPr>
          <w:t>(七)、管理风险分析</w:t>
        </w:r>
        <w:r>
          <w:tab/>
        </w:r>
        <w:r>
          <w:fldChar w:fldCharType="begin"/>
        </w:r>
        <w:r>
          <w:instrText xml:space="preserve"> PAGEREF _Toc18226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72" w:history="1">
        <w:r>
          <w:rPr>
            <w:rFonts w:ascii="仿宋" w:eastAsia="仿宋" w:hAnsi="仿宋" w:cs="仿宋" w:hint="eastAsia"/>
            <w:lang w:eastAsia="zh-CN"/>
          </w:rPr>
          <w:t>(八)、其它风险分析</w:t>
        </w:r>
        <w:r>
          <w:tab/>
        </w:r>
        <w:r>
          <w:fldChar w:fldCharType="begin"/>
        </w:r>
        <w:r>
          <w:instrText xml:space="preserve"> PAGEREF _Toc12072 \h </w:instrText>
        </w:r>
        <w:r>
          <w:fldChar w:fldCharType="separate"/>
        </w:r>
        <w:r>
          <w:t>52</w:t>
        </w:r>
        <w:r>
          <w:fldChar w:fldCharType="end"/>
        </w:r>
      </w:hyperlink>
    </w:p>
    <w:p>
      <w:pPr>
        <w:pStyle w:val="TOC2"/>
        <w:tabs>
          <w:tab w:val="right" w:leader="dot" w:pos="8306"/>
        </w:tabs>
      </w:pPr>
      <w:hyperlink w:anchor="_Toc4081" w:history="1">
        <w:r>
          <w:rPr>
            <w:rFonts w:ascii="仿宋" w:eastAsia="仿宋" w:hAnsi="仿宋" w:cs="仿宋" w:hint="eastAsia"/>
            <w:lang w:eastAsia="zh-CN"/>
          </w:rPr>
          <w:t>(九)、社会影响评估</w:t>
        </w:r>
        <w:r>
          <w:tab/>
        </w:r>
        <w:r>
          <w:fldChar w:fldCharType="begin"/>
        </w:r>
        <w:r>
          <w:instrText xml:space="preserve"> PAGEREF _Toc4081 \h </w:instrText>
        </w:r>
        <w:r>
          <w:fldChar w:fldCharType="separate"/>
        </w:r>
        <w:r>
          <w:t>53</w:t>
        </w:r>
        <w:r>
          <w:fldChar w:fldCharType="end"/>
        </w:r>
      </w:hyperlink>
    </w:p>
    <w:p>
      <w:pPr>
        <w:pStyle w:val="TOC1"/>
        <w:tabs>
          <w:tab w:val="right" w:leader="dot" w:pos="8306"/>
        </w:tabs>
      </w:pPr>
      <w:hyperlink w:anchor="_Toc23369" w:history="1">
        <w:r>
          <w:rPr>
            <w:rFonts w:ascii="仿宋" w:eastAsia="仿宋" w:hAnsi="仿宋" w:cs="仿宋" w:hint="eastAsia"/>
            <w:lang w:eastAsia="zh-CN"/>
          </w:rPr>
          <w:t>八、投资背景及必要性分析</w:t>
        </w:r>
        <w:r>
          <w:tab/>
        </w:r>
        <w:r>
          <w:fldChar w:fldCharType="begin"/>
        </w:r>
        <w:r>
          <w:instrText xml:space="preserve"> PAGEREF _Toc23369 \h </w:instrText>
        </w:r>
        <w:r>
          <w:fldChar w:fldCharType="separate"/>
        </w:r>
        <w:r>
          <w:t>55</w:t>
        </w:r>
        <w:r>
          <w:fldChar w:fldCharType="end"/>
        </w:r>
      </w:hyperlink>
    </w:p>
    <w:p>
      <w:pPr>
        <w:pStyle w:val="TOC2"/>
        <w:tabs>
          <w:tab w:val="right" w:leader="dot" w:pos="8306"/>
        </w:tabs>
      </w:pPr>
      <w:hyperlink w:anchor="_Toc18716" w:history="1">
        <w:r>
          <w:rPr>
            <w:rFonts w:ascii="仿宋" w:eastAsia="仿宋" w:hAnsi="仿宋" w:cs="仿宋" w:hint="eastAsia"/>
            <w:lang w:eastAsia="zh-CN"/>
          </w:rPr>
          <w:t>(一)、钴基及钴镍基项目承办单位背景分析</w:t>
        </w:r>
        <w:r>
          <w:tab/>
        </w:r>
        <w:r>
          <w:fldChar w:fldCharType="begin"/>
        </w:r>
        <w:r>
          <w:instrText xml:space="preserve"> PAGEREF _Toc18716 \h </w:instrText>
        </w:r>
        <w:r>
          <w:fldChar w:fldCharType="separate"/>
        </w:r>
        <w:r>
          <w:t>55</w:t>
        </w:r>
        <w:r>
          <w:fldChar w:fldCharType="end"/>
        </w:r>
      </w:hyperlink>
    </w:p>
    <w:p>
      <w:pPr>
        <w:pStyle w:val="TOC2"/>
        <w:tabs>
          <w:tab w:val="right" w:leader="dot" w:pos="8306"/>
        </w:tabs>
      </w:pPr>
      <w:hyperlink w:anchor="_Toc1345" w:history="1">
        <w:r>
          <w:rPr>
            <w:rFonts w:ascii="仿宋" w:eastAsia="仿宋" w:hAnsi="仿宋" w:cs="仿宋" w:hint="eastAsia"/>
            <w:lang w:eastAsia="zh-CN"/>
          </w:rPr>
          <w:t>(二)、产业政策及发展规划</w:t>
        </w:r>
        <w:r>
          <w:tab/>
        </w:r>
        <w:r>
          <w:fldChar w:fldCharType="begin"/>
        </w:r>
        <w:r>
          <w:instrText xml:space="preserve"> PAGEREF _Toc1345 \h </w:instrText>
        </w:r>
        <w:r>
          <w:fldChar w:fldCharType="separate"/>
        </w:r>
        <w:r>
          <w:t>56</w:t>
        </w:r>
        <w:r>
          <w:fldChar w:fldCharType="end"/>
        </w:r>
      </w:hyperlink>
    </w:p>
    <w:p>
      <w:pPr>
        <w:pStyle w:val="TOC2"/>
        <w:tabs>
          <w:tab w:val="right" w:leader="dot" w:pos="8306"/>
        </w:tabs>
      </w:pPr>
      <w:hyperlink w:anchor="_Toc8297" w:history="1">
        <w:r>
          <w:rPr>
            <w:rFonts w:ascii="仿宋" w:eastAsia="仿宋" w:hAnsi="仿宋" w:cs="仿宋" w:hint="eastAsia"/>
            <w:lang w:eastAsia="zh-CN"/>
          </w:rPr>
          <w:t>(三)、鼓励中小企业发展</w:t>
        </w:r>
        <w:r>
          <w:tab/>
        </w:r>
        <w:r>
          <w:fldChar w:fldCharType="begin"/>
        </w:r>
        <w:r>
          <w:instrText xml:space="preserve"> PAGEREF _Toc8297 \h </w:instrText>
        </w:r>
        <w:r>
          <w:fldChar w:fldCharType="separate"/>
        </w:r>
        <w:r>
          <w:t>57</w:t>
        </w:r>
        <w:r>
          <w:fldChar w:fldCharType="end"/>
        </w:r>
      </w:hyperlink>
    </w:p>
    <w:p>
      <w:pPr>
        <w:pStyle w:val="TOC2"/>
        <w:tabs>
          <w:tab w:val="right" w:leader="dot" w:pos="8306"/>
        </w:tabs>
      </w:pPr>
      <w:hyperlink w:anchor="_Toc32473" w:history="1">
        <w:r>
          <w:rPr>
            <w:rFonts w:ascii="仿宋" w:eastAsia="仿宋" w:hAnsi="仿宋" w:cs="仿宋" w:hint="eastAsia"/>
            <w:lang w:eastAsia="zh-CN"/>
          </w:rPr>
          <w:t>(四)、宏观经济形势分析</w:t>
        </w:r>
        <w:r>
          <w:tab/>
        </w:r>
        <w:r>
          <w:fldChar w:fldCharType="begin"/>
        </w:r>
        <w:r>
          <w:instrText xml:space="preserve"> PAGEREF _Toc32473 \h </w:instrText>
        </w:r>
        <w:r>
          <w:fldChar w:fldCharType="separate"/>
        </w:r>
        <w:r>
          <w:t>58</w:t>
        </w:r>
        <w:r>
          <w:fldChar w:fldCharType="end"/>
        </w:r>
      </w:hyperlink>
    </w:p>
    <w:p>
      <w:pPr>
        <w:pStyle w:val="TOC2"/>
        <w:tabs>
          <w:tab w:val="right" w:leader="dot" w:pos="8306"/>
        </w:tabs>
      </w:pPr>
      <w:hyperlink w:anchor="_Toc14272" w:history="1">
        <w:r>
          <w:rPr>
            <w:rFonts w:ascii="仿宋" w:eastAsia="仿宋" w:hAnsi="仿宋" w:cs="仿宋" w:hint="eastAsia"/>
            <w:lang w:eastAsia="zh-CN"/>
          </w:rPr>
          <w:t>(五)、区域经济发展概况</w:t>
        </w:r>
        <w:r>
          <w:tab/>
        </w:r>
        <w:r>
          <w:fldChar w:fldCharType="begin"/>
        </w:r>
        <w:r>
          <w:instrText xml:space="preserve"> PAGEREF _Toc14272 \h </w:instrText>
        </w:r>
        <w:r>
          <w:fldChar w:fldCharType="separate"/>
        </w:r>
        <w:r>
          <w:t>60</w:t>
        </w:r>
        <w:r>
          <w:fldChar w:fldCharType="end"/>
        </w:r>
      </w:hyperlink>
    </w:p>
    <w:p>
      <w:pPr>
        <w:pStyle w:val="TOC2"/>
        <w:tabs>
          <w:tab w:val="right" w:leader="dot" w:pos="8306"/>
        </w:tabs>
      </w:pPr>
      <w:hyperlink w:anchor="_Toc9366" w:history="1">
        <w:r>
          <w:rPr>
            <w:rFonts w:ascii="仿宋" w:eastAsia="仿宋" w:hAnsi="仿宋" w:cs="仿宋" w:hint="eastAsia"/>
            <w:lang w:eastAsia="zh-CN"/>
          </w:rPr>
          <w:t>(六)、钴基及钴镍基项目必要性分析</w:t>
        </w:r>
        <w:r>
          <w:tab/>
        </w:r>
        <w:r>
          <w:fldChar w:fldCharType="begin"/>
        </w:r>
        <w:r>
          <w:instrText xml:space="preserve"> PAGEREF _Toc9366 \h </w:instrText>
        </w:r>
        <w:r>
          <w:fldChar w:fldCharType="separate"/>
        </w:r>
        <w:r>
          <w:t>61</w:t>
        </w:r>
        <w:r>
          <w:fldChar w:fldCharType="end"/>
        </w:r>
      </w:hyperlink>
    </w:p>
    <w:p>
      <w:pPr>
        <w:pStyle w:val="TOC1"/>
        <w:tabs>
          <w:tab w:val="right" w:leader="dot" w:pos="8306"/>
        </w:tabs>
      </w:pPr>
      <w:hyperlink w:anchor="_Toc6886" w:history="1">
        <w:r>
          <w:rPr>
            <w:rFonts w:ascii="仿宋" w:eastAsia="仿宋" w:hAnsi="仿宋" w:cs="仿宋" w:hint="eastAsia"/>
            <w:lang w:eastAsia="zh-CN"/>
          </w:rPr>
          <w:t>九、市场营销策略</w:t>
        </w:r>
        <w:r>
          <w:tab/>
        </w:r>
        <w:r>
          <w:fldChar w:fldCharType="begin"/>
        </w:r>
        <w:r>
          <w:instrText xml:space="preserve"> PAGEREF _Toc6886 \h </w:instrText>
        </w:r>
        <w:r>
          <w:fldChar w:fldCharType="separate"/>
        </w:r>
        <w:r>
          <w:t>63</w:t>
        </w:r>
        <w:r>
          <w:fldChar w:fldCharType="end"/>
        </w:r>
      </w:hyperlink>
    </w:p>
    <w:p>
      <w:pPr>
        <w:pStyle w:val="TOC2"/>
        <w:tabs>
          <w:tab w:val="right" w:leader="dot" w:pos="8306"/>
        </w:tabs>
      </w:pPr>
      <w:hyperlink w:anchor="_Toc14128" w:history="1">
        <w:r>
          <w:rPr>
            <w:rFonts w:ascii="仿宋" w:eastAsia="仿宋" w:hAnsi="仿宋" w:cs="仿宋" w:hint="eastAsia"/>
            <w:lang w:eastAsia="zh-CN"/>
          </w:rPr>
          <w:t>(一)、市场定位与目标客户群</w:t>
        </w:r>
        <w:r>
          <w:tab/>
        </w:r>
        <w:r>
          <w:fldChar w:fldCharType="begin"/>
        </w:r>
        <w:r>
          <w:instrText xml:space="preserve"> PAGEREF _Toc14128 \h </w:instrText>
        </w:r>
        <w:r>
          <w:fldChar w:fldCharType="separate"/>
        </w:r>
        <w:r>
          <w:t>63</w:t>
        </w:r>
        <w:r>
          <w:fldChar w:fldCharType="end"/>
        </w:r>
      </w:hyperlink>
    </w:p>
    <w:p>
      <w:pPr>
        <w:pStyle w:val="TOC2"/>
        <w:tabs>
          <w:tab w:val="right" w:leader="dot" w:pos="8306"/>
        </w:tabs>
      </w:pPr>
      <w:hyperlink w:anchor="_Toc912" w:history="1">
        <w:r>
          <w:rPr>
            <w:rFonts w:ascii="仿宋" w:eastAsia="仿宋" w:hAnsi="仿宋" w:cs="仿宋" w:hint="eastAsia"/>
            <w:lang w:eastAsia="zh-CN"/>
          </w:rPr>
          <w:t>(二)、竞争对手分析</w:t>
        </w:r>
        <w:r>
          <w:tab/>
        </w:r>
        <w:r>
          <w:fldChar w:fldCharType="begin"/>
        </w:r>
        <w:r>
          <w:instrText xml:space="preserve"> PAGEREF _Toc912 \h </w:instrText>
        </w:r>
        <w:r>
          <w:fldChar w:fldCharType="separate"/>
        </w:r>
        <w:r>
          <w:t>65</w:t>
        </w:r>
        <w:r>
          <w:fldChar w:fldCharType="end"/>
        </w:r>
      </w:hyperlink>
    </w:p>
    <w:p>
      <w:pPr>
        <w:pStyle w:val="TOC2"/>
        <w:tabs>
          <w:tab w:val="right" w:leader="dot" w:pos="8306"/>
        </w:tabs>
      </w:pPr>
      <w:hyperlink w:anchor="_Toc7651" w:history="1">
        <w:r>
          <w:rPr>
            <w:rFonts w:ascii="仿宋" w:eastAsia="仿宋" w:hAnsi="仿宋" w:cs="仿宋" w:hint="eastAsia"/>
            <w:lang w:eastAsia="zh-CN"/>
          </w:rPr>
          <w:t>(三)、营销策略与推广计划</w:t>
        </w:r>
        <w:r>
          <w:tab/>
        </w:r>
        <w:r>
          <w:fldChar w:fldCharType="begin"/>
        </w:r>
        <w:r>
          <w:instrText xml:space="preserve"> PAGEREF _Toc7651 \h </w:instrText>
        </w:r>
        <w:r>
          <w:fldChar w:fldCharType="separate"/>
        </w:r>
        <w:r>
          <w:t>67</w:t>
        </w:r>
        <w:r>
          <w:fldChar w:fldCharType="end"/>
        </w:r>
      </w:hyperlink>
    </w:p>
    <w:p>
      <w:pPr>
        <w:pStyle w:val="TOC2"/>
        <w:tabs>
          <w:tab w:val="right" w:leader="dot" w:pos="8306"/>
        </w:tabs>
      </w:pPr>
      <w:hyperlink w:anchor="_Toc26371" w:history="1">
        <w:r>
          <w:rPr>
            <w:rFonts w:ascii="仿宋" w:eastAsia="仿宋" w:hAnsi="仿宋" w:cs="仿宋" w:hint="eastAsia"/>
            <w:lang w:eastAsia="zh-CN"/>
          </w:rPr>
          <w:t>(四)、产品定价与销售渠道</w:t>
        </w:r>
        <w:r>
          <w:tab/>
        </w:r>
        <w:r>
          <w:fldChar w:fldCharType="begin"/>
        </w:r>
        <w:r>
          <w:instrText xml:space="preserve"> PAGEREF _Toc26371 \h </w:instrText>
        </w:r>
        <w:r>
          <w:fldChar w:fldCharType="separate"/>
        </w:r>
        <w:r>
          <w:t>68</w:t>
        </w:r>
        <w:r>
          <w:fldChar w:fldCharType="end"/>
        </w:r>
      </w:hyperlink>
    </w:p>
    <w:p>
      <w:pPr>
        <w:pStyle w:val="TOC2"/>
        <w:tabs>
          <w:tab w:val="right" w:leader="dot" w:pos="8306"/>
        </w:tabs>
      </w:pPr>
      <w:hyperlink w:anchor="_Toc16396" w:history="1">
        <w:r>
          <w:rPr>
            <w:rFonts w:ascii="仿宋" w:eastAsia="仿宋" w:hAnsi="仿宋" w:cs="仿宋" w:hint="eastAsia"/>
            <w:lang w:eastAsia="zh-CN"/>
          </w:rPr>
          <w:t>(五)、售后服务体系</w:t>
        </w:r>
        <w:r>
          <w:tab/>
        </w:r>
        <w:r>
          <w:fldChar w:fldCharType="begin"/>
        </w:r>
        <w:r>
          <w:instrText xml:space="preserve"> PAGEREF _Toc16396 \h </w:instrText>
        </w:r>
        <w:r>
          <w:fldChar w:fldCharType="separate"/>
        </w:r>
        <w:r>
          <w:t>70</w:t>
        </w:r>
        <w:r>
          <w:fldChar w:fldCharType="end"/>
        </w:r>
      </w:hyperlink>
    </w:p>
    <w:p>
      <w:pPr>
        <w:pStyle w:val="TOC1"/>
        <w:tabs>
          <w:tab w:val="right" w:leader="dot" w:pos="8306"/>
        </w:tabs>
      </w:pPr>
      <w:hyperlink w:anchor="_Toc24996" w:history="1">
        <w:r>
          <w:rPr>
            <w:rFonts w:ascii="仿宋" w:eastAsia="仿宋" w:hAnsi="仿宋" w:cs="仿宋" w:hint="eastAsia"/>
            <w:lang w:eastAsia="zh-CN"/>
          </w:rPr>
          <w:t>十、供应链管理与物流优化</w:t>
        </w:r>
        <w:r>
          <w:tab/>
        </w:r>
        <w:r>
          <w:fldChar w:fldCharType="begin"/>
        </w:r>
        <w:r>
          <w:instrText xml:space="preserve"> PAGEREF _Toc24996 \h </w:instrText>
        </w:r>
        <w:r>
          <w:fldChar w:fldCharType="separate"/>
        </w:r>
        <w:r>
          <w:t>72</w:t>
        </w:r>
        <w:r>
          <w:fldChar w:fldCharType="end"/>
        </w:r>
      </w:hyperlink>
    </w:p>
    <w:p>
      <w:pPr>
        <w:pStyle w:val="TOC2"/>
        <w:tabs>
          <w:tab w:val="right" w:leader="dot" w:pos="8306"/>
        </w:tabs>
      </w:pPr>
      <w:hyperlink w:anchor="_Toc22773" w:history="1">
        <w:r>
          <w:rPr>
            <w:rFonts w:ascii="仿宋" w:eastAsia="仿宋" w:hAnsi="仿宋" w:cs="仿宋" w:hint="eastAsia"/>
            <w:lang w:eastAsia="zh-CN"/>
          </w:rPr>
          <w:t>(一)、供应链规划与优化</w:t>
        </w:r>
        <w:r>
          <w:tab/>
        </w:r>
        <w:r>
          <w:fldChar w:fldCharType="begin"/>
        </w:r>
        <w:r>
          <w:instrText xml:space="preserve"> PAGEREF _Toc22773 \h </w:instrText>
        </w:r>
        <w:r>
          <w:fldChar w:fldCharType="separate"/>
        </w:r>
        <w:r>
          <w:t>72</w:t>
        </w:r>
        <w:r>
          <w:fldChar w:fldCharType="end"/>
        </w:r>
      </w:hyperlink>
    </w:p>
    <w:p>
      <w:pPr>
        <w:pStyle w:val="TOC2"/>
        <w:tabs>
          <w:tab w:val="right" w:leader="dot" w:pos="8306"/>
        </w:tabs>
      </w:pPr>
      <w:hyperlink w:anchor="_Toc30763" w:history="1">
        <w:r>
          <w:rPr>
            <w:rFonts w:ascii="仿宋" w:eastAsia="仿宋" w:hAnsi="仿宋" w:cs="仿宋" w:hint="eastAsia"/>
            <w:lang w:eastAsia="zh-CN"/>
          </w:rPr>
          <w:t>(二)、供应商选择与评估</w:t>
        </w:r>
        <w:r>
          <w:tab/>
        </w:r>
        <w:r>
          <w:fldChar w:fldCharType="begin"/>
        </w:r>
        <w:r>
          <w:instrText xml:space="preserve"> PAGEREF _Toc30763 \h </w:instrText>
        </w:r>
        <w:r>
          <w:fldChar w:fldCharType="separate"/>
        </w:r>
        <w:r>
          <w:t>74</w:t>
        </w:r>
        <w:r>
          <w:fldChar w:fldCharType="end"/>
        </w:r>
      </w:hyperlink>
    </w:p>
    <w:p>
      <w:pPr>
        <w:pStyle w:val="TOC2"/>
        <w:tabs>
          <w:tab w:val="right" w:leader="dot" w:pos="8306"/>
        </w:tabs>
      </w:pPr>
      <w:hyperlink w:anchor="_Toc32445" w:history="1">
        <w:r>
          <w:rPr>
            <w:rFonts w:ascii="仿宋" w:eastAsia="仿宋" w:hAnsi="仿宋" w:cs="仿宋" w:hint="eastAsia"/>
            <w:lang w:eastAsia="zh-CN"/>
          </w:rPr>
          <w:t>(三)、物流网络设计与管理</w:t>
        </w:r>
        <w:r>
          <w:tab/>
        </w:r>
        <w:r>
          <w:fldChar w:fldCharType="begin"/>
        </w:r>
        <w:r>
          <w:instrText xml:space="preserve"> PAGEREF _Toc32445 \h </w:instrText>
        </w:r>
        <w:r>
          <w:fldChar w:fldCharType="separate"/>
        </w:r>
        <w:r>
          <w:t>76</w:t>
        </w:r>
        <w:r>
          <w:fldChar w:fldCharType="end"/>
        </w:r>
      </w:hyperlink>
    </w:p>
    <w:p>
      <w:pPr>
        <w:pStyle w:val="TOC2"/>
        <w:tabs>
          <w:tab w:val="right" w:leader="dot" w:pos="8306"/>
        </w:tabs>
      </w:pPr>
      <w:hyperlink w:anchor="_Toc9049" w:history="1">
        <w:r>
          <w:rPr>
            <w:rFonts w:ascii="仿宋" w:eastAsia="仿宋" w:hAnsi="仿宋" w:cs="仿宋" w:hint="eastAsia"/>
            <w:lang w:eastAsia="zh-CN"/>
          </w:rPr>
          <w:t>(四)、库存控制与仓储管理</w:t>
        </w:r>
        <w:r>
          <w:tab/>
        </w:r>
        <w:r>
          <w:fldChar w:fldCharType="begin"/>
        </w:r>
        <w:r>
          <w:instrText xml:space="preserve"> PAGEREF _Toc9049 \h </w:instrText>
        </w:r>
        <w:r>
          <w:fldChar w:fldCharType="separate"/>
        </w:r>
        <w:r>
          <w:t>78</w:t>
        </w:r>
        <w:r>
          <w:fldChar w:fldCharType="end"/>
        </w:r>
      </w:hyperlink>
    </w:p>
    <w:p>
      <w:pPr>
        <w:pStyle w:val="TOC1"/>
        <w:tabs>
          <w:tab w:val="right" w:leader="dot" w:pos="8306"/>
        </w:tabs>
      </w:pPr>
      <w:hyperlink w:anchor="_Toc7612" w:history="1">
        <w:r>
          <w:rPr>
            <w:rFonts w:ascii="仿宋" w:eastAsia="仿宋" w:hAnsi="仿宋" w:cs="仿宋" w:hint="eastAsia"/>
            <w:lang w:eastAsia="zh-CN"/>
          </w:rPr>
          <w:t>十一、钴基及钴镍基项目环境保护</w:t>
        </w:r>
        <w:r>
          <w:tab/>
        </w:r>
        <w:r>
          <w:fldChar w:fldCharType="begin"/>
        </w:r>
        <w:r>
          <w:instrText xml:space="preserve"> PAGEREF _Toc7612 \h </w:instrText>
        </w:r>
        <w:r>
          <w:fldChar w:fldCharType="separate"/>
        </w:r>
        <w:r>
          <w:t>80</w:t>
        </w:r>
        <w:r>
          <w:fldChar w:fldCharType="end"/>
        </w:r>
      </w:hyperlink>
    </w:p>
    <w:p>
      <w:pPr>
        <w:pStyle w:val="TOC2"/>
        <w:tabs>
          <w:tab w:val="right" w:leader="dot" w:pos="8306"/>
        </w:tabs>
      </w:pPr>
      <w:hyperlink w:anchor="_Toc603" w:history="1">
        <w:r>
          <w:rPr>
            <w:rFonts w:ascii="仿宋" w:eastAsia="仿宋" w:hAnsi="仿宋" w:cs="仿宋" w:hint="eastAsia"/>
            <w:lang w:eastAsia="zh-CN"/>
          </w:rPr>
          <w:t>(一)、钴基及钴镍基项目环境影响评估</w:t>
        </w:r>
        <w:r>
          <w:tab/>
        </w:r>
        <w:r>
          <w:fldChar w:fldCharType="begin"/>
        </w:r>
        <w:r>
          <w:instrText xml:space="preserve"> PAGEREF _Toc603 \h </w:instrText>
        </w:r>
        <w:r>
          <w:fldChar w:fldCharType="separate"/>
        </w:r>
        <w:r>
          <w:t>80</w:t>
        </w:r>
        <w:r>
          <w:fldChar w:fldCharType="end"/>
        </w:r>
      </w:hyperlink>
    </w:p>
    <w:p>
      <w:pPr>
        <w:pStyle w:val="TOC2"/>
        <w:tabs>
          <w:tab w:val="right" w:leader="dot" w:pos="8306"/>
        </w:tabs>
      </w:pPr>
      <w:hyperlink w:anchor="_Toc29657" w:history="1">
        <w:r>
          <w:rPr>
            <w:rFonts w:ascii="仿宋" w:eastAsia="仿宋" w:hAnsi="仿宋" w:cs="仿宋" w:hint="eastAsia"/>
            <w:lang w:eastAsia="zh-CN"/>
          </w:rPr>
          <w:t>(二)、环境保护措施与方案</w:t>
        </w:r>
        <w:r>
          <w:tab/>
        </w:r>
        <w:r>
          <w:fldChar w:fldCharType="begin"/>
        </w:r>
        <w:r>
          <w:instrText xml:space="preserve"> PAGEREF _Toc29657 \h </w:instrText>
        </w:r>
        <w:r>
          <w:fldChar w:fldCharType="separate"/>
        </w:r>
        <w:r>
          <w:t>81</w:t>
        </w:r>
        <w:r>
          <w:fldChar w:fldCharType="end"/>
        </w:r>
      </w:hyperlink>
    </w:p>
    <w:p>
      <w:pPr>
        <w:pStyle w:val="TOC2"/>
        <w:tabs>
          <w:tab w:val="right" w:leader="dot" w:pos="8306"/>
        </w:tabs>
      </w:pPr>
      <w:hyperlink w:anchor="_Toc12607" w:history="1">
        <w:r>
          <w:rPr>
            <w:rFonts w:ascii="仿宋" w:eastAsia="仿宋" w:hAnsi="仿宋" w:cs="仿宋" w:hint="eastAsia"/>
            <w:lang w:eastAsia="zh-CN"/>
          </w:rPr>
          <w:t>(三)、生态恢复与补偿措施</w:t>
        </w:r>
        <w:r>
          <w:tab/>
        </w:r>
        <w:r>
          <w:fldChar w:fldCharType="begin"/>
        </w:r>
        <w:r>
          <w:instrText xml:space="preserve"> PAGEREF _Toc12607 \h </w:instrText>
        </w:r>
        <w:r>
          <w:fldChar w:fldCharType="separate"/>
        </w:r>
        <w:r>
          <w:t>83</w:t>
        </w:r>
        <w:r>
          <w:fldChar w:fldCharType="end"/>
        </w:r>
      </w:hyperlink>
    </w:p>
    <w:p>
      <w:pPr>
        <w:pStyle w:val="TOC2"/>
        <w:tabs>
          <w:tab w:val="right" w:leader="dot" w:pos="8306"/>
        </w:tabs>
      </w:pPr>
      <w:hyperlink w:anchor="_Toc13218" w:history="1">
        <w:r>
          <w:rPr>
            <w:rFonts w:ascii="仿宋" w:eastAsia="仿宋" w:hAnsi="仿宋" w:cs="仿宋" w:hint="eastAsia"/>
            <w:lang w:eastAsia="zh-CN"/>
          </w:rPr>
          <w:t>(四)、环境保护监测与评估</w:t>
        </w:r>
        <w:r>
          <w:tab/>
        </w:r>
        <w:r>
          <w:fldChar w:fldCharType="begin"/>
        </w:r>
        <w:r>
          <w:instrText xml:space="preserve"> PAGEREF _Toc13218 \h </w:instrText>
        </w:r>
        <w:r>
          <w:fldChar w:fldCharType="separate"/>
        </w:r>
        <w:r>
          <w:t>86</w:t>
        </w:r>
        <w:r>
          <w:fldChar w:fldCharType="end"/>
        </w:r>
      </w:hyperlink>
    </w:p>
    <w:p>
      <w:pPr>
        <w:pStyle w:val="TOC1"/>
        <w:tabs>
          <w:tab w:val="right" w:leader="dot" w:pos="8306"/>
        </w:tabs>
      </w:pPr>
      <w:hyperlink w:anchor="_Toc27689" w:history="1">
        <w:r>
          <w:rPr>
            <w:rFonts w:ascii="仿宋" w:eastAsia="仿宋" w:hAnsi="仿宋" w:cs="仿宋" w:hint="eastAsia"/>
            <w:lang w:eastAsia="zh-CN"/>
          </w:rPr>
          <w:t>十二、钴基及钴镍基项目监督与评估</w:t>
        </w:r>
        <w:r>
          <w:tab/>
        </w:r>
        <w:r>
          <w:fldChar w:fldCharType="begin"/>
        </w:r>
        <w:r>
          <w:instrText xml:space="preserve"> PAGEREF _Toc27689 \h </w:instrText>
        </w:r>
        <w:r>
          <w:fldChar w:fldCharType="separate"/>
        </w:r>
        <w:r>
          <w:t>88</w:t>
        </w:r>
        <w:r>
          <w:fldChar w:fldCharType="end"/>
        </w:r>
      </w:hyperlink>
    </w:p>
    <w:p>
      <w:pPr>
        <w:pStyle w:val="TOC2"/>
        <w:tabs>
          <w:tab w:val="right" w:leader="dot" w:pos="8306"/>
        </w:tabs>
      </w:pPr>
      <w:hyperlink w:anchor="_Toc30000" w:history="1">
        <w:r>
          <w:rPr>
            <w:rFonts w:ascii="仿宋" w:eastAsia="仿宋" w:hAnsi="仿宋" w:cs="仿宋" w:hint="eastAsia"/>
            <w:lang w:eastAsia="zh-CN"/>
          </w:rPr>
          <w:t>(一)、监督机构及职责</w:t>
        </w:r>
        <w:r>
          <w:tab/>
        </w:r>
        <w:r>
          <w:fldChar w:fldCharType="begin"/>
        </w:r>
        <w:r>
          <w:instrText xml:space="preserve"> PAGEREF _Toc30000 \h </w:instrText>
        </w:r>
        <w:r>
          <w:fldChar w:fldCharType="separate"/>
        </w:r>
        <w:r>
          <w:t>88</w:t>
        </w:r>
        <w:r>
          <w:fldChar w:fldCharType="end"/>
        </w:r>
      </w:hyperlink>
    </w:p>
    <w:p>
      <w:pPr>
        <w:pStyle w:val="TOC2"/>
        <w:tabs>
          <w:tab w:val="right" w:leader="dot" w:pos="8306"/>
        </w:tabs>
      </w:pPr>
      <w:hyperlink w:anchor="_Toc11570" w:history="1">
        <w:r>
          <w:rPr>
            <w:rFonts w:ascii="仿宋" w:eastAsia="仿宋" w:hAnsi="仿宋" w:cs="仿宋" w:hint="eastAsia"/>
            <w:lang w:eastAsia="zh-CN"/>
          </w:rPr>
          <w:t>(二)、监测与评估指标体系</w:t>
        </w:r>
        <w:r>
          <w:tab/>
        </w:r>
        <w:r>
          <w:fldChar w:fldCharType="begin"/>
        </w:r>
        <w:r>
          <w:instrText xml:space="preserve"> PAGEREF _Toc11570 \h </w:instrText>
        </w:r>
        <w:r>
          <w:fldChar w:fldCharType="separate"/>
        </w:r>
        <w:r>
          <w:t>89</w:t>
        </w:r>
        <w:r>
          <w:fldChar w:fldCharType="end"/>
        </w:r>
      </w:hyperlink>
    </w:p>
    <w:p>
      <w:pPr>
        <w:pStyle w:val="TOC2"/>
        <w:tabs>
          <w:tab w:val="right" w:leader="dot" w:pos="8306"/>
        </w:tabs>
      </w:pPr>
      <w:hyperlink w:anchor="_Toc2843" w:history="1">
        <w:r>
          <w:rPr>
            <w:rFonts w:ascii="仿宋" w:eastAsia="仿宋" w:hAnsi="仿宋" w:cs="仿宋" w:hint="eastAsia"/>
            <w:lang w:eastAsia="zh-CN"/>
          </w:rPr>
          <w:t>(三)、监督与评估周期</w:t>
        </w:r>
        <w:r>
          <w:tab/>
        </w:r>
        <w:r>
          <w:fldChar w:fldCharType="begin"/>
        </w:r>
        <w:r>
          <w:instrText xml:space="preserve"> PAGEREF _Toc2843 \h </w:instrText>
        </w:r>
        <w:r>
          <w:fldChar w:fldCharType="separate"/>
        </w:r>
        <w:r>
          <w:t>92</w:t>
        </w:r>
        <w:r>
          <w:fldChar w:fldCharType="end"/>
        </w:r>
      </w:hyperlink>
    </w:p>
    <w:p>
      <w:pPr>
        <w:pStyle w:val="TOC2"/>
        <w:tabs>
          <w:tab w:val="right" w:leader="dot" w:pos="8306"/>
        </w:tabs>
      </w:pPr>
      <w:hyperlink w:anchor="_Toc8710" w:history="1">
        <w:r>
          <w:rPr>
            <w:rFonts w:ascii="仿宋" w:eastAsia="仿宋" w:hAnsi="仿宋" w:cs="仿宋" w:hint="eastAsia"/>
            <w:lang w:eastAsia="zh-CN"/>
          </w:rPr>
          <w:t>(四)、监督与评估报告</w:t>
        </w:r>
        <w:r>
          <w:tab/>
        </w:r>
        <w:r>
          <w:fldChar w:fldCharType="begin"/>
        </w:r>
        <w:r>
          <w:instrText xml:space="preserve"> PAGEREF _Toc8710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钴基及钴镍基项目报告按照现代钴基及钴镍基项目管理理论及标准流程编写，着重分析了钴基及钴镍基项目管理中的系统思维、团队协作、时间成本控制等关键要素，并将理论与实验案例相结合，提出创新性的改进措施。报告的结构设计严谨，内容充实，旨在为相关领域的研究者和实践者提供有价值的参考和指引。特别声明，本报告的所有内容均不可用作商业用途，只供学习交流之用，以期通过共享知识增进钴基及钴镍基项目管理实践的深度与广度</w:t>
      </w:r>
    </w:p>
    <w:p>
      <w:pPr>
        <w:pStyle w:val="Heading1"/>
        <w:ind w:firstLine="560" w:firstLineChars="200"/>
        <w:rPr>
          <w:rFonts w:ascii="仿宋" w:eastAsia="仿宋" w:hAnsi="仿宋" w:cs="仿宋" w:hint="eastAsia"/>
          <w:sz w:val="28"/>
          <w:lang w:eastAsia="zh-CN"/>
        </w:rPr>
      </w:pPr>
      <w:bookmarkStart w:id="2" w:name="_Toc6553"/>
      <w:r>
        <w:rPr>
          <w:rFonts w:ascii="仿宋" w:eastAsia="仿宋" w:hAnsi="仿宋" w:cs="仿宋" w:hint="eastAsia"/>
          <w:sz w:val="28"/>
          <w:lang w:eastAsia="zh-CN"/>
        </w:rPr>
        <w:t>一、钴基及钴镍基项目环境保护分析</w:t>
      </w:r>
      <w:bookmarkEnd w:id="2"/>
    </w:p>
    <w:p>
      <w:pPr>
        <w:pStyle w:val="Heading2"/>
        <w:rPr>
          <w:rFonts w:ascii="仿宋" w:eastAsia="仿宋" w:hAnsi="仿宋" w:cs="仿宋" w:hint="eastAsia"/>
          <w:lang w:eastAsia="zh-CN"/>
        </w:rPr>
      </w:pPr>
      <w:bookmarkStart w:id="3" w:name="_Toc15366"/>
      <w:r>
        <w:rPr>
          <w:rFonts w:ascii="仿宋" w:eastAsia="仿宋" w:hAnsi="仿宋" w:cs="仿宋" w:hint="eastAsia"/>
          <w:lang w:eastAsia="zh-CN"/>
        </w:rPr>
        <w:t>(一)、建设区域环境质量现状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大气环境：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大气环境质量主要受附近工业、交通和自然条件等多方面影响。通过监测数据显示，空气中的颗粒物和氮氧化物浓度可能存在一定程度的超标现象，尤其是在高峰期。此外，气象条件也对空气质量产生一定影响，需要更详细的气象数据来深入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建设区域水质状况受附近水体的排放和自然水质条件等多方面因素影响。当前水体可能存在一些化学污染物的浓度略有波动，但整体水质维持在可接受范围内。然而，需要注意的是水体富营养化现象可能存在，需要更深入的水质监测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对建设区域土壤的调查显示，土壤质量可能受到历史工业活动和农业实践的影响。部分土壤可能存在轻微的污染，需要进一步的土壤采样和化验来准确评估土壤中可能存在的污染物。</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建设区域的生态环境主要由植被覆盖、动植物种类和生态系统的完整性等因素构成。当前生态环境可能面临一定的压力，特别是在城市化进程中，需要关注城市绿化和保护自然生态系统的措施。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5. 噪音与振动：</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建设区域的噪音和振动水平受到交通、工业和城市建设活动的影响。可能存在一定程度的噪音超标，尤其是在交通繁忙的区域。需要继续监测和评估这些影响，制定相应的噪音控制措施。</w:t>
      </w:r>
    </w:p>
    <w:p>
      <w:pPr>
        <w:pStyle w:val="Heading2"/>
        <w:ind w:firstLine="560" w:firstLineChars="200"/>
        <w:rPr>
          <w:rFonts w:ascii="仿宋" w:eastAsia="仿宋" w:hAnsi="仿宋" w:cs="仿宋" w:hint="eastAsia"/>
          <w:sz w:val="28"/>
          <w:lang w:eastAsia="zh-CN"/>
        </w:rPr>
      </w:pPr>
      <w:bookmarkStart w:id="4" w:name="_Toc19538"/>
      <w:r>
        <w:rPr>
          <w:rFonts w:ascii="仿宋" w:eastAsia="仿宋" w:hAnsi="仿宋" w:cs="仿宋" w:hint="eastAsia"/>
          <w:sz w:val="28"/>
          <w:lang w:eastAsia="zh-CN"/>
        </w:rPr>
        <w:t>(二)、建设期环境保护</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水土保持：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在施工阶段，需要实施有效的水土保持措施，以防止因工程活动引起的水土流失和土壤侵蚀。这包括合理的植被覆盖、设立沉淀池、设置防护网等，以最大程度地保护土地资源。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施工废弃物管理：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合理管理施工期间产生的废弃物是环境保护的重要一环。采用分类收集、减量化处理和循环利用的方法，最小化废弃物对环境的影响，确保废弃物处理符合环保法规。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噪音与振动控制：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在建设期，噪音和振动是可能对周边居民和生态环境造成干扰的因素。采用低噪音设备、限制施工时间、设置隔音屏障等措施，有效降低工程活动对周边噪音环境的负面影响。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污染物排放控制：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钴基及钴镍基项目建设过程中可能伴随一些排放物，如扬尘、废水等。通过采用封闭施工、喷淋降尘、设立沉淀池等方法，最小化污染物的排放，确保符合环境标准。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在施工期，需要尽量减少对自然生态的破坏。设立施工限制区，合理划定施工边界，确保对周边自然生态系统的影响降至最低。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安全监测与应急预案：</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建设期间需要建立全面的安全监测体系和应急预案，及时应对可能发生的环境安全事故，最小化事故对环境的负面影响。</w:t>
      </w:r>
    </w:p>
    <w:p>
      <w:pPr>
        <w:pStyle w:val="Heading2"/>
        <w:ind w:firstLine="560" w:firstLineChars="200"/>
        <w:rPr>
          <w:rFonts w:ascii="仿宋" w:eastAsia="仿宋" w:hAnsi="仿宋" w:cs="仿宋" w:hint="eastAsia"/>
          <w:sz w:val="28"/>
          <w:lang w:eastAsia="zh-CN"/>
        </w:rPr>
      </w:pPr>
      <w:bookmarkStart w:id="5" w:name="_Toc28582"/>
      <w:r>
        <w:rPr>
          <w:rFonts w:ascii="仿宋" w:eastAsia="仿宋" w:hAnsi="仿宋" w:cs="仿宋" w:hint="eastAsia"/>
          <w:sz w:val="28"/>
          <w:lang w:eastAsia="zh-CN"/>
        </w:rPr>
        <w:t>(三)、运营期环境保护</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污染物排放监测：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在运营期，需要建立完善的污染物排放监测体系，实时监测大气、水体、土壤等环境中的污染物浓度。这有助于及时发现和解决潜在的排放问题，确保排放符合环境标准。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废物管理与资源循环利用：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持续推进废物管理，采用分类收集、减量化处理和资源循环利用的方法，最小化废物对环境的影响。建立废物清理和处置的规范流程，确保符合环保法规。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节能减排：</w:t>
      </w:r>
    </w:p>
    <w:p>
      <w:pPr>
        <w:ind w:firstLine="560" w:firstLineChars="200"/>
        <w:rPr>
          <w:rFonts w:ascii="仿宋" w:eastAsia="仿宋" w:hAnsi="仿宋" w:cs="仿宋" w:hint="eastAsia"/>
          <w:sz w:val="28"/>
        </w:rPr>
      </w:pPr>
      <w:r>
        <w:rPr>
          <w:rFonts w:ascii="仿宋" w:eastAsia="仿宋" w:hAnsi="仿宋" w:cs="仿宋" w:hint="eastAsia"/>
          <w:sz w:val="28"/>
          <w:lang w:eastAsia="zh-CN"/>
        </w:rPr>
        <w:t>采取节能减排措施，提高设备和工艺的能效。通过技术升级、设备优化等手段，减少能源消耗和温室气体排放，提高钴基及钴镍基项目的环保效益。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在运营期，仍需保持对自然生态的关注。继续划定保护区域，加强对植被、动植物等生态要素的监测和保护，确保钴基及钴镍基项目运营对生态系统的影响最小化。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治理污染源：</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对可能存在的污染源进行定期检查和治理，确保设备和工艺的正常运行，减少污染物的产生。建立清晰的责任体系，确保治理工作的持续有效性。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社区环境管理：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加强与周边社区的沟通，建立环境管理沟通渠道。及时响应社区的环境反馈，保障周边居民的环境权益，提高钴基及钴镍基项目在社区的社会责任感。</w:t>
      </w:r>
    </w:p>
    <w:p>
      <w:pPr>
        <w:pStyle w:val="Heading2"/>
        <w:ind w:firstLine="560" w:firstLineChars="200"/>
        <w:rPr>
          <w:rFonts w:ascii="仿宋" w:eastAsia="仿宋" w:hAnsi="仿宋" w:cs="仿宋" w:hint="eastAsia"/>
          <w:sz w:val="28"/>
          <w:lang w:eastAsia="zh-CN"/>
        </w:rPr>
      </w:pPr>
      <w:bookmarkStart w:id="6" w:name="_Toc6189"/>
      <w:r>
        <w:rPr>
          <w:rFonts w:ascii="仿宋" w:eastAsia="仿宋" w:hAnsi="仿宋" w:cs="仿宋" w:hint="eastAsia"/>
          <w:sz w:val="28"/>
          <w:lang w:eastAsia="zh-CN"/>
        </w:rPr>
        <w:t>(四)、钴基及钴镍基项目建设对区域经济的影响</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就业机会提升：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钴基及钴镍基项目建设通常伴随着大量的劳动力需求，从建筑工人到专业技术人才，涵盖多个领域。这将提供大量就业机会，减缓区域就业压力，提高居民的收入水平。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2. 投资增长：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钴基及钴镍基项目建设通常需要大量资金投入，这将直接刺激区域内的投资增长。投资的流入可能不仅来自企业本身，还可能吸引其他相关产业的投资，推动区域经济的全面发展。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增加税收收入：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随着钴基及钴镍基项目建设的进行，产生的税收也会相应增加。企业、从业人员以及相关产业的税收贡献将成为区域财政的重要来源，用于支持公共服务和基础设施建设。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产业结构优化：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某些钴基及钴镍基项目建设可能会引入新的产业，推动区域产业结构的优化。新兴产业的引入可能促使区域实现产业升级，提高整体经济的竞争力。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钴基及钴镍基项目建设通常需要相应的基础设施支持，如道路、桥梁、水电站等。这不仅提升了区域基础设施水平，也为未来的经济发展创造了更好的条件。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6. 增加商业活动：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钴基及钴镍基项目建设将吸引更多的商业活动，如酒店、餐饮、零售等，以满足钴基及钴镍基项目工程和员工的需求。这将推动商业活动的增长，促进区域内商业环境的繁荣。</w:t>
      </w:r>
    </w:p>
    <w:p>
      <w:pPr>
        <w:ind w:firstLine="560" w:firstLineChars="200"/>
        <w:rPr>
          <w:rFonts w:ascii="仿宋" w:eastAsia="仿宋" w:hAnsi="仿宋" w:cs="仿宋" w:hint="eastAsia"/>
          <w:sz w:val="28"/>
        </w:rPr>
      </w:pPr>
      <w:r>
        <w:rPr>
          <w:rFonts w:ascii="仿宋" w:eastAsia="仿宋" w:hAnsi="仿宋" w:cs="仿宋" w:hint="eastAsia"/>
          <w:sz w:val="28"/>
          <w:lang w:eastAsia="zh-CN"/>
        </w:rPr>
        <w:t>7. 土地价值提升：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随着钴基及钴镍基项目建设的完成，周边土地价值可能会提升。这对于地方政府和地产开发商来说是一种潜在的经济利好，有助于进一步吸引投资。</w:t>
      </w:r>
    </w:p>
    <w:p>
      <w:pPr>
        <w:pStyle w:val="Heading2"/>
        <w:ind w:firstLine="560" w:firstLineChars="200"/>
        <w:rPr>
          <w:rFonts w:ascii="仿宋" w:eastAsia="仿宋" w:hAnsi="仿宋" w:cs="仿宋" w:hint="eastAsia"/>
          <w:sz w:val="28"/>
          <w:lang w:eastAsia="zh-CN"/>
        </w:rPr>
      </w:pPr>
      <w:bookmarkStart w:id="7" w:name="_Toc31106"/>
      <w:r>
        <w:rPr>
          <w:rFonts w:ascii="仿宋" w:eastAsia="仿宋" w:hAnsi="仿宋" w:cs="仿宋" w:hint="eastAsia"/>
          <w:sz w:val="28"/>
          <w:lang w:eastAsia="zh-CN"/>
        </w:rPr>
        <w:t>(五)、废弃物处理</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废弃物处理是任何钴基及钴镍基项目建设和运营过程中都必须认真考虑和有效实施的关键环节。废弃物包括建设废弃物、生产废弃物等，如果不得当处理可能对环境和人类健康造成负面影响。因此，科学合理的废弃物处理策略成为确保钴基及钴镍基项目可持续发展的不可或缺的一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废弃物分类与收集</w:t>
      </w: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的分类是废弃物管理的首要步骤。通过对不同类型的废弃物进行有效分类，可以更好地采取相应的处理方式。这包括建筑废弃物、生活垃圾、危险废物等。在废弃物分类的基础上，建立相应的收集系统，确保废弃物能够被有序地收集起来，不同类型的废弃物得到合适的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钴基及钴镍基项目阶段，建筑废弃物是一个不可忽视的方面。通过在施工现场设置分类垃圾箱，鼓励工人按照废弃物的性质进行分类投放。对于生产废弃物，也需要建立合理的收集系统，确保废弃物不会随意丢弃，降低对周边环境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废弃物处理技术与设施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选择适当的废弃物处理技术和设施对于有效处理废弃物至关重要。常见的废弃物处理技术包括焚烧、填埋、物理化学处理等。具体的选择取决于废弃物的性质、数量和环境政策法规。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钴基及钴镍基项目中，建议采用可回收物资的再利用技术，减少对原材料的需求。对于生产废弃物，应优先考虑采用环保型处理技术，最大限度地减少对环境的负面影响。危险废弃物需要采取专门的处理措施，确保其不对环境和人体健康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废弃物监测与法规遵循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废弃物处理过程中，监测是确保废弃物得到妥善处理的重要手段。通过建立监测系统，对废弃物的产生、收集、处理等环节进行实时监控，及时发现问题并采取相应的纠正措施。监测还有助于评估废弃物处理效果，确保废弃物处理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同时，废弃物处理必须遵循相关的法规和政策。在建设和运营过程中，确保废弃物处理符合国家和地方的环保法规，以免因不当处理引发法律问题。</w:t>
      </w:r>
    </w:p>
    <w:p>
      <w:pPr>
        <w:pStyle w:val="Heading2"/>
        <w:ind w:firstLine="560" w:firstLineChars="200"/>
        <w:rPr>
          <w:rFonts w:ascii="仿宋" w:eastAsia="仿宋" w:hAnsi="仿宋" w:cs="仿宋" w:hint="eastAsia"/>
          <w:sz w:val="28"/>
          <w:lang w:eastAsia="zh-CN"/>
        </w:rPr>
      </w:pPr>
      <w:bookmarkStart w:id="8" w:name="_Toc19827"/>
      <w:r>
        <w:rPr>
          <w:rFonts w:ascii="仿宋" w:eastAsia="仿宋" w:hAnsi="仿宋" w:cs="仿宋" w:hint="eastAsia"/>
          <w:sz w:val="28"/>
          <w:lang w:eastAsia="zh-CN"/>
        </w:rPr>
        <w:t>(六)、特殊环境影响分析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生态环境影响分析：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钴基及钴镍基项目可能对周边生态系统产生直接或间接的影响。这包括植被覆盖、动植物栖息地、生态平衡等方面。生态环境影响分析需要全面考虑钴基及钴镍基项目可能引起的生态破坏，以及采取的措施来保护和修复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水体影响分析：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钴基及钴镍基项目可能涉及的水体，需要分析钴基及钴镍基项目对水体质量、水文地质条件和水生态系统的潜在影响。这可能包括水体污染、水流变化、对水生物的影响等。合理的水体管理方案和环境保护措施将成为必要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3. 大气环境影响分析：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特殊的地理位置或气象条件可能使钴基及钴镍基项目对大气环境产生更为显著的影响。分析钴基及钴镍基项目可能引起的空气污染、气象条件变化等情况，制定减排方案和适应性措施，以保护大气环境的质量。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某些情况下，钴基及钴镍基项目可能对当地社会文化产生特殊的影响。这包括对当地社区结构、文化传统、居民生活方式等方面的可能影响。社会文化影响分析需要在钴基及钴镍基项目实施前进行广泛的社会调查，确保钴基及钴镍基项目不会对当地社会造成不可逆的破坏。</w:t>
      </w:r>
    </w:p>
    <w:p>
      <w:pPr>
        <w:ind w:firstLine="560" w:firstLineChars="200"/>
        <w:rPr>
          <w:rFonts w:ascii="仿宋" w:eastAsia="仿宋" w:hAnsi="仿宋" w:cs="仿宋" w:hint="eastAsia"/>
          <w:sz w:val="28"/>
        </w:rPr>
      </w:pPr>
      <w:r>
        <w:rPr>
          <w:rFonts w:ascii="仿宋" w:eastAsia="仿宋" w:hAnsi="仿宋" w:cs="仿宋" w:hint="eastAsia"/>
          <w:sz w:val="28"/>
          <w:lang w:eastAsia="zh-CN"/>
        </w:rPr>
        <w:t>5. 土地利用影响分析：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钴基及钴镍基项目可能涉及的土地利用变化需要进行详细分析。这包括土地覆盖类型的改变、土地资源的可持续利用等方面。特别是在涉及到农业用地或自然保护区等特殊土地类型时，需要谨慎评估可能的影响。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噪音与振动影响分析：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一些钴基及钴镍基项目可能在特殊环境中引起噪音或振动污染。在特殊环境影响分析中，需要详细评估钴基及钴镍基项目可能引起的噪音水平和振动强度，并提出相应的控制和减缓措施。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特殊环境影响分析是钴基及钴镍基项目环境影响评价的关键部分，通过充分了解和评估钴基及钴镍基项目可能的特殊环境影响，可以制定出更加科学和可持续的钴基及钴镍基项目实施方案。</w:t>
      </w:r>
    </w:p>
    <w:p>
      <w:pPr>
        <w:pStyle w:val="Heading2"/>
        <w:ind w:firstLine="560" w:firstLineChars="200"/>
        <w:rPr>
          <w:rFonts w:ascii="仿宋" w:eastAsia="仿宋" w:hAnsi="仿宋" w:cs="仿宋" w:hint="eastAsia"/>
          <w:sz w:val="28"/>
          <w:lang w:eastAsia="zh-CN"/>
        </w:rPr>
      </w:pPr>
      <w:bookmarkStart w:id="9" w:name="_Toc4031"/>
      <w:r>
        <w:rPr>
          <w:rFonts w:ascii="仿宋" w:eastAsia="仿宋" w:hAnsi="仿宋" w:cs="仿宋" w:hint="eastAsia"/>
          <w:sz w:val="28"/>
          <w:lang w:eastAsia="zh-CN"/>
        </w:rPr>
        <w:t>(七)、清洁生产</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资源有效利用：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注重最大限度地提高资源的利用效率。通过采用先进的生产技术和工艺，减少原材料的使用，实现对资源的有效管理。循环经济理念在清洁生产中扮演着重要角色，通过回收再利用废弃物和副产品，最大程度地减少资源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2. 减少环境污染：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的核心目标之一是减少对环境的负面影响。通过采用低污染的生产技术，降低废物排放和有害物质的生成，实现对环境的保护。生产过程中，优先选择绿色、环保的原材料和生产方法，以减缓对生态系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节约能源：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清洁生产着力降低能源消耗，通过优化生产流程、使用高效设备和采用新能源等手段，实现能源的有效利用。减少对非可再生能源的依赖，促进可持续能源的应用。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创新技术应用：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清洁生产鼓励创新技术的应用，采用先进的、环保的生产技术。通过研发和引进新技术，不断提高生产效率，减少对环境的负面影响。这包括数字化生产、智能制造等现代化技术手段。</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生命周期分析：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清洁生产要求进行全面的生命周期分析，评估产品从原材料采购到生产、使用、再到废弃的整个过程中对环境的影响。这有助于全面了解产品的环境足迹，从而提出改进措施。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培养清洁生产意识：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清洁生产不仅仅是一种技术手段，更是一种生产文化和理念。培养企业和员工对清洁生产的意识，倡导绿色生产方式，有助于在组织内部建立可持续发展的理念。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7. 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清洁生产需要符合相关的法规和标准，确保生产活动在法律框架内进行。遵循法规不仅是对环境的保护，也是企业社会责任的体现。</w:t>
      </w:r>
    </w:p>
    <w:p>
      <w:pPr>
        <w:pStyle w:val="Heading2"/>
        <w:ind w:firstLine="560" w:firstLineChars="200"/>
        <w:rPr>
          <w:rFonts w:ascii="仿宋" w:eastAsia="仿宋" w:hAnsi="仿宋" w:cs="仿宋" w:hint="eastAsia"/>
          <w:sz w:val="28"/>
          <w:lang w:eastAsia="zh-CN"/>
        </w:rPr>
      </w:pPr>
      <w:bookmarkStart w:id="10" w:name="_Toc23729"/>
      <w:r>
        <w:rPr>
          <w:rFonts w:ascii="仿宋" w:eastAsia="仿宋" w:hAnsi="仿宋" w:cs="仿宋" w:hint="eastAsia"/>
          <w:sz w:val="28"/>
          <w:lang w:eastAsia="zh-CN"/>
        </w:rPr>
        <w:t>(八)、环境保护综合评价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环境保护综合评价是对钴基及钴镍基项目、企业或活动在环保方面综合表现的评估。这种评价综合考虑了对自然环境、生态系统、空气、水体等的影响，以及对环保法规和标准的遵守程度。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的第一步是对钴基及钴镍基项目或活动的环境影响进行评估。这包括对空气质量、水质、土壤质量、生态系统等方面的影响进行科学分析。通过各种监测和模拟手段，全面了解钴基及钴镍基项目可能引起的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钴基及钴镍基项目的废弃物管理情况，包括废弃物的分类、收集、处理和处置。清晰的废弃物管理计划对于降低对环境的负担至关重要。合规处理和减少废弃物对生态系统和人类健康的影响是综合评价的重要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水资源管理：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评估钴基及钴镍基项目对水资源的利用和管理情况，包括对水体的取水、排放和水质保护。特别关注是否存在过度取水、水质污染等问题，以及采取的补救和改进措施。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大气排放控制：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分析钴基及钴镍基项目的大气排放情况，包括对大气污染物的排放、空气质量的影响等。评估钴基及钴镍基项目是否采取有效的减排措施，以保护大气环境质量。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能源效益评估：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综合评价钴基及钴镍基项目的能源效益，包括能源的使用效率、可再生能源的应用情况等。推动清洁能源的使用，提高能源效益是环境保护的重要方向。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6. 法规遵从与合规性：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评估钴基及钴镍基项目是否遵守国家和地方的环境保护法规和标准。合规性是一个企业或钴基及钴镍基项目在环境保护方面的基本要求，对于环保综合评价至关重要。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评价钴基及钴镍基项目在环境保护方面的投入，包括环境监测、治理设施建设、环保培训等方面的支出。这反映了企业对环保责任的认识和履行。</w:t>
      </w:r>
    </w:p>
    <w:p>
      <w:pPr>
        <w:ind w:firstLine="560" w:firstLineChars="200"/>
        <w:rPr>
          <w:rFonts w:ascii="仿宋" w:eastAsia="仿宋" w:hAnsi="仿宋" w:cs="仿宋" w:hint="eastAsia"/>
          <w:sz w:val="28"/>
        </w:rPr>
      </w:pPr>
      <w:r>
        <w:rPr>
          <w:rFonts w:ascii="仿宋" w:eastAsia="仿宋" w:hAnsi="仿宋" w:cs="仿宋" w:hint="eastAsia"/>
          <w:sz w:val="28"/>
          <w:lang w:eastAsia="zh-CN"/>
        </w:rPr>
        <w:t>8. 社会责任与公众参与：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考察钴基及钴镍基项目对社会的责任感和公众参与程度。是否建立了有效的沟通机制，是否主动回应社会关切，这些都是综合评价的一部分。</w:t>
      </w:r>
    </w:p>
    <w:p>
      <w:pPr>
        <w:pStyle w:val="Heading1"/>
        <w:ind w:firstLine="560" w:firstLineChars="200"/>
        <w:rPr>
          <w:rFonts w:ascii="仿宋" w:eastAsia="仿宋" w:hAnsi="仿宋" w:cs="仿宋" w:hint="eastAsia"/>
          <w:sz w:val="28"/>
          <w:lang w:eastAsia="zh-CN"/>
        </w:rPr>
      </w:pPr>
      <w:bookmarkStart w:id="11" w:name="_Toc4041"/>
      <w:r>
        <w:rPr>
          <w:rFonts w:ascii="仿宋" w:eastAsia="仿宋" w:hAnsi="仿宋" w:cs="仿宋" w:hint="eastAsia"/>
          <w:sz w:val="28"/>
          <w:lang w:eastAsia="zh-CN"/>
        </w:rPr>
        <w:t>二、钴基及钴镍基项目选址说明</w:t>
      </w:r>
      <w:bookmarkEnd w:id="11"/>
    </w:p>
    <w:p>
      <w:pPr>
        <w:pStyle w:val="Heading2"/>
        <w:rPr>
          <w:rFonts w:ascii="仿宋" w:eastAsia="仿宋" w:hAnsi="仿宋" w:cs="仿宋" w:hint="eastAsia"/>
          <w:lang w:eastAsia="zh-CN"/>
        </w:rPr>
      </w:pPr>
      <w:bookmarkStart w:id="12" w:name="_Toc26732"/>
      <w:r>
        <w:rPr>
          <w:rFonts w:ascii="仿宋" w:eastAsia="仿宋" w:hAnsi="仿宋" w:cs="仿宋" w:hint="eastAsia"/>
          <w:lang w:eastAsia="zh-CN"/>
        </w:rPr>
        <w:t>(一)、钴基及钴镍基项目选址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钴基及钴镍基项目选址位于XXXX市XXXX区XXXX街道XXXX路，地理位置优越，地势平坦，交通便利。附近有多条主要道路交汇，便于原材料的运输和成品的配送。地理位置的优越性将为钴基及钴镍基项目提供便捷的市场接触和良好的物流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选址过程中，我们将充分考虑用地控制指标，确保钴基及钴镍基项目用地的合规性。经过详细的规划和评估，选址地区的用地性质、容积率、绿化率等指标将被科学确定，以满足钴基及钴镍基项目的发展需求并符合相关法规和环保要求。</w:t>
      </w:r>
    </w:p>
    <w:p>
      <w:pPr>
        <w:pStyle w:val="Heading2"/>
        <w:ind w:firstLine="560" w:firstLineChars="200"/>
        <w:rPr>
          <w:rFonts w:ascii="仿宋" w:eastAsia="仿宋" w:hAnsi="仿宋" w:cs="仿宋" w:hint="eastAsia"/>
          <w:sz w:val="28"/>
          <w:lang w:eastAsia="zh-CN"/>
        </w:rPr>
      </w:pPr>
      <w:bookmarkStart w:id="13" w:name="_Toc2480"/>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用地性质： 选址地区的用地性质被确定为工业用地，以支持钴基及钴镍基项目的生产和运营。确保用地性质符合地方规划，并满足钴基及钴镍基项目的实际需求。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用途：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根据地区规划和建设标准，设定合理的容积率。容积率的设定要考虑钴基及钴镍基项目的建筑需求，确保建筑的布局紧凑，用地高效利用。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确保钴基及钴镍基项目选址地区的绿化率符合环保法规的要求。通过科学的绿化设计，提高绿化率，改善周边环境，为员工提供良好的工作生活环境。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14" w:name="_Toc24970"/>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针对钴基及钴镍基项目的实际需求，考虑采用垂直建筑设计，提高建筑的层数，减小占地面积。这将有助于在有限的用地内实现更大的建筑容积。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pPr>
      <w:r>
        <w:rPr>
          <w:rFonts w:ascii="仿宋" w:eastAsia="仿宋" w:hAnsi="仿宋" w:cs="仿宋" w:hint="eastAsia"/>
          <w:sz w:val="28"/>
          <w:lang w:eastAsia="zh-CN"/>
        </w:rPr>
        <w:t>4. 地下空间利用：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15" w:name="_Toc12152"/>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钴基及钴镍基项目的原材料运输和成品配送提供了便捷的通道。地理位置的优越性将成为总图布置方案的首要考虑因素，确保钴基及钴镍基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钴基及钴镍基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钴基及钴镍基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钴基及钴镍基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16" w:name="_Toc27632"/>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选址综合评价是对所有选址因素进行全面权衡和评估的过程，包括地理位置、交通便利性、用地控制指标等多个方面。通过科学的评价方法，确保最终选址符合钴基及钴镍基项目的长期发展需求和可行性要求。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钴基及钴镍基项目的成功实施提供战略优势。通过全面利用地理位置，确保钴基及钴镍基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综合评价将充分考虑选址地区的交通便利性。主要道路的交汇、交通流畅性等因素将被纳入考虑范围。通过科学评估交通状况，确保钴基及钴镍基项目的运输通道顺畅，为物流和员工的出行提供良好保障。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用地控制指标是综合评价中的重要组成部分。通过科学制定用地控制指标，明确用地性质、用途、容积率等，确保用地的规划与钴基及钴镍基项目的实际需求相符。这有助于用地的科学利用和可持续性发展。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在综合评价中发挥关键作用。通过科学合理的布置，确保钴基及钴镍基项目的空间布局合理有序。绿化空间、建筑布局、功能区域划分等因素将在总图布置中得到综合考虑，为钴基及钴镍基项目提供良好的空间环境。</w:t>
      </w:r>
    </w:p>
    <w:p>
      <w:pPr>
        <w:pStyle w:val="Heading1"/>
        <w:ind w:firstLine="560" w:firstLineChars="200"/>
        <w:rPr>
          <w:rFonts w:ascii="仿宋" w:eastAsia="仿宋" w:hAnsi="仿宋" w:cs="仿宋" w:hint="eastAsia"/>
          <w:sz w:val="28"/>
          <w:lang w:eastAsia="zh-CN"/>
        </w:rPr>
      </w:pPr>
      <w:bookmarkStart w:id="17" w:name="_Toc4015"/>
      <w:r>
        <w:rPr>
          <w:rFonts w:ascii="仿宋" w:eastAsia="仿宋" w:hAnsi="仿宋" w:cs="仿宋" w:hint="eastAsia"/>
          <w:sz w:val="28"/>
          <w:lang w:eastAsia="zh-CN"/>
        </w:rPr>
        <w:t>三、工艺分析</w:t>
      </w:r>
      <w:bookmarkEnd w:id="17"/>
    </w:p>
    <w:p>
      <w:pPr>
        <w:pStyle w:val="Heading2"/>
        <w:rPr>
          <w:rFonts w:ascii="仿宋" w:eastAsia="仿宋" w:hAnsi="仿宋" w:cs="仿宋" w:hint="eastAsia"/>
          <w:lang w:eastAsia="zh-CN"/>
        </w:rPr>
      </w:pPr>
      <w:bookmarkStart w:id="18" w:name="_Toc29991"/>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钴基及钴镍基项目中显现出多层面的复杂性和有机性。其系统性突显在对广泛技术领域的全面规划和整合，要求各技术要素相互协调，以确保钴基及钴镍基项目整体协同。这种系统性要求技术管理者在钴基及钴镍基项目中全局思考，以适应多元领域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钴基及钴镍基项目进步的引擎。这种创新力使技术管理不仅仅是问题应对，更是钴基及钴镍基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钴基及钴镍基项目技术方案的综合有效性。</w:t>
      </w:r>
    </w:p>
    <w:p>
      <w:pPr>
        <w:pStyle w:val="Heading2"/>
        <w:ind w:firstLine="560" w:firstLineChars="200"/>
        <w:rPr>
          <w:rFonts w:ascii="仿宋" w:eastAsia="仿宋" w:hAnsi="仿宋" w:cs="仿宋" w:hint="eastAsia"/>
          <w:sz w:val="28"/>
          <w:lang w:eastAsia="zh-CN"/>
        </w:rPr>
      </w:pPr>
      <w:bookmarkStart w:id="19" w:name="_Toc32277"/>
      <w:r>
        <w:rPr>
          <w:rFonts w:ascii="仿宋" w:eastAsia="仿宋" w:hAnsi="仿宋" w:cs="仿宋" w:hint="eastAsia"/>
          <w:sz w:val="28"/>
          <w:lang w:eastAsia="zh-CN"/>
        </w:rPr>
        <w:t>(二)、钴基及钴镍基项目工艺技术设计方案</w:t>
      </w:r>
      <w:bookmarkEnd w:id="19"/>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钴基及钴镍基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在选择工艺设备时，需要考虑其性能、稳定性和可维护性。设备应符合钴基及钴镍基项目的实际需求，并与整个生产流程协同工作，确保设备的使用不成为钴基及钴镍基项目的瓶颈。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20" w:name="_Toc29950"/>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钴基及钴镍基项目投资风险，最大限度地减少总体钴基及钴镍基项目成本。在投资钴基及钴镍基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以“先进、高效、实用、节能、可靠”为准则，特别关注钴基及钴镍基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钴基及钴镍基项目的生产设备具备最佳性能和效益，以满足钴基及钴镍基项目长期的发展需求。</w:t>
      </w:r>
    </w:p>
    <w:p>
      <w:pPr>
        <w:pStyle w:val="Heading1"/>
        <w:ind w:firstLine="560" w:firstLineChars="200"/>
        <w:rPr>
          <w:rFonts w:ascii="仿宋" w:eastAsia="仿宋" w:hAnsi="仿宋" w:cs="仿宋" w:hint="eastAsia"/>
          <w:sz w:val="28"/>
          <w:lang w:eastAsia="zh-CN"/>
        </w:rPr>
      </w:pPr>
      <w:bookmarkStart w:id="21" w:name="_Toc25108"/>
      <w:r>
        <w:rPr>
          <w:rFonts w:ascii="仿宋" w:eastAsia="仿宋" w:hAnsi="仿宋" w:cs="仿宋" w:hint="eastAsia"/>
          <w:sz w:val="28"/>
          <w:lang w:eastAsia="zh-CN"/>
        </w:rPr>
        <w:t>四、建设单位基本信息</w:t>
      </w:r>
      <w:bookmarkEnd w:id="21"/>
    </w:p>
    <w:p>
      <w:pPr>
        <w:pStyle w:val="Heading2"/>
        <w:rPr>
          <w:rFonts w:ascii="仿宋" w:eastAsia="仿宋" w:hAnsi="仿宋" w:cs="仿宋" w:hint="eastAsia"/>
          <w:lang w:eastAsia="zh-CN"/>
        </w:rPr>
      </w:pPr>
      <w:bookmarkStart w:id="22" w:name="_Toc20625"/>
      <w:r>
        <w:rPr>
          <w:rFonts w:ascii="仿宋" w:eastAsia="仿宋" w:hAnsi="仿宋" w:cs="仿宋" w:hint="eastAsia"/>
          <w:lang w:eastAsia="zh-CN"/>
        </w:rPr>
        <w:t>(一)、钴基及钴镍基项目承办单位基本情况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一、钴基及钴镍基项目承办单位基本情况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XXXX有限公司是一家多元化的企业服务提供商，专注于为各类企业提供全方位的支持和解决方案。我们的团队由经验丰富的专业人士组成，致力于帮助企业实现业务目标，提升竞争力。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企业管理咨询与规划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组织架构优化与流程改善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营销策略与市场拓展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XXXX有限公司以灵活的服务模式和客户至上的理念为特色。我们注重深入了解客户需求，为其提供定制化的解决方案，助力企业在不断变化的市场中蓬勃发展。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w:t>
      </w:r>
    </w:p>
    <w:p>
      <w:pPr>
        <w:ind w:firstLine="560" w:firstLineChars="200"/>
        <w:rPr>
          <w:rFonts w:ascii="仿宋" w:eastAsia="仿宋" w:hAnsi="仿宋" w:cs="仿宋" w:hint="eastAsia"/>
          <w:sz w:val="28"/>
        </w:rPr>
      </w:pPr>
      <w:r>
        <w:rPr>
          <w:rFonts w:ascii="仿宋" w:eastAsia="仿宋" w:hAnsi="仿宋" w:cs="仿宋" w:hint="eastAsia"/>
          <w:sz w:val="28"/>
          <w:lang w:eastAsia="zh-CN"/>
        </w:rPr>
        <w:t>2010年：XXXX有限公司成立，专注于企业管理咨询服务。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2014年：逐步拓展服务领域，加强组织优化和团队建设方面的实践。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2017年：成功协助多家企业实现业务增长，树立了良好的业界口碑。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2021年：与各行各业建立战略伙伴关系，共同推动服务领域的发展。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使命与愿景：</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XXXX有限公司的使命是通过提供高效专业的服务，助力客户在竞争激烈的市场中脱颖而出。我们的愿景是成为企业服务领域的领军者，不断创新，为更多企业创造长期价值。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我们诚挚欢迎各界合作伙伴与我们携手，共同推动企业发展，共创美好的未来。</w:t>
      </w:r>
    </w:p>
    <w:p>
      <w:pPr>
        <w:pStyle w:val="Heading2"/>
        <w:ind w:firstLine="560" w:firstLineChars="200"/>
        <w:rPr>
          <w:rFonts w:ascii="仿宋" w:eastAsia="仿宋" w:hAnsi="仿宋" w:cs="仿宋" w:hint="eastAsia"/>
          <w:sz w:val="28"/>
          <w:lang w:eastAsia="zh-CN"/>
        </w:rPr>
      </w:pPr>
      <w:bookmarkStart w:id="23" w:name="_Toc8786"/>
      <w:r>
        <w:rPr>
          <w:rFonts w:ascii="仿宋" w:eastAsia="仿宋" w:hAnsi="仿宋" w:cs="仿宋" w:hint="eastAsia"/>
          <w:sz w:val="28"/>
          <w:lang w:eastAsia="zh-CN"/>
        </w:rPr>
        <w:t>(二)、公司经济效益分析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财务状况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公司的财务状况是评估其经济效益的核心指标之一。关注以下几个方面：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利润状况： 公司近几年的利润状况显示稳健，净利润达到XX万元，毛利润率和净利润率均保持在行业水平之上。</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资产负债表： 公司资产负债表显示资产总额为XX万元，其中流动资产占比较高，负债结构较为健康，具备较强的偿债能力。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市场份额和竞争力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 公司在行业内的市场份额为XX%，并且近年来市场份额有所增长，显示出较强的市场竞争力。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客户满意度： 最新的客户满意度调查显示，客户满意度达到XX%，证明公司的产品或服务在市场上受到高度认可。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投资回报率（ROI）： 公司的综合投资回报率为XX%，在钴基及钴镍基项目、市场推广和研发等方面的投资取得了良好的回报。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4. 成本结构和效率</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成本结构：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公司的成本结构经过优化，生产成本、运营成本和管理成本均得到有效控制，为公司的经济效益提供了有力支持。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 公司的生产效率较高，资源利用率得到有效提升，进一步推动了产能的提高。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环境影响和社会责任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环境和社会责任： 公司积极参与环境友好型和社会责任活动，体现出对可持续发展的关注，为公司形象增色不少。</w:t>
      </w:r>
    </w:p>
    <w:p>
      <w:pPr>
        <w:ind w:firstLine="560" w:firstLineChars="200"/>
        <w:rPr>
          <w:rFonts w:ascii="仿宋" w:eastAsia="仿宋" w:hAnsi="仿宋" w:cs="仿宋" w:hint="eastAsia"/>
          <w:sz w:val="28"/>
        </w:rPr>
      </w:pPr>
      <w:r>
        <w:rPr>
          <w:rFonts w:ascii="仿宋" w:eastAsia="仿宋" w:hAnsi="仿宋" w:cs="仿宋" w:hint="eastAsia"/>
          <w:sz w:val="28"/>
          <w:lang w:eastAsia="zh-CN"/>
        </w:rPr>
        <w:t>6. 行业趋势和风险管理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行业趋势： 公司积极适应行业趋势，关注市场需求和技术变革，有助于提高公司的经济效益。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 公司建立了有效的风险管理体系，对市场、经济和运营风险有明确的防范和控制措施。</w:t>
      </w:r>
    </w:p>
    <w:p>
      <w:pPr>
        <w:pStyle w:val="Heading1"/>
        <w:ind w:firstLine="560" w:firstLineChars="200"/>
        <w:rPr>
          <w:rFonts w:ascii="仿宋" w:eastAsia="仿宋" w:hAnsi="仿宋" w:cs="仿宋" w:hint="eastAsia"/>
          <w:sz w:val="28"/>
          <w:lang w:eastAsia="zh-CN"/>
        </w:rPr>
      </w:pPr>
      <w:bookmarkStart w:id="24" w:name="_Toc23057"/>
      <w:r>
        <w:rPr>
          <w:rFonts w:ascii="仿宋" w:eastAsia="仿宋" w:hAnsi="仿宋" w:cs="仿宋" w:hint="eastAsia"/>
          <w:sz w:val="28"/>
          <w:lang w:eastAsia="zh-CN"/>
        </w:rPr>
        <w:t>五、员工福利与企业文化</w:t>
      </w:r>
      <w:bookmarkEnd w:id="24"/>
    </w:p>
    <w:p>
      <w:pPr>
        <w:pStyle w:val="Heading2"/>
        <w:rPr>
          <w:rFonts w:ascii="仿宋" w:eastAsia="仿宋" w:hAnsi="仿宋" w:cs="仿宋" w:hint="eastAsia"/>
          <w:lang w:eastAsia="zh-CN"/>
        </w:rPr>
      </w:pPr>
      <w:bookmarkStart w:id="25" w:name="_Toc23993"/>
      <w:r>
        <w:rPr>
          <w:rFonts w:ascii="仿宋" w:eastAsia="仿宋" w:hAnsi="仿宋" w:cs="仿宋" w:hint="eastAsia"/>
          <w:lang w:eastAsia="zh-CN"/>
        </w:rPr>
        <w:t>(一)、员工福利政策</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薪酬福利是员工关注的核心内容之一，直接关系到员工的生活质量和对工作的认同感。企业可以通过以下手段提供有竞争力的薪酬福利：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基本工资： 确保员工的基本工资水平能够满足生活需求，并与行业水平相符。</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绩效奖金：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建立科学的绩效考核体系，通过绩效奖金激发员工的工作热情和动力。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福利补贴： 提供丰富的福利补贴，如交通补贴、通讯补贴、餐补等，以提升员工的实际收入。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福利待遇： 提供完善的社会保险和商业保险，确保员工在面对风险和困难时有相应的保障。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职业发展与培训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为员工提供职业发展和培训机会是企业关心员工成长的体现，也是激发员工积极性的重要手段。相关政策包括：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 制定全面的培训计划，包括入职培训、职业技能培训、管理能力培训等，以提升员工的综合素质。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晋升机制： 建立公平、透明的晋升机制，鼓励员工通过不断学习和提升能力来获得更高职位。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导师制度： 实施导师制度，为员工提供专业指导和职业规划建议，帮助其更好地适应职场环境。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学习资源： 提供员工可以自主学习的学习资源，如在线课程、图书馆资源等，支持员工的个人发展。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工作生活平衡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工作生活平衡政策是越来越受到关注的员工福利方面，对于提高员工的生活质量和工作效能有着积极的作用：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提供弹性工作时间，让员工更好地平衡工作和生活，有助于提升工作效率。</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远程办公：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支持远程办公，让员工可以更加自由地选择工作地点，提高工作的便捷性和舒适度。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提供丰富的带薪休假政策，包括年假、病假、特殊假期等，保障员工的休息和健康。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 提供健康管理服务，包括定期体检、心理健康辅导等，关心员工的身体和心理健康。</w:t>
      </w:r>
    </w:p>
    <w:p>
      <w:pPr>
        <w:pStyle w:val="Heading2"/>
        <w:ind w:firstLine="560" w:firstLineChars="200"/>
        <w:rPr>
          <w:rFonts w:ascii="仿宋" w:eastAsia="仿宋" w:hAnsi="仿宋" w:cs="仿宋" w:hint="eastAsia"/>
          <w:sz w:val="28"/>
          <w:lang w:eastAsia="zh-CN"/>
        </w:rPr>
      </w:pPr>
      <w:bookmarkStart w:id="26" w:name="_Toc31811"/>
      <w:r>
        <w:rPr>
          <w:rFonts w:ascii="仿宋" w:eastAsia="仿宋" w:hAnsi="仿宋" w:cs="仿宋" w:hint="eastAsia"/>
          <w:sz w:val="28"/>
          <w:lang w:eastAsia="zh-CN"/>
        </w:rPr>
        <w:t>(二)、团队建设与员工培训</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团队建设旨在增强团队成员之间的合作、沟通和协调能力，以提高整个团队的绩效。具体的团队建设策略包括：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明确团队目标： 将团队目标明确传达给每位成员，确保大家对团队的方向和目标有清晰的认识。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促进沟通： 建立开放、透明的沟通渠道，鼓励成员分享观点、意见和反馈，提高团队内部的信息流通效率。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团队活动： 定期组织团队活动，如团建、培训、座谈等，促进团队成员之间的相互了解和交流。</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设立明确角色： 明确每位成员的职责和角色，避免工作重叠和责任不清，提高团队协同效率。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奖励机制： 建立激励机制，通过团队目标的实现奖励优秀表现，激发成员的团队合作意识。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2. 员工培训</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员工培训是为了提升员工的专业素养、技能水平，使其更好地适应企业的发展需求。有效的员工培训包括以下关键点：</w:t>
      </w:r>
    </w:p>
    <w:p>
      <w:pPr>
        <w:ind w:firstLine="560" w:firstLineChars="200"/>
        <w:rPr>
          <w:rFonts w:ascii="仿宋" w:eastAsia="仿宋" w:hAnsi="仿宋" w:cs="仿宋" w:hint="eastAsia"/>
          <w:sz w:val="28"/>
        </w:rPr>
      </w:pPr>
      <w:r>
        <w:rPr>
          <w:rFonts w:ascii="仿宋" w:eastAsia="仿宋" w:hAnsi="仿宋" w:cs="仿宋" w:hint="eastAsia"/>
          <w:sz w:val="28"/>
          <w:lang w:eastAsia="zh-CN"/>
        </w:rPr>
        <w:t>需求分析： 在进行培训计划前，对员工的实际需求进行调研和分析，确保培训内容切实符合员工的发展需求。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多样化培训方式： 结合不同学习风格和需求，采用多样化的培训方式，包括课堂培训、在线学习、实践操作等。</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专业师资： 邀请具有丰富经验和专业知识的讲师，确保培训内容的专业性和实用性。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持续培训： 实行持续培训机制，不仅关注新员工的培训，也重视老员工的继续教育，保持员工的职业竞争力。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培训效果评估： 在培训结束后进行效果评估，了解培训的实际收益和改进空间，不断提升培训质量。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团队建设和员工培训，企业能够更好地塑造协同高效的团队，提升员工的综合素养，使其具备更强的适应力和创造力。这两方面的工作是企业人力资源管理中的关键环节，直接影响着企业的竞争力和可持续发展。同时，积极的团队建设和员工培训也有助于提高员工的工作满意度和忠诚度，形成更加稳固的组织基石。</w:t>
      </w:r>
    </w:p>
    <w:p>
      <w:pPr>
        <w:pStyle w:val="Heading2"/>
        <w:ind w:firstLine="560" w:firstLineChars="200"/>
        <w:rPr>
          <w:rFonts w:ascii="仿宋" w:eastAsia="仿宋" w:hAnsi="仿宋" w:cs="仿宋" w:hint="eastAsia"/>
          <w:sz w:val="28"/>
          <w:lang w:eastAsia="zh-CN"/>
        </w:rPr>
      </w:pPr>
      <w:bookmarkStart w:id="27" w:name="_Toc26000"/>
      <w:r>
        <w:rPr>
          <w:rFonts w:ascii="仿宋" w:eastAsia="仿宋" w:hAnsi="仿宋" w:cs="仿宋" w:hint="eastAsia"/>
          <w:sz w:val="28"/>
          <w:lang w:eastAsia="zh-CN"/>
        </w:rPr>
        <w:t>(三)、企业文化建设</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明确核心价值观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企业文化的核心在于明确企业的核心价值观。这是企业文化的灵魂，为员工提供行为准则，塑造企业独特的品牌形象。关键步骤包括：</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制定核心价值观：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由企业领导层牵头，与全员共同制定公司的核心价值观，确保其具有共识性和引导性。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传达核心价值观： 将核心价值观融入企业的各个方面，通过内外部培训、宣传推广等方式，确保员工理解和认同。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弘扬核心价值观： 鼓励员工在工作中践行核心价值观，将其内化为行为习惯，从而形成共同的文化认同。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2. 倡导积极工作氛围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良好的工作氛围是企业文化建设的关键组成部分，直接关系到员工的工作积极性和创造力。相关策略包括：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激励机制： 制定并实施激励机制，包括奖励、晋升机会等，鼓励员工更加积极主动地投入工作。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开放沟通： 打破部门壁垒，鼓励员工之间开放、坦诚的沟通，形成良好的团队合作氛围。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关注员工需求： 通过定期调查、员工反馈等方式了解员工需求，及时调整管理政策，提高员工的满意度。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建设共同的企业愿景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企业文化建设的目标之一是建设共同的企业愿景，激发员工对企业未来发展的期许和认同。关键步骤包括：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制定愿景目标： 由企业领导层与全员共同参与，确立具有挑战性和激励性的企业愿景，明确未来的发展方向。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传递愿景信息： 通过内外部媒体、企业内部宣传等方式，将企业愿景传递给全员，确保员工对愿景的理解和认同。</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与员工共建：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鼓励员工提出对企业愿景的建议和期望，形成共建共享的愿景文化。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建立共同价值观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共同的价值观是企业文化中的黏合剂，通过共同的价值观可以在组织内形成一种紧密的凝聚力。相关做法包括：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强调团队协作： 在企业文化中强调团队协作的重要性，倡导共同努力、共享成果的工作理念。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倡导责任意识： 建立员工对企业的责任感，使每个员工都能深刻理解自己的工作对企业的贡献。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共享成功： 强调成功是整个团队共同努力的结果，通过共享成功经验和荣誉，进一步加强团队凝聚力。</w:t>
      </w:r>
    </w:p>
    <w:p>
      <w:pPr>
        <w:pStyle w:val="Heading2"/>
        <w:ind w:firstLine="560" w:firstLineChars="200"/>
        <w:rPr>
          <w:rFonts w:ascii="仿宋" w:eastAsia="仿宋" w:hAnsi="仿宋" w:cs="仿宋" w:hint="eastAsia"/>
          <w:sz w:val="28"/>
          <w:lang w:eastAsia="zh-CN"/>
        </w:rPr>
      </w:pPr>
      <w:bookmarkStart w:id="28" w:name="_Toc22168"/>
      <w:r>
        <w:rPr>
          <w:rFonts w:ascii="仿宋" w:eastAsia="仿宋" w:hAnsi="仿宋" w:cs="仿宋" w:hint="eastAsia"/>
          <w:sz w:val="28"/>
          <w:lang w:eastAsia="zh-CN"/>
        </w:rPr>
        <w:t>(四)、员工健康与工作平衡</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员工的健康和工作平衡是企业人力资源管理中至关重要的两个方面。建立良好的健康环境和工作平衡，有助于提高员工的工作效能、减轻工作压力，同时增强员工的忠诚度和满意度。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健康管理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员工的身体健康是企业稳定运营的基础，也是提高工作效能的前提。建立健康管理制度包括：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定期体检： 提供定期的健康体检，早发现和预防潜在健康问题，保障员工的身体健康。</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健康教育： 开展健康知识培训，提高员工对健康的认识，鼓励健康生活方式，如合理饮食、适度运动等。</w:t>
      </w:r>
    </w:p>
    <w:p>
      <w:pPr>
        <w:ind w:firstLine="560" w:firstLineChars="200"/>
        <w:rPr>
          <w:rFonts w:ascii="仿宋" w:eastAsia="仿宋" w:hAnsi="仿宋" w:cs="仿宋" w:hint="eastAsia"/>
          <w:sz w:val="28"/>
        </w:rPr>
      </w:pPr>
      <w:r>
        <w:rPr>
          <w:rFonts w:ascii="仿宋" w:eastAsia="仿宋" w:hAnsi="仿宋" w:cs="仿宋" w:hint="eastAsia"/>
          <w:sz w:val="28"/>
          <w:lang w:eastAsia="zh-CN"/>
        </w:rPr>
        <w:t>心理健康支持： 提供心理健康支持服务，包括心理咨询、工作压力管理等，关注员工的心理健康。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职业病防护： 针对特殊行业，建立职业病防护措施，减少员工在工作中可能受到的健康危害。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工作时间与弹性制度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工作平衡是指员工在工作和生活之间能够取得平衡，既能够充分发挥工作潜力，又能够有足够的时间去追求生活中的其他目标。相关做法包括：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提供弹性的工作时间安排，使员工更好地适应个人的作息习惯和生活需求。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远程办公： 鼓励和支持员工在一定条件下进行远程办公，提高工作的灵活性。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提供充足的带薪休假，让员工有足够的时间休息和放松，减轻工作压力。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加班限制： 设定合理的加班限制，防止员工长时间过度工作，保障员工的身心健康。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健康活动与福利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通过组织健康活动和提供福利，企业可以增强员工的团队合作精神，同时提升员工对企业的认同感。相关做法包括：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健身活动： 组织定期的健身活动，如羽毛球比赛、健身培训等，促进员工身体锻炼，增强身体素质。</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健康餐饮：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提供健康餐饮选择，关注员工的饮食健康，推动员工养成健康的饮食习惯。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福利政策： 设立完善的员工福利政策，包括健康保险、子女教育支持等，提升员工的生活品质。</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关注员工的健康与工作平衡，企业可以营造出积极向上、关爱员工的文化氛围，从而提高员工的工作满意度和忠诚度，实现共赢。</w:t>
      </w:r>
    </w:p>
    <w:p>
      <w:pPr>
        <w:pStyle w:val="Heading1"/>
        <w:ind w:firstLine="560" w:firstLineChars="200"/>
        <w:rPr>
          <w:rFonts w:ascii="仿宋" w:eastAsia="仿宋" w:hAnsi="仿宋" w:cs="仿宋" w:hint="eastAsia"/>
          <w:sz w:val="28"/>
          <w:lang w:eastAsia="zh-CN"/>
        </w:rPr>
      </w:pPr>
      <w:bookmarkStart w:id="29" w:name="_Toc18854"/>
      <w:r>
        <w:rPr>
          <w:rFonts w:ascii="仿宋" w:eastAsia="仿宋" w:hAnsi="仿宋" w:cs="仿宋" w:hint="eastAsia"/>
          <w:sz w:val="28"/>
          <w:lang w:eastAsia="zh-CN"/>
        </w:rPr>
        <w:t>六、知识管理与技术创新</w:t>
      </w:r>
      <w:bookmarkEnd w:id="29"/>
    </w:p>
    <w:p>
      <w:pPr>
        <w:pStyle w:val="Heading2"/>
        <w:rPr>
          <w:rFonts w:ascii="仿宋" w:eastAsia="仿宋" w:hAnsi="仿宋" w:cs="仿宋" w:hint="eastAsia"/>
          <w:lang w:eastAsia="zh-CN"/>
        </w:rPr>
      </w:pPr>
      <w:bookmarkStart w:id="30" w:name="_Toc30525"/>
      <w:r>
        <w:rPr>
          <w:rFonts w:ascii="仿宋" w:eastAsia="仿宋" w:hAnsi="仿宋" w:cs="仿宋" w:hint="eastAsia"/>
          <w:lang w:eastAsia="zh-CN"/>
        </w:rPr>
        <w:t>(一)、知识管理体系建设</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当前，企业和组织面临着巨大的信息涌入，要素多样的环境。在这种情况下，建立一套完善的知识管理体系变得至关重要，以确保组织能够高效地获取、共享和利用知识资源，提高竞争力和创新能力。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构建一个有效的知识管理体系，首先需要对组织内的员工进行全面的培训。培训内容应包括如何使用知识管理工具，如何有效地协作和共享信息，以及如何利用数据分析工具提炼有用的见解。通过这样的培训，员工能够更好地适应知识管理体系的运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离不开先进的技术支持。组织需要投资于强大的知识管理软件和平台，确保能够有效地组织和存储各种形式的知识。这些系统应当具备直观友好的用户界面，强大的搜索和分类功能，以及能够集成其他业务工具的能力。技术支持还包括对系统的及时更新和维护，以适应不断变化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文化转变</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的成功需要组织内部的文化得到转变，使知识共享成为一种日常习惯。领导层在这个过程中起到了关键的引导作用。他们需要倡导开放、透明的沟通文化，鼓励员工分享自己的经验和见解。此外，奖励制度和认可机制也应当调整，以更好地激励员工参与知识分享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知识安全与隐私保护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知识管理体系建设中，保护知识的安全性和员工隐私是至关重要的。组织需要采取适当的措施，包括制定权限管理策略、加密敏感信息、并建立监控机制以及定期的安全审查。明确的知识管理政策能够帮助员工了解在知识共享和利用方面的规范，降低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知识管理体系是一个漫长而渐进的过程，其效果需要不断评估和改进。组织应当建立一套科学的评估指标，包括知识流动速度、员工满意度、创新效果等方面。通过数据分析和员工反馈，及时发现问题并进行调整，保持知识管理体系的活力和适应性。</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需要全面考虑人员培训、技术支持、文化转变、知识安全与隐私保护以及效果评估与持续改进等多个方面。只有这样，组织才能够构建出一个真正健全、高效的知识管理体系，为未来的发展提供强有力的支持。在充满挑战的商业环境中，拥有强大的知识管理体系将成为组织持续创新和成功的重要保障。</w:t>
      </w:r>
    </w:p>
    <w:p>
      <w:pPr>
        <w:pStyle w:val="Heading2"/>
        <w:ind w:firstLine="560" w:firstLineChars="200"/>
        <w:rPr>
          <w:rFonts w:ascii="仿宋" w:eastAsia="仿宋" w:hAnsi="仿宋" w:cs="仿宋" w:hint="eastAsia"/>
          <w:sz w:val="28"/>
          <w:lang w:eastAsia="zh-CN"/>
        </w:rPr>
      </w:pPr>
      <w:bookmarkStart w:id="31" w:name="_Toc3747"/>
      <w:r>
        <w:rPr>
          <w:rFonts w:ascii="仿宋" w:eastAsia="仿宋" w:hAnsi="仿宋" w:cs="仿宋" w:hint="eastAsia"/>
          <w:sz w:val="28"/>
          <w:lang w:eastAsia="zh-CN"/>
        </w:rPr>
        <w:t>(二)、技术创新与研发投入</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技术创新和研发投入是企业在竞争激烈的市场中保持竞争优势和实现长期可持续发展的关键要素。在科技不断进步的时代，企业需要不断引入新技术、提升产品和服务的创新水平，以满足市场需求并应对变化。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是企业实现技术创新的主要手段之一。通过增加在研发领域的投资，企业能够获得更多的技术资源、人才和设备，推动科技水平的提升。这不仅有助于产品和服务的创新，还能够提高生产效率，降低成本，并在市场上赢得更大的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技术团队的建设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高效的技术团队是实现技术创新的基础。企业需要吸引并留住高素质的研发人才，通过培训和激励机制激发团队创造力。同时，鼓励跨学科的合作和知识分享，打破部门之间的壁垒，促进全员参与创新的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市场导向的研发策略</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为了确保研发投入能够创造出有市场竞争力的产品和服务，企业需要采取市场导向的研发策略。这包括对市场需求和趋势的敏感性，与客户保持紧密的合作关系，及时调整研发方向，确保研发的成果能够满足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合作与开放创新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与外部机构和企业建立合作伙伴关系是推动技术创新的重要手段之一。通过开放创新，企业可以获取外部的技术资源和创新理念，加速新技术的引入和应用。这种合作不仅有助于降低研发成本，还能够促进产业生态系统的共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伴随着一定的风险，包括技术失败、市场变化等。因此，企业需要建立有效的风险管理机制，及时调整研发计划，最小化潜在的损失。同时，持续改进研发流程和方法，不断提升研发效能，确保企业在快速变化的市场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研发投入是企业实现长期竞争优势的重要推动力。通过增加研发投入、建设高效的技术团队、采取市场导向的研发策略、与外部合作伙伴开展开放创新，企业可以不断提升技术水平，推动产品和服务的创新，适应市场的变化，实现可持续的发展。在这个快速变化的时代，积极投入研发领域将成为企业保持竞争力和创造价值的不可或缺的要素。</w:t>
      </w:r>
    </w:p>
    <w:p>
      <w:pPr>
        <w:pStyle w:val="Heading2"/>
        <w:ind w:firstLine="560" w:firstLineChars="200"/>
        <w:rPr>
          <w:rFonts w:ascii="仿宋" w:eastAsia="仿宋" w:hAnsi="仿宋" w:cs="仿宋" w:hint="eastAsia"/>
          <w:sz w:val="28"/>
          <w:lang w:eastAsia="zh-CN"/>
        </w:rPr>
      </w:pPr>
      <w:bookmarkStart w:id="32" w:name="_Toc2725"/>
      <w:r>
        <w:rPr>
          <w:rFonts w:ascii="仿宋" w:eastAsia="仿宋" w:hAnsi="仿宋" w:cs="仿宋" w:hint="eastAsia"/>
          <w:sz w:val="28"/>
          <w:lang w:eastAsia="zh-CN"/>
        </w:rPr>
        <w:t>(三)、专利申请与技术保护</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在科技不断进步的时代，企业在创新和研发过程中所获得的技术成果需要得到有效的保护，以确保其在市场竞争中的长期优势。专利申请成为企业保护技术创新的主要手段之一。</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专利的定义与种类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一种对于发明创造的独占权利，它不仅给予发明者一定的权益，也为社会创新注入了新的动力。专利分为不同的种类，包括发明专利、实用新型专利和外观设计专利。每种专利类型都有其独特的保护范围和要求，企业在申请专利时需根据实际情况选择适用的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专利申请的流程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是一个相对繁琐的流程，包括发明的提出、检索与分析、起草申请文件、递交申请、审查等环节。在这个过程中，申请者需要充分了解相关法规、技术标准，并确保所提出的发明达到一定的创新水平。专业的专利代理机构或专利律师的参与有助于提高申请的质量，减少审查的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专利的保护期限与范围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是其保护力量的关键因素之一。发明专利的保护期一般为20年，实用新型专利和外观设计专利的保护期分别为10年和15年。这意味着在保护期内，申请者拥有对发明的独占权。然而，在专利保护期结束后，其他企业可以合法地使用该技术。因此，企业需要在专利期限届满前寻找其他方式维持技术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r>
        <w:rPr>
          <w:rFonts w:ascii="仿宋" w:eastAsia="仿宋" w:hAnsi="仿宋" w:cs="仿宋" w:hint="eastAsia"/>
          <w:sz w:val="28"/>
          <w:lang w:eastAsia="zh-CN"/>
        </w:rPr>
        <w:t>专利的地域保护是指专利在一定地理范围内生效。虽然国际上有一些专利合作体系，但在不同国家的专利保护仍然存在一定的差异。因此，企业在全球范围内经营时需要考虑在不同国家或地区分别申请专利。这有助于在全球范围内维护技术的独占权，提高企业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专利的费用与效益分析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和保护并非免费，企业需要在申请、维持和保护专利的过程中支付一定的费用。因此，企业在决定申请专利时需要进行费用与效益的综合分析。这包括了专利的商业价值、市场潜力、技术创新水平等多个因素的综合考虑。在有限的资源下，企业需要权衡投入与产出，确保专利的申请与保护对企业具有实质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专利申请与技术创新的关系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不仅是对技术成果的一种法律保护，也与技术创新密切相关。在申请专利的过程中，企业需要清晰地表达发明的创新点，强调其在技术上的先进性。这促使企业在研发中更注重创新，推动技术水平的提升。同时，专利的申请也为企业创新提供了一定的资金支持，使得企业更有动力进行长期的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专利申请与竞争优势的维护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竞争激烈的环境中，拥有有效的专利可以帮助企业建立和维护竞争优势。专利保护使企业能够独占其创新成果，降低被复制的风险，从而在市场上建立品牌形象。有效的专利战略有助于巩固企业在行业中的地位，吸引更多的合作伙伴和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专利侵权与纠纷解决</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专利保护的同时，企业也需要关注专利侵权的风险。专利侵权可能导致法律纠纷，对企业产生不良影响。因此，企业在申请专利时需要进行充分的专利检索，确保所申请的专利不会侵犯他人的权益。同时，企业还需要建立专业的法务团队，以便在发生纠纷时能够迅速、有效地解决问题。</w:t>
      </w:r>
    </w:p>
    <w:p>
      <w:pPr>
        <w:pStyle w:val="Heading2"/>
        <w:ind w:firstLine="560" w:firstLineChars="200"/>
        <w:rPr>
          <w:rFonts w:ascii="仿宋" w:eastAsia="仿宋" w:hAnsi="仿宋" w:cs="仿宋" w:hint="eastAsia"/>
          <w:sz w:val="28"/>
          <w:lang w:eastAsia="zh-CN"/>
        </w:rPr>
      </w:pPr>
      <w:bookmarkStart w:id="33" w:name="_Toc10222"/>
      <w:r>
        <w:rPr>
          <w:rFonts w:ascii="仿宋" w:eastAsia="仿宋" w:hAnsi="仿宋" w:cs="仿宋" w:hint="eastAsia"/>
          <w:sz w:val="28"/>
          <w:lang w:eastAsia="zh-CN"/>
        </w:rPr>
        <w:t>(四)、人才培养与团队建设</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在当今竞争激烈的商业环境中，企业越来越意识到人才的重要性，而人才培养和团队建设成为实现组织长期成功的关键因素。在这个背景下，人才培养和团队建设的有效实施对于企业的可持续发展至关重要。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是企业为了满足业务需求、提高员工综合素质而采取的一系列有组织、有计划的培训和发展活动。这不仅包括技术培训，还包括领导力、沟通技巧、创新思维等方面的培训。企业通过不断提升员工的专业技能和综合素养，以适应变化莫测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是人才培养的重要组成部分。通过在团队内部建立导师制度，新员工能够更快速地融入团队，掌握工作技能，同时更有机会了解企业文化。对于导师而言，这也是一种领导力的锻炼，促进知识和经验的传承，实现员工间的互动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跨部门轮岗</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为了拓宽员工的视野和经验，企业可以实施跨部门轮岗计划。通过在不同部门的工作经历，员工可以更全面地了解企业的运作机制，培养多方面的能力和技能。这有助于打破部门之间的信息壁垒，促进组织内部的协作与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培养创新思维</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不断发展，创新思维成为企业成功的关键。为了培养创新思维，企业可以通过组织创意工作坊、鼓励员工提出新观点、设立创新奖励等方式。这种培养不仅仅关注技术创新，还包括管理和业务模式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团队建设是通过一系列的活动和培训来提高团队成员之间的合作和协作能力，达到提高整个团队绩效的目的。团队的协同效应可以使企业更具竞争力，因此团队建设也成为了组织发展中的不可或缺的一环。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设立明确的团队目标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团队建设的首要任务是设立明确的团队目标。通过明确的目标，团队成员能够更好地理解组织的战略方向，形成共同的愿景。这有助于提高团队的凝聚力，使成员共同努力实现共同的目标。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促进有效沟通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在团队协作中，沟通是至关重要的。企业可以通过建立开放透明的沟通渠道，鼓励团队成员分享信息和想法。定期的团队会议、在线协作平台等都是促进团队成员有效沟通的工具。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培养团队协作精神</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团队协作精神是团队建设的核心。企业可以通过组织团队活动、制定团队奖励机制等方式，培养团队成员的合作意识。此外，建立公平的激励机制，让每个团队成员都能够分享团队的成功，进一步增强团队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解决团队冲突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在团队协作中，难免会出现一些分歧和冲突。有效解决团队冲突是团队建设的一个重要环节。企业可以通过引入专业的冲突解决机制、提供冲突解决培训等方式，帮助团队成员更好地应对和解决冲突。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是企业实现可持续发展的重要手段。通过培养全面素质的人才，建设高效协作的团队，企业能够更好地适应市场变化，提高创新能力，增强竞争力。在人才激烈争夺的时代，注重人才培养与团队建设将成为企业取得成功的关键因素之一。</w:t>
      </w:r>
    </w:p>
    <w:p>
      <w:pPr>
        <w:pStyle w:val="Heading1"/>
        <w:ind w:firstLine="560" w:firstLineChars="200"/>
        <w:rPr>
          <w:rFonts w:ascii="仿宋" w:eastAsia="仿宋" w:hAnsi="仿宋" w:cs="仿宋" w:hint="eastAsia"/>
          <w:sz w:val="28"/>
          <w:lang w:eastAsia="zh-CN"/>
        </w:rPr>
      </w:pPr>
      <w:bookmarkStart w:id="34" w:name="_Toc21588"/>
      <w:r>
        <w:rPr>
          <w:rFonts w:ascii="仿宋" w:eastAsia="仿宋" w:hAnsi="仿宋" w:cs="仿宋" w:hint="eastAsia"/>
          <w:sz w:val="28"/>
          <w:lang w:eastAsia="zh-CN"/>
        </w:rPr>
        <w:t>七、钴基及钴镍基项目风险评估</w:t>
      </w:r>
      <w:bookmarkEnd w:id="34"/>
    </w:p>
    <w:p>
      <w:pPr>
        <w:pStyle w:val="Heading2"/>
        <w:rPr>
          <w:rFonts w:ascii="仿宋" w:eastAsia="仿宋" w:hAnsi="仿宋" w:cs="仿宋" w:hint="eastAsia"/>
          <w:lang w:eastAsia="zh-CN"/>
        </w:rPr>
      </w:pPr>
      <w:bookmarkStart w:id="35" w:name="_Toc22997"/>
      <w:r>
        <w:rPr>
          <w:rFonts w:ascii="仿宋" w:eastAsia="仿宋" w:hAnsi="仿宋" w:cs="仿宋" w:hint="eastAsia"/>
          <w:lang w:eastAsia="zh-CN"/>
        </w:rPr>
        <w:t>(一)、政策风险分析</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政策风险分析是在钴基及钴镍基项目实施中考虑政府政策变化可能带来的影响和挑战。政策风险分析的一般步骤：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政策环境变化：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首先，分析所处地区的政治和法规环境。政府在不同时间可能会出台新政策、修改法规或者废除旧政策，这可能对钴基及钴镍基项目的经营产生重大影响。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行业监管政策：</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了解行业监管政策的动态变化。某些行业受到特殊监管，政府可能会频繁调整监管标准。钴基及钴镍基项目如果处于受监管行业，需要密切关注相关政策变动。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税收政策：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分析税收政策的可能变化。税收政策的调整可能影响企业的盈利水平。了解企业所在地区的税收政策，包括企业所得税、增值税等，以及是否存在税收优惠政策。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贸易政策：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如果钴基及钴镍基项目涉及跨境贸易，需要考虑国际贸易政策的影响。关税、贸易壁垒、出口管制等因素可能对钴基及钴镍基项目的进出口产生直接影响。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环保和能源政策：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政府对环保和能源政策的调整可能对某些行业产生深远的影响。了解并评估与钴基及钴镍基项目相关的环保法规和能源政策的变化。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6. 劳动力法规：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分析劳动力法规的变动。劳动力法规的改变可能导致劳动力成本的波动，或者对雇佣关系和劳动力管理提出新的要求。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市场准入政策：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了解市场准入政策的情况，特别是对新兴产业或外资企业的市场准入条件。政府对于不同行业的准入标准可能会发生变化。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8. 法律体系的稳定性：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评估所处地区的法律体系的稳定性。法律环境的不稳定可能导致合同不确定性，司法争议的增加等。</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r>
        <w:rPr>
          <w:rFonts w:ascii="仿宋" w:eastAsia="仿宋" w:hAnsi="仿宋" w:cs="仿宋" w:hint="eastAsia"/>
          <w:sz w:val="28"/>
          <w:lang w:eastAsia="zh-CN"/>
        </w:rPr>
        <w:t>9. 政策变动的预测：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尝试预测政府政策的未来变动，可能的方向和趋势。这有助于企业更好地应对潜在的政策风险。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10. 风险缓解策略：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制定针对可能政策风险的应对策略，如建立政府关系、多方沟通、合规性审查等，以降低钴基及钴镍基项目受政策影响的程度。</w:t>
      </w:r>
    </w:p>
    <w:p>
      <w:pPr>
        <w:pStyle w:val="Heading2"/>
        <w:ind w:firstLine="560" w:firstLineChars="200"/>
        <w:rPr>
          <w:rFonts w:ascii="仿宋" w:eastAsia="仿宋" w:hAnsi="仿宋" w:cs="仿宋" w:hint="eastAsia"/>
          <w:sz w:val="28"/>
          <w:lang w:eastAsia="zh-CN"/>
        </w:rPr>
      </w:pPr>
      <w:bookmarkStart w:id="36" w:name="_Toc8937"/>
      <w:r>
        <w:rPr>
          <w:rFonts w:ascii="仿宋" w:eastAsia="仿宋" w:hAnsi="仿宋" w:cs="仿宋" w:hint="eastAsia"/>
          <w:sz w:val="28"/>
          <w:lang w:eastAsia="zh-CN"/>
        </w:rPr>
        <w:t>(二)、社会风险分析</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1.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首先，评估所处地区的社会稳定性。社会动荡、示威抗议、劳工纷争等可能对钴基及钴镍基项目产生负面影响。了解社会的整体稳定水平对风险预测至关重要。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社会关系：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分析钴基及钴镍基项目可能涉及的社会关系网络。了解关键利益相关者、社区居民、非政府组织（NGO）等的态度和期望，以及钴基及钴镍基项目对其可能产生的影响。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社会对钴基及钴镍基项目的接受度：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了解社会对钴基及钴镍基项目的接受度和态度。有时候，钴基及钴镍基项目可能面临来自社区居民或其他利益相关者的抵制。评估社会对钴基及钴镍基项目的整体反应，包括可能的正面和负面反馈。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社会文化背景：</w:t>
      </w:r>
    </w:p>
    <w:p>
      <w:pPr>
        <w:ind w:firstLine="560" w:firstLineChars="200"/>
        <w:rPr>
          <w:rFonts w:ascii="仿宋" w:eastAsia="仿宋" w:hAnsi="仿宋" w:cs="仿宋" w:hint="eastAsia"/>
          <w:sz w:val="28"/>
        </w:rPr>
        <w:sectPr>
          <w:headerReference w:type="default" r:id="rId86"/>
          <w:footerReference w:type="default" r:id="rId87"/>
          <w:type w:val="nextPage"/>
          <w:pgSz w:w="11906" w:h="16838"/>
          <w:pgMar w:top="1440" w:right="1800" w:bottom="1440" w:left="1800" w:header="851" w:footer="992" w:gutter="0"/>
          <w:pgNumType w:start="4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考虑社会文化背景对钴基及钴镍基项目的影响。不同地区有不同的文化价值观念和行为模式，了解并尊重当地文化有助于减少文化冲突和误解。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5. 社会公平和包容性：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评估钴基及钴镍基项目对社会公平和包容性的影响。钴基及钴镍基项目是否能够促进社会的平等和包容，避免对弱势群体的不利影响。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钴基及钴镍基项目是否考虑社会责任和可持续发展原则，以确保钴基及钴镍基项目的可持续性和社会价值。社会责任意识有助于提升钴基及钴镍基项目在社会中的声誉和认可。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7. 社区参与和沟通：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建立有效的社区参与和沟通机制，以确保钴基及钴镍基项目的透明度和社区居民对钴基及钴镍基项目决策的参与。主动与社区进行沟通有助于解决潜在的社会矛盾。</w:t>
      </w:r>
    </w:p>
    <w:p>
      <w:pPr>
        <w:ind w:firstLine="560" w:firstLineChars="200"/>
        <w:rPr>
          <w:rFonts w:ascii="仿宋" w:eastAsia="仿宋" w:hAnsi="仿宋" w:cs="仿宋" w:hint="eastAsia"/>
          <w:sz w:val="28"/>
        </w:rPr>
      </w:pPr>
      <w:r>
        <w:rPr>
          <w:rFonts w:ascii="仿宋" w:eastAsia="仿宋" w:hAnsi="仿宋" w:cs="仿宋" w:hint="eastAsia"/>
          <w:sz w:val="28"/>
          <w:lang w:eastAsia="zh-CN"/>
        </w:rPr>
        <w:t>8. 风险缓解策略：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基于社会风险的评估，制定相应的风险缓解策略。这可能包括社会责任钴基及钴镍基项目、社区投资、利益相关者参与计划等。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9. 社会舆论监测：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监测社会舆论对钴基及钴镍基项目的反应，及时了解社会动态，以便及时做出应对调整。</w:t>
      </w:r>
    </w:p>
    <w:p>
      <w:pPr>
        <w:pStyle w:val="Heading2"/>
        <w:ind w:firstLine="560" w:firstLineChars="200"/>
        <w:rPr>
          <w:rFonts w:ascii="仿宋" w:eastAsia="仿宋" w:hAnsi="仿宋" w:cs="仿宋" w:hint="eastAsia"/>
          <w:sz w:val="28"/>
          <w:lang w:eastAsia="zh-CN"/>
        </w:rPr>
      </w:pPr>
      <w:bookmarkStart w:id="37" w:name="_Toc3540"/>
      <w:r>
        <w:rPr>
          <w:rFonts w:ascii="仿宋" w:eastAsia="仿宋" w:hAnsi="仿宋" w:cs="仿宋" w:hint="eastAsia"/>
          <w:sz w:val="28"/>
          <w:lang w:eastAsia="zh-CN"/>
        </w:rPr>
        <w:t>(三)、市场风险分析</w:t>
      </w:r>
      <w:bookmarkEnd w:id="37"/>
    </w:p>
    <w:p>
      <w:pPr>
        <w:ind w:firstLine="560" w:firstLineChars="200"/>
        <w:rPr>
          <w:rFonts w:ascii="仿宋" w:eastAsia="仿宋" w:hAnsi="仿宋" w:cs="仿宋" w:hint="eastAsia"/>
          <w:sz w:val="28"/>
        </w:rPr>
      </w:pPr>
      <w:r>
        <w:rPr>
          <w:rFonts w:ascii="仿宋" w:eastAsia="仿宋" w:hAnsi="仿宋" w:cs="仿宋" w:hint="eastAsia"/>
          <w:sz w:val="28"/>
          <w:lang w:eastAsia="zh-CN"/>
        </w:rPr>
        <w:t>1. 市场需求波动：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https://d.book118.com/867112045065006054</w:t>
        </w:r>
      </w:hyperlink>
    </w:p>
    <w:p>
      <w:pPr>
        <w:ind w:firstLine="560" w:firstLineChars="200"/>
        <w:rPr>
          <w:rFonts w:ascii="仿宋" w:eastAsia="仿宋" w:hAnsi="仿宋" w:cs="仿宋" w:hint="eastAsia"/>
          <w:sz w:val="28"/>
        </w:rPr>
      </w:pPr>
    </w:p>
    <w:sectPr>
      <w:headerReference w:type="default" r:id="rId89"/>
      <w:footerReference w:type="default" r:id="rId90"/>
      <w:type w:val="nextPage"/>
      <w:pgSz w:w="11906" w:h="16838"/>
      <w:pgMar w:top="1440" w:right="1800" w:bottom="1440" w:left="1800" w:header="851" w:footer="992" w:gutter="0"/>
      <w:pgNumType w:start="43"/>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钴基及钴镍基项目概述报告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870CDB"/>
    <w:rsid w:val="2D870C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67112045065006054"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theme" Target="theme/theme1.xml" /><Relationship Id="rId92"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2024-01-22T01:03:00Z</dcterms:created>
  <dcterms:modified xsi:type="dcterms:W3CDTF">2024-01-22T01:03:22Z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306D36E63A41424F8DC2766F0320E7DF_11</vt:lpwstr>
  </property>
  <property fmtid="{D5CDD505-2E9C-101B-9397-08002B2CF9AE}" pid="3" name="KSOProductBuildVer">
    <vt:lpwstr>2052-12.1.0.16120</vt:lpwstr>
  </property>
</Properties>
</file>