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FirstIndent2"/>
        <w:keepNext w:val="0"/>
        <w:keepLines w:val="0"/>
        <w:pageBreakBefore w:val="0"/>
        <w:widowControl w:val="0"/>
        <w:kinsoku/>
        <w:wordWrap/>
        <w:overflowPunct w:val="0"/>
        <w:topLinePunct w:val="0"/>
        <w:autoSpaceDE/>
        <w:autoSpaceDN/>
        <w:bidi w:val="0"/>
        <w:spacing w:after="0" w:line="578" w:lineRule="exact"/>
        <w:ind w:left="0" w:firstLine="420" w:leftChars="0" w:firstLineChars="200"/>
        <w:jc w:val="both"/>
        <w:textAlignment w:val="auto"/>
      </w:pPr>
      <w:bookmarkStart w:id="0" w:name="_GoBack"/>
      <w:bookmarkEnd w:id="0"/>
    </w:p>
    <w:p>
      <w:pPr>
        <w:pStyle w:val="a"/>
        <w:keepNext w:val="0"/>
        <w:keepLines w:val="0"/>
        <w:pageBreakBefore w:val="0"/>
        <w:widowControl w:val="0"/>
        <w:numPr>
          <w:ilvl w:val="1"/>
          <w:numId w:val="0"/>
        </w:numPr>
        <w:kinsoku/>
        <w:wordWrap/>
        <w:overflowPunct w:val="0"/>
        <w:topLinePunct w:val="0"/>
        <w:autoSpaceDE/>
        <w:autoSpaceDN/>
        <w:bidi w:val="0"/>
        <w:adjustRightInd/>
        <w:snapToGrid/>
        <w:spacing w:beforeLines="0" w:afterLines="0" w:line="578" w:lineRule="exact"/>
        <w:ind w:left="0" w:firstLine="880" w:leftChars="0" w:firstLineChars="200"/>
        <w:jc w:val="both"/>
        <w:textAlignment w:val="auto"/>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特种作业实际操作能力评价技术规范</w:t>
      </w:r>
    </w:p>
    <w:p>
      <w:pPr>
        <w:pStyle w:val="a"/>
        <w:keepNext w:val="0"/>
        <w:keepLines w:val="0"/>
        <w:pageBreakBefore w:val="0"/>
        <w:widowControl w:val="0"/>
        <w:numPr>
          <w:ilvl w:val="1"/>
          <w:numId w:val="0"/>
        </w:numPr>
        <w:kinsoku/>
        <w:wordWrap/>
        <w:overflowPunct w:val="0"/>
        <w:topLinePunct w:val="0"/>
        <w:autoSpaceDE/>
        <w:autoSpaceDN/>
        <w:bidi w:val="0"/>
        <w:adjustRightInd/>
        <w:snapToGrid/>
        <w:spacing w:beforeLines="0" w:afterLines="0" w:line="578" w:lineRule="exact"/>
        <w:ind w:left="0" w:firstLine="880" w:leftChars="0" w:firstLineChars="200"/>
        <w:jc w:val="both"/>
        <w:textAlignment w:val="auto"/>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第3部分：高处作业（</w:t>
      </w:r>
      <w:r>
        <w:rPr>
          <w:rFonts w:ascii="方正小标宋简体" w:eastAsia="方正小标宋简体" w:hAnsi="方正小标宋简体" w:cs="方正小标宋简体" w:hint="eastAsia"/>
          <w:sz w:val="44"/>
          <w:szCs w:val="44"/>
          <w:lang w:val="en-US" w:eastAsia="zh-CN"/>
        </w:rPr>
        <w:t>试行</w:t>
      </w:r>
      <w:r>
        <w:rPr>
          <w:rFonts w:ascii="方正小标宋简体" w:eastAsia="方正小标宋简体" w:hAnsi="方正小标宋简体" w:cs="方正小标宋简体" w:hint="eastAsia"/>
          <w:sz w:val="44"/>
          <w:szCs w:val="44"/>
        </w:rPr>
        <w:t>）</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1  范围</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本文件规定了高处作业人员安全技术实际操作考试技术规范的编写基本原则、编写依据、结构、格式和内容等。</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本文件适用于山东省境内特种作业人员高处作业安全技术实际操作考试。</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bookmarkStart w:id="1" w:name="_Toc128315019"/>
      <w:bookmarkStart w:id="2" w:name="_Toc24884212"/>
      <w:bookmarkStart w:id="3" w:name="_Toc128150552"/>
      <w:bookmarkStart w:id="4" w:name="_Toc17233326"/>
      <w:bookmarkStart w:id="5" w:name="_Toc26986531"/>
      <w:bookmarkStart w:id="6" w:name="_Toc24884219"/>
      <w:bookmarkStart w:id="7" w:name="_Toc97191424"/>
      <w:bookmarkStart w:id="8" w:name="_Toc128315616"/>
      <w:bookmarkStart w:id="9" w:name="_Toc1845"/>
      <w:bookmarkStart w:id="10" w:name="_Toc26986772"/>
      <w:bookmarkStart w:id="11" w:name="_Toc26648466"/>
      <w:bookmarkStart w:id="12" w:name="_Toc17233334"/>
      <w:bookmarkStart w:id="13" w:name="_Toc26718931"/>
      <w:bookmarkStart w:id="14" w:name="_Toc128314989"/>
      <w:r>
        <w:rPr>
          <w:rFonts w:ascii="黑体" w:eastAsia="黑体" w:hAnsi="黑体" w:cs="黑体" w:hint="eastAsia"/>
          <w:sz w:val="32"/>
          <w:szCs w:val="32"/>
        </w:rPr>
        <w:t>2  规范性引用文件</w:t>
      </w:r>
      <w:bookmarkEnd w:id="1"/>
      <w:bookmarkEnd w:id="2"/>
      <w:bookmarkEnd w:id="3"/>
      <w:bookmarkEnd w:id="4"/>
      <w:bookmarkEnd w:id="5"/>
      <w:bookmarkEnd w:id="6"/>
      <w:bookmarkEnd w:id="7"/>
      <w:bookmarkEnd w:id="8"/>
      <w:bookmarkEnd w:id="9"/>
      <w:bookmarkEnd w:id="10"/>
      <w:bookmarkEnd w:id="11"/>
      <w:bookmarkEnd w:id="12"/>
      <w:bookmarkEnd w:id="13"/>
      <w:bookmarkEnd w:id="14"/>
    </w:p>
    <w:sdt>
      <w:sdtPr>
        <w:rPr>
          <w:rFonts w:ascii="仿宋" w:eastAsia="仿宋" w:hAnsi="仿宋" w:cs="仿宋" w:hint="eastAsia"/>
          <w:sz w:val="32"/>
          <w:szCs w:val="32"/>
        </w:rPr>
        <w:id w:val="715848253"/>
        <w:placeholder>
          <w:docPart w:val="{a8a7b2b3-75a6-4ae2-822d-7337c5863b5a}"/>
        </w:placeholder>
        <w:dropDownList w:lastValue="下列文件中的内容通过文中的规范性引用而构成本文件必不可少的条款。其中，注日期的引用文件，仅该日期对应的版本适用于本文件；不注日期的引用文件，其最新版本（包括所有的修改单）适用于本文件。">
          <w:listItem w:value="下列文件中的内容通过文中的规范性引用而构成本文件必不可少的条款。其中，注日期的引用文件，仅该日期对应的版本适用于本文件；不注日期的引用文件，其最新版本（包括所有的修改单）适用于本文件。" w:displayText="下列文件中的内容通过文中的规范性引用而构成本文件必不可少的条款。其中，注日期的引用文件，仅该日期对应的版本适用于本文件；不注日期的引用文件，其最新版本（包括所有的修改单）适用于本文件。"/>
          <w:listItem w:value="本文件没有规范性引用文件。" w:displayText="本文件没有规范性引用文件。"/>
        </w:dropDownList>
      </w:sdtPr>
      <w:sdtEndPr>
        <w:rPr>
          <w:rFonts w:ascii="仿宋" w:eastAsia="仿宋" w:hAnsi="仿宋" w:cs="仿宋" w:hint="eastAsia"/>
          <w:sz w:val="32"/>
          <w:szCs w:val="32"/>
        </w:rPr>
      </w:sdtEndPr>
      <w:sdtContent>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特种作业人员安全技术培训考核管理规定（国家安全生产监督管理总局令 第30号）</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特种作业人员安全技术培训大纲和考核标准</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特种作业安全技术实际操作考试标准（试行）</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特种作业安全技术实际操作考试点设备配备标准（试行）</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bookmarkStart w:id="15" w:name="_Toc128150553"/>
      <w:bookmarkStart w:id="16" w:name="_Toc128315617"/>
      <w:bookmarkStart w:id="17" w:name="_Toc128315020"/>
      <w:bookmarkStart w:id="18" w:name="_Toc10224"/>
      <w:bookmarkStart w:id="19" w:name="_Toc97191425"/>
      <w:bookmarkStart w:id="20" w:name="_Toc128314990"/>
      <w:r>
        <w:rPr>
          <w:rFonts w:ascii="仿宋" w:eastAsia="仿宋" w:hAnsi="仿宋" w:cs="仿宋" w:hint="eastAsia"/>
          <w:sz w:val="32"/>
          <w:szCs w:val="32"/>
        </w:rPr>
        <w:t>GB/T 3608-2008 高处作业分级</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GB2811-2019 头部防护安全帽</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sectPr>
          <w:footerReference w:type="default" r:id="rId5"/>
          <w:pgSz w:w="11906" w:h="16838"/>
          <w:pgMar w:top="2098" w:right="1531" w:bottom="1984" w:left="1531" w:header="851" w:footer="1531" w:gutter="0"/>
          <w:pgNumType w:fmt="decimal" w:start="307"/>
          <w:cols w:num="1" w:space="425"/>
          <w:docGrid w:type="lines" w:linePitch="312" w:charSpace="0"/>
        </w:sectPr>
      </w:pPr>
      <w:r>
        <w:rPr>
          <w:rFonts w:ascii="仿宋" w:eastAsia="仿宋" w:hAnsi="仿宋" w:cs="仿宋" w:hint="eastAsia"/>
          <w:sz w:val="32"/>
          <w:szCs w:val="32"/>
        </w:rPr>
        <w:t>GB6095-2021 坠落防护安全带</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GB5725-2009 安全网</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GB 23525-2009座板式单人吊具悬吊作业安全技术规范</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GB 19155-2019高处作业吊篮</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JGJ 130-2011 建筑施工扣件式钢管脚手架安全技术规范</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GB 51210-2016 建筑施工脚手架安全技术统一标准</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JGJ 164-2008 建筑施工木脚手架安全技术规范</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3  术语和定义</w:t>
      </w:r>
      <w:bookmarkEnd w:id="15"/>
      <w:bookmarkEnd w:id="16"/>
      <w:bookmarkEnd w:id="17"/>
      <w:bookmarkEnd w:id="18"/>
      <w:bookmarkEnd w:id="19"/>
      <w:bookmarkEnd w:id="20"/>
    </w:p>
    <w:sdt>
      <w:sdtPr>
        <w:rPr>
          <w:rFonts w:ascii="仿宋" w:eastAsia="仿宋" w:hAnsi="仿宋" w:cs="仿宋" w:hint="eastAsia"/>
          <w:sz w:val="32"/>
          <w:szCs w:val="32"/>
        </w:rPr>
        <w:id w:val="-1909835108"/>
        <w:placeholder>
          <w:docPart w:val="{13d00882-7eaa-4659-bde2-dabb788f90fe}"/>
        </w:placeholder>
        <w:comboBox w:lastValue="下列术语和定义适用于本文件。">
          <w:listItem w:value="请选择适当的引导语" w:displayText="请选择适当的引导语"/>
          <w:listItem w:value="下列术语和定义适用于本文件。" w:displayText="下列术语和定义适用于本文件。"/>
          <w:listItem w:value="……界定的术语和定义适用于本文件。" w:displayText="……界定的术语和定义适用于本文件。"/>
          <w:listItem w:value="……界定的以及下列术语和定义适用于本文件。" w:displayText="……界定的以及下列术语和定义适用于本文件。"/>
          <w:listItem w:value="本文件没有需要界定的术语和定义。" w:displayText="本文件没有需要界定的术语和定义。"/>
        </w:comboBox>
      </w:sdtPr>
      <w:sdtEndPr>
        <w:rPr>
          <w:rFonts w:ascii="仿宋" w:eastAsia="仿宋" w:hAnsi="仿宋" w:cs="仿宋" w:hint="eastAsia"/>
          <w:sz w:val="32"/>
          <w:szCs w:val="32"/>
        </w:rPr>
      </w:sdtEndPr>
      <w:sdtContent>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bookmarkStart w:id="21" w:name="_Toc26986532"/>
          <w:bookmarkEnd w:id="21"/>
          <w:r>
            <w:rPr>
              <w:rFonts w:ascii="仿宋" w:eastAsia="仿宋" w:hAnsi="仿宋" w:cs="仿宋" w:hint="eastAsia"/>
              <w:sz w:val="32"/>
              <w:szCs w:val="32"/>
            </w:rPr>
            <w:t>下列术语和定义适用于本文件。</w:t>
          </w:r>
        </w:p>
      </w:sdtContent>
    </w:sdt>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bookmarkStart w:id="22" w:name="_Toc15803"/>
      <w:r>
        <w:rPr>
          <w:rFonts w:ascii="黑体" w:eastAsia="黑体" w:hAnsi="黑体" w:cs="黑体" w:hint="eastAsia"/>
          <w:sz w:val="32"/>
          <w:szCs w:val="32"/>
        </w:rPr>
        <w:t xml:space="preserve">3.1  特种作业 </w:t>
      </w:r>
      <w:bookmarkEnd w:id="22"/>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容易发生事故，对操作者本人、他人的安全健康及设备、设施的安全可能造成重大危害的作业。</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bookmarkStart w:id="23" w:name="_Toc469"/>
      <w:r>
        <w:rPr>
          <w:rFonts w:ascii="黑体" w:eastAsia="黑体" w:hAnsi="黑体" w:cs="黑体" w:hint="eastAsia"/>
          <w:sz w:val="32"/>
          <w:szCs w:val="32"/>
        </w:rPr>
        <w:t xml:space="preserve">3.2  特种作业人员 </w:t>
      </w:r>
      <w:bookmarkEnd w:id="23"/>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直接从事特种作业的从业人员。</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bookmarkStart w:id="24" w:name="_Toc466292342"/>
      <w:bookmarkStart w:id="25" w:name="_Toc128315618"/>
      <w:bookmarkStart w:id="26" w:name="_Toc128314991"/>
      <w:bookmarkStart w:id="27" w:name="_Toc128315021"/>
      <w:bookmarkStart w:id="28" w:name="_Toc128150554"/>
      <w:bookmarkStart w:id="29" w:name="_Toc466293830"/>
      <w:bookmarkStart w:id="30" w:name="_Toc27692"/>
      <w:r>
        <w:rPr>
          <w:rFonts w:ascii="黑体" w:eastAsia="黑体" w:hAnsi="黑体" w:cs="黑体" w:hint="eastAsia"/>
          <w:sz w:val="32"/>
          <w:szCs w:val="32"/>
        </w:rPr>
        <w:t>3.3  高处作业</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在距坠落高度基准面2m或2m以上，有可能坠落的高处进行的作业。</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3.4  登高架设作业</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在高处从事脚手架、跨越架架设或拆除的作业。</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3.5  悬吊下降系统</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通过手控下降器沿工作绳将座板下移或固定在任意高度进行作业的工作系统。</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sectPr>
          <w:footerReference w:type="default" r:id="rId6"/>
          <w:type w:val="nextPage"/>
          <w:pgSz w:w="11906" w:h="16838"/>
          <w:pgMar w:top="2098" w:right="1531" w:bottom="1984" w:left="1531" w:header="851" w:footer="1531" w:gutter="0"/>
          <w:pgNumType w:fmt="decimal" w:start="308"/>
          <w:cols w:num="1" w:space="425"/>
          <w:titlePg w:val="0"/>
          <w:docGrid w:type="lines" w:linePitch="312" w:charSpace="0"/>
        </w:sectPr>
      </w:pPr>
      <w:r>
        <w:rPr>
          <w:rFonts w:ascii="黑体" w:eastAsia="黑体" w:hAnsi="黑体" w:cs="黑体" w:hint="eastAsia"/>
          <w:sz w:val="32"/>
          <w:szCs w:val="32"/>
        </w:rPr>
        <w:t xml:space="preserve">3.6  柔性导轨 </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固定在挂点装置上，沿作业面敷设，带自锁器，发生坠落时承担人体冲击力的长绳。亦称“生命线</w:t>
      </w:r>
      <w:r>
        <w:rPr>
          <w:rFonts w:ascii="仿宋" w:eastAsia="仿宋" w:hAnsi="仿宋" w:cs="仿宋" w:hint="eastAsia"/>
          <w:sz w:val="32"/>
          <w:szCs w:val="32"/>
          <w:lang w:eastAsia="zh-CN"/>
        </w:rPr>
        <w:t>（</w:t>
      </w:r>
      <w:r>
        <w:rPr>
          <w:rFonts w:ascii="仿宋" w:eastAsia="仿宋" w:hAnsi="仿宋" w:cs="仿宋" w:hint="eastAsia"/>
          <w:sz w:val="32"/>
          <w:szCs w:val="32"/>
        </w:rPr>
        <w:t>绳</w:t>
      </w:r>
      <w:r>
        <w:rPr>
          <w:rFonts w:ascii="仿宋" w:eastAsia="仿宋" w:hAnsi="仿宋" w:cs="仿宋" w:hint="eastAsia"/>
          <w:sz w:val="32"/>
          <w:szCs w:val="32"/>
          <w:lang w:eastAsia="zh-CN"/>
        </w:rPr>
        <w:t>）</w:t>
      </w:r>
      <w:r>
        <w:rPr>
          <w:rFonts w:ascii="仿宋" w:eastAsia="仿宋" w:hAnsi="仿宋" w:cs="仿宋" w:hint="eastAsia"/>
          <w:sz w:val="32"/>
          <w:szCs w:val="32"/>
        </w:rPr>
        <w:t>”。</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黑体" w:eastAsia="黑体" w:hAnsi="黑体" w:cs="黑体" w:hint="eastAsia"/>
          <w:sz w:val="32"/>
          <w:szCs w:val="32"/>
        </w:rPr>
        <w:t>3.7  挂点装置</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固定工作绳或柔性导轨的装置。</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3.8  锚固点</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用于其上固定生命线、引入线或系索的固定点。</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3.9  坠落保护系统</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发生坠落时保护作业人员安全的系统。</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 xml:space="preserve">3.10  座板式单人吊具悬吊 </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个体使用的具有防坠落功能、沿建筑物立面自上而下移动的无动力载人作业用具。</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3.11  吊篮</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悬挂机构架设于建筑物或构筑物上，提升机驱动悬吊平台通过钢丝绳沿立面上下运行的一种非常设悬挂设备。</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rPr>
      </w:pPr>
      <w:r>
        <w:rPr>
          <w:rFonts w:ascii="黑体" w:eastAsia="黑体" w:hAnsi="黑体" w:cs="黑体" w:hint="eastAsia"/>
          <w:sz w:val="32"/>
          <w:szCs w:val="32"/>
        </w:rPr>
        <w:t>3.12  悬吊平台</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四周装有护栏，用于搭载作业人员、工具和材料进行高处作业的悬挂装置。</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 xml:space="preserve">3.13  悬空作业 </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在周边临空状态下进行的高处作业。</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3.14  移动式操作平台</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sectPr>
          <w:footerReference w:type="default" r:id="rId7"/>
          <w:type w:val="nextPage"/>
          <w:pgSz w:w="11906" w:h="16838"/>
          <w:pgMar w:top="2098" w:right="1531" w:bottom="1984" w:left="1531" w:header="851" w:footer="1531" w:gutter="0"/>
          <w:pgNumType w:fmt="decimal" w:start="309"/>
          <w:cols w:num="1" w:space="425"/>
          <w:titlePg w:val="0"/>
          <w:docGrid w:type="lines" w:linePitch="312" w:charSpace="0"/>
        </w:sectPr>
      </w:pPr>
      <w:r>
        <w:rPr>
          <w:rFonts w:ascii="仿宋" w:eastAsia="仿宋" w:hAnsi="仿宋" w:cs="仿宋" w:hint="eastAsia"/>
          <w:sz w:val="32"/>
          <w:szCs w:val="32"/>
        </w:rPr>
        <w:t>可以搬移的用于结构施工、室内装饰和水电安装等的操作平台。</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 xml:space="preserve">3.15  人工拆除 </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人工采用非动力性工具进行的作业。</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r>
        <w:rPr>
          <w:rFonts w:ascii="黑体" w:eastAsia="黑体" w:hAnsi="黑体" w:cs="黑体" w:hint="eastAsia"/>
          <w:sz w:val="32"/>
          <w:szCs w:val="32"/>
        </w:rPr>
        <w:t>4  考试</w:t>
      </w:r>
      <w:bookmarkEnd w:id="24"/>
      <w:bookmarkEnd w:id="25"/>
      <w:bookmarkEnd w:id="26"/>
      <w:bookmarkEnd w:id="27"/>
      <w:bookmarkEnd w:id="28"/>
      <w:bookmarkEnd w:id="29"/>
      <w:r>
        <w:rPr>
          <w:rFonts w:ascii="黑体" w:eastAsia="黑体" w:hAnsi="黑体" w:cs="黑体" w:hint="eastAsia"/>
          <w:sz w:val="32"/>
          <w:szCs w:val="32"/>
        </w:rPr>
        <w:t>科目</w:t>
      </w:r>
      <w:bookmarkEnd w:id="30"/>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bookmarkStart w:id="31" w:name="_Toc24835"/>
      <w:r>
        <w:rPr>
          <w:rFonts w:ascii="黑体" w:eastAsia="黑体" w:hAnsi="黑体" w:cs="黑体" w:hint="eastAsia"/>
          <w:sz w:val="32"/>
          <w:szCs w:val="32"/>
        </w:rPr>
        <w:t>4.1  考试类别</w:t>
      </w:r>
      <w:bookmarkEnd w:id="31"/>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登高架设作业安全技术，按照附录A的要求；</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高处安装、维护、拆除作业安全技术，按照附录B的要求；</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bookmarkStart w:id="32" w:name="_Toc128315023"/>
      <w:bookmarkStart w:id="33" w:name="_Toc128314993"/>
      <w:bookmarkStart w:id="34" w:name="_Toc128315620"/>
      <w:bookmarkStart w:id="35" w:name="_Toc17690"/>
      <w:bookmarkStart w:id="36" w:name="_Toc128150556"/>
      <w:r>
        <w:rPr>
          <w:rFonts w:ascii="黑体" w:eastAsia="黑体" w:hAnsi="黑体" w:cs="黑体" w:hint="eastAsia"/>
          <w:sz w:val="32"/>
          <w:szCs w:val="32"/>
        </w:rPr>
        <w:t>4.2  主要科目</w:t>
      </w:r>
      <w:bookmarkEnd w:id="32"/>
      <w:bookmarkEnd w:id="33"/>
      <w:bookmarkEnd w:id="34"/>
      <w:bookmarkEnd w:id="35"/>
      <w:bookmarkEnd w:id="36"/>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安全用具使用（K1）；</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安全操作技术（K2）；</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作业现场安全隐患排除（K3）；</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作业现场应急处置（K4）。</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bookmarkStart w:id="37" w:name="_Toc128315032"/>
      <w:bookmarkStart w:id="38" w:name="_Toc128315629"/>
      <w:bookmarkStart w:id="39" w:name="_Toc128315002"/>
      <w:bookmarkStart w:id="40" w:name="_Toc466293831"/>
      <w:bookmarkStart w:id="41" w:name="_Toc466292343"/>
      <w:bookmarkStart w:id="42" w:name="_Toc128150565"/>
      <w:bookmarkStart w:id="43" w:name="_Toc5238"/>
      <w:r>
        <w:rPr>
          <w:rFonts w:ascii="黑体" w:eastAsia="黑体" w:hAnsi="黑体" w:cs="黑体" w:hint="eastAsia"/>
          <w:sz w:val="32"/>
          <w:szCs w:val="32"/>
        </w:rPr>
        <w:t>5  考试成绩及时间</w:t>
      </w:r>
      <w:bookmarkEnd w:id="37"/>
      <w:bookmarkEnd w:id="38"/>
      <w:bookmarkEnd w:id="39"/>
      <w:bookmarkEnd w:id="40"/>
      <w:bookmarkEnd w:id="41"/>
      <w:bookmarkEnd w:id="42"/>
      <w:bookmarkEnd w:id="43"/>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实操考试成绩总分值为100分，80分（含）以上为考试合格；若考题中设置有否决项，否决项未通过，则实操考试不合格。考试科目K1、K2、K3和K4的分值权重分别为20%、60%、10%、10%。</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登高架设考试时间为60分钟，考试科目K1用时为5分钟，K2用时为45分钟，K3用时5分钟，K4用时5分钟。</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高处安装、维护、拆除考试时间为45分钟，考试科目K1用时为5分钟，K2用时为30分钟，K3用时5分钟，K4用时5分钟。</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sectPr>
          <w:footerReference w:type="default" r:id="rId8"/>
          <w:type w:val="nextPage"/>
          <w:pgSz w:w="11906" w:h="16838"/>
          <w:pgMar w:top="2098" w:right="1531" w:bottom="1984" w:left="1531" w:header="851" w:footer="1531" w:gutter="0"/>
          <w:pgNumType w:fmt="decimal" w:start="310"/>
          <w:cols w:num="1" w:space="425"/>
          <w:titlePg w:val="0"/>
          <w:docGrid w:type="lines" w:linePitch="312" w:charSpace="0"/>
        </w:sectPr>
      </w:pPr>
      <w:bookmarkStart w:id="44" w:name="_Toc128315630"/>
      <w:bookmarkStart w:id="45" w:name="_Toc466293832"/>
      <w:bookmarkStart w:id="46" w:name="_Toc466292344"/>
      <w:bookmarkStart w:id="47" w:name="_Toc128315003"/>
      <w:bookmarkStart w:id="48" w:name="_Toc10541"/>
      <w:bookmarkStart w:id="49" w:name="_Toc128150566"/>
      <w:bookmarkStart w:id="50" w:name="_Toc128315033"/>
      <w:r>
        <w:rPr>
          <w:rFonts w:ascii="黑体" w:eastAsia="黑体" w:hAnsi="黑体" w:cs="黑体" w:hint="eastAsia"/>
          <w:sz w:val="32"/>
          <w:szCs w:val="32"/>
        </w:rPr>
        <w:t>6  考试方式</w:t>
      </w:r>
      <w:bookmarkEnd w:id="44"/>
      <w:bookmarkEnd w:id="45"/>
      <w:bookmarkEnd w:id="46"/>
      <w:bookmarkEnd w:id="47"/>
      <w:bookmarkEnd w:id="48"/>
      <w:bookmarkEnd w:id="49"/>
      <w:bookmarkEnd w:id="50"/>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bookmarkStart w:id="51" w:name="_Toc466292345"/>
      <w:bookmarkStart w:id="52" w:name="_Toc128154170"/>
      <w:bookmarkStart w:id="53" w:name="_Toc466293833"/>
      <w:bookmarkStart w:id="54" w:name="_Toc128315556"/>
      <w:bookmarkStart w:id="55" w:name="_Toc16790"/>
      <w:bookmarkStart w:id="56" w:name="_Toc128150567"/>
      <w:bookmarkStart w:id="57" w:name="_Toc466293836"/>
      <w:bookmarkStart w:id="58" w:name="_Toc466292348"/>
      <w:bookmarkStart w:id="59" w:name="_Toc128315004"/>
      <w:bookmarkStart w:id="60" w:name="_Toc128315631"/>
      <w:bookmarkStart w:id="61" w:name="_Toc128315034"/>
      <w:r>
        <w:rPr>
          <w:rFonts w:ascii="黑体" w:eastAsia="黑体" w:hAnsi="黑体" w:cs="黑体" w:hint="eastAsia"/>
          <w:sz w:val="32"/>
          <w:szCs w:val="32"/>
        </w:rPr>
        <w:t>6.1  实物考试</w:t>
      </w:r>
      <w:bookmarkEnd w:id="51"/>
      <w:bookmarkEnd w:id="52"/>
      <w:bookmarkEnd w:id="53"/>
      <w:bookmarkEnd w:id="54"/>
      <w:bookmarkEnd w:id="55"/>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根据已给定课题的任务，让考生在提供的实物设备中选择合适的设备完成考试任务，由考评员根据评分标准要求评分。</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bookmarkStart w:id="62" w:name="_Toc128315557"/>
      <w:bookmarkStart w:id="63" w:name="_Toc128154171"/>
      <w:bookmarkStart w:id="64" w:name="_Toc6110"/>
      <w:bookmarkStart w:id="65" w:name="_Toc466293834"/>
      <w:bookmarkStart w:id="66" w:name="_Toc466292346"/>
      <w:r>
        <w:rPr>
          <w:rFonts w:ascii="黑体" w:eastAsia="黑体" w:hAnsi="黑体" w:cs="黑体" w:hint="eastAsia"/>
          <w:sz w:val="32"/>
          <w:szCs w:val="32"/>
        </w:rPr>
        <w:t>6.2  实物电子化考试</w:t>
      </w:r>
      <w:bookmarkEnd w:id="62"/>
      <w:bookmarkEnd w:id="63"/>
      <w:bookmarkEnd w:id="64"/>
      <w:bookmarkEnd w:id="65"/>
      <w:bookmarkEnd w:id="66"/>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r>
        <w:rPr>
          <w:rFonts w:ascii="仿宋" w:eastAsia="仿宋" w:hAnsi="仿宋" w:cs="仿宋" w:hint="eastAsia"/>
          <w:sz w:val="32"/>
          <w:szCs w:val="32"/>
        </w:rPr>
        <w:t>在配备实物设备的基础上，将实物设备已进行电子化改造，由考试终端识别系统根据评分标准要求评分。</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黑体" w:eastAsia="黑体" w:hAnsi="黑体" w:cs="黑体"/>
          <w:sz w:val="32"/>
          <w:szCs w:val="32"/>
        </w:rPr>
      </w:pPr>
      <w:bookmarkStart w:id="67" w:name="_Toc3309"/>
      <w:r>
        <w:rPr>
          <w:rFonts w:ascii="黑体" w:eastAsia="黑体" w:hAnsi="黑体" w:cs="黑体" w:hint="eastAsia"/>
          <w:sz w:val="32"/>
          <w:szCs w:val="32"/>
        </w:rPr>
        <w:t>7  考试</w:t>
      </w:r>
      <w:bookmarkEnd w:id="56"/>
      <w:bookmarkEnd w:id="57"/>
      <w:bookmarkEnd w:id="58"/>
      <w:bookmarkEnd w:id="59"/>
      <w:bookmarkEnd w:id="60"/>
      <w:bookmarkEnd w:id="61"/>
      <w:bookmarkEnd w:id="67"/>
      <w:r>
        <w:rPr>
          <w:rFonts w:ascii="黑体" w:eastAsia="黑体" w:hAnsi="黑体" w:cs="黑体" w:hint="eastAsia"/>
          <w:sz w:val="32"/>
          <w:szCs w:val="32"/>
        </w:rPr>
        <w:t>准备</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bookmarkStart w:id="68" w:name="_Toc466292349"/>
      <w:r>
        <w:rPr>
          <w:rFonts w:ascii="黑体" w:eastAsia="黑体" w:hAnsi="黑体" w:cs="黑体" w:hint="eastAsia"/>
          <w:sz w:val="32"/>
          <w:szCs w:val="32"/>
        </w:rPr>
        <w:t xml:space="preserve">7.1  </w:t>
      </w:r>
      <w:r>
        <w:rPr>
          <w:rFonts w:ascii="仿宋" w:eastAsia="仿宋" w:hAnsi="仿宋" w:cs="仿宋" w:hint="eastAsia"/>
          <w:sz w:val="32"/>
          <w:szCs w:val="32"/>
        </w:rPr>
        <w:t>实操考试科目K1、K2、K3和K4应在一个考区分别设立四个分考场进行考试</w:t>
      </w:r>
      <w:bookmarkEnd w:id="68"/>
      <w:r>
        <w:rPr>
          <w:rFonts w:ascii="仿宋" w:eastAsia="仿宋" w:hAnsi="仿宋" w:cs="仿宋" w:hint="eastAsia"/>
          <w:sz w:val="32"/>
          <w:szCs w:val="32"/>
        </w:rPr>
        <w:t>，K1和K4可以登高架设</w:t>
      </w:r>
      <w:r>
        <w:rPr>
          <w:rFonts w:ascii="仿宋" w:eastAsia="仿宋" w:hAnsi="仿宋" w:cs="仿宋" w:hint="eastAsia"/>
          <w:color w:val="000000" w:themeColor="text1"/>
          <w:sz w:val="32"/>
          <w:szCs w:val="32"/>
        </w:rPr>
        <w:t>作业实</w:t>
      </w:r>
      <w:r>
        <w:rPr>
          <w:rFonts w:ascii="仿宋" w:eastAsia="仿宋" w:hAnsi="仿宋" w:cs="仿宋" w:hint="eastAsia"/>
          <w:sz w:val="32"/>
          <w:szCs w:val="32"/>
        </w:rPr>
        <w:t>操考试与高处安装、维护、拆除作业实操考试共用。</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bookmarkStart w:id="69" w:name="_Toc466292350"/>
      <w:r>
        <w:rPr>
          <w:rFonts w:ascii="黑体" w:eastAsia="黑体" w:hAnsi="黑体" w:cs="黑体" w:hint="eastAsia"/>
          <w:sz w:val="32"/>
          <w:szCs w:val="32"/>
        </w:rPr>
        <w:t xml:space="preserve">7.2  </w:t>
      </w:r>
      <w:r>
        <w:rPr>
          <w:rFonts w:ascii="仿宋" w:eastAsia="仿宋" w:hAnsi="仿宋" w:cs="仿宋" w:hint="eastAsia"/>
          <w:sz w:val="32"/>
          <w:szCs w:val="32"/>
        </w:rPr>
        <w:t>应在实操考试入口设置候考区。</w:t>
      </w:r>
      <w:bookmarkEnd w:id="69"/>
      <w:r>
        <w:rPr>
          <w:rFonts w:ascii="仿宋" w:eastAsia="仿宋" w:hAnsi="仿宋" w:cs="仿宋" w:hint="eastAsia"/>
          <w:sz w:val="32"/>
          <w:szCs w:val="32"/>
        </w:rPr>
        <w:t>每个考生均需经过身份验证后方可考试。</w:t>
      </w:r>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bookmarkStart w:id="70" w:name="_Toc466292351"/>
      <w:r>
        <w:rPr>
          <w:rFonts w:ascii="黑体" w:eastAsia="黑体" w:hAnsi="黑体" w:cs="黑体" w:hint="eastAsia"/>
          <w:sz w:val="32"/>
          <w:szCs w:val="32"/>
        </w:rPr>
        <w:t xml:space="preserve">7.3  </w:t>
      </w:r>
      <w:r>
        <w:rPr>
          <w:rFonts w:ascii="仿宋" w:eastAsia="仿宋" w:hAnsi="仿宋" w:cs="仿宋" w:hint="eastAsia"/>
          <w:sz w:val="32"/>
          <w:szCs w:val="32"/>
        </w:rPr>
        <w:t>各科目考区除需配备必须的考试设备外，还要配备其它工具和材料，并一起摆放在展示柜中。用具和材料需明码固定摆放整齐，具体数量应根据预估考试数量情况合理设置。</w:t>
      </w:r>
      <w:bookmarkEnd w:id="70"/>
    </w:p>
    <w:p>
      <w:pPr>
        <w:keepNext w:val="0"/>
        <w:keepLines w:val="0"/>
        <w:pageBreakBefore w:val="0"/>
        <w:widowControl w:val="0"/>
        <w:kinsoku/>
        <w:wordWrap/>
        <w:overflowPunct w:val="0"/>
        <w:topLinePunct w:val="0"/>
        <w:autoSpaceDE/>
        <w:autoSpaceDN/>
        <w:bidi w:val="0"/>
        <w:spacing w:line="578" w:lineRule="exact"/>
        <w:ind w:left="0" w:firstLine="640" w:leftChars="0" w:firstLineChars="200"/>
        <w:jc w:val="both"/>
        <w:textAlignment w:val="auto"/>
        <w:rPr>
          <w:rFonts w:ascii="仿宋" w:eastAsia="仿宋" w:hAnsi="仿宋" w:cs="仿宋"/>
          <w:sz w:val="32"/>
          <w:szCs w:val="32"/>
        </w:rPr>
      </w:pPr>
      <w:bookmarkStart w:id="71" w:name="_Toc466292352"/>
      <w:r>
        <w:rPr>
          <w:rFonts w:ascii="黑体" w:eastAsia="黑体" w:hAnsi="黑体" w:cs="黑体" w:hint="eastAsia"/>
          <w:sz w:val="32"/>
          <w:szCs w:val="32"/>
        </w:rPr>
        <w:t xml:space="preserve">7.4  </w:t>
      </w:r>
      <w:r>
        <w:rPr>
          <w:rFonts w:ascii="仿宋" w:eastAsia="仿宋" w:hAnsi="仿宋" w:cs="仿宋" w:hint="eastAsia"/>
          <w:sz w:val="32"/>
          <w:szCs w:val="32"/>
        </w:rPr>
        <w:t>按照每个考试科目中的各考试项目的功能用途确定各项目的作业面积，并根据参加考试人员的预估数量确定各项目的工位数。为确保各考试科目及各考试项目的安全与环境文明，四周设置相应的警戒线和防护设施。</w:t>
      </w:r>
      <w:bookmarkEnd w:id="71"/>
    </w:p>
    <w:p>
      <w:pPr>
        <w:keepNext w:val="0"/>
        <w:keepLines w:val="0"/>
        <w:pageBreakBefore w:val="0"/>
        <w:widowControl w:val="0"/>
        <w:kinsoku/>
        <w:wordWrap/>
        <w:overflowPunct w:val="0"/>
        <w:topLinePunct w:val="0"/>
        <w:autoSpaceDE/>
        <w:autoSpaceDN/>
        <w:bidi w:val="0"/>
        <w:spacing w:line="560" w:lineRule="exact"/>
        <w:ind w:firstLine="640" w:firstLineChars="200"/>
        <w:rPr>
          <w:rFonts w:ascii="仿宋" w:eastAsia="仿宋" w:hAnsi="仿宋" w:cs="仿宋"/>
          <w:sz w:val="32"/>
          <w:szCs w:val="32"/>
        </w:rPr>
      </w:pPr>
    </w:p>
    <w:p>
      <w:pPr>
        <w:keepNext w:val="0"/>
        <w:keepLines w:val="0"/>
        <w:pageBreakBefore w:val="0"/>
        <w:widowControl w:val="0"/>
        <w:kinsoku/>
        <w:wordWrap/>
        <w:overflowPunct w:val="0"/>
        <w:topLinePunct w:val="0"/>
        <w:autoSpaceDE/>
        <w:autoSpaceDN/>
        <w:bidi w:val="0"/>
        <w:spacing w:line="560" w:lineRule="exact"/>
        <w:ind w:firstLine="640" w:firstLineChars="200"/>
        <w:rPr>
          <w:rFonts w:ascii="仿宋" w:eastAsia="仿宋" w:hAnsi="仿宋" w:cs="仿宋"/>
          <w:sz w:val="32"/>
          <w:szCs w:val="32"/>
        </w:rPr>
      </w:pPr>
    </w:p>
    <w:p>
      <w:pPr>
        <w:pStyle w:val="BodyTextFirstIndent2"/>
        <w:keepNext w:val="0"/>
        <w:keepLines w:val="0"/>
        <w:pageBreakBefore w:val="0"/>
        <w:widowControl w:val="0"/>
        <w:kinsoku/>
        <w:wordWrap/>
        <w:overflowPunct w:val="0"/>
        <w:topLinePunct w:val="0"/>
        <w:autoSpaceDE/>
        <w:autoSpaceDN/>
        <w:bidi w:val="0"/>
        <w:ind w:firstLine="640"/>
        <w:rPr>
          <w:rFonts w:ascii="仿宋" w:eastAsia="仿宋" w:hAnsi="仿宋" w:cs="仿宋"/>
          <w:sz w:val="32"/>
          <w:szCs w:val="32"/>
        </w:rPr>
        <w:sectPr>
          <w:footerReference w:type="default" r:id="rId9"/>
          <w:type w:val="nextPage"/>
          <w:pgSz w:w="11906" w:h="16838"/>
          <w:pgMar w:top="2098" w:right="1531" w:bottom="1984" w:left="1531" w:header="851" w:footer="1531" w:gutter="0"/>
          <w:pgNumType w:fmt="decimal" w:start="311"/>
          <w:cols w:num="1" w:space="425"/>
          <w:titlePg w:val="0"/>
          <w:docGrid w:type="lines" w:linePitch="312" w:charSpace="0"/>
        </w:sectPr>
      </w:pPr>
    </w:p>
    <w:p>
      <w:pPr>
        <w:pStyle w:val="a0"/>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附录A</w:t>
      </w:r>
    </w:p>
    <w:p>
      <w:pPr>
        <w:pStyle w:val="a0"/>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登高架设作业安全技术实际操作考试</w:t>
      </w:r>
    </w:p>
    <w:p>
      <w:pPr>
        <w:pStyle w:val="a4"/>
        <w:keepNext w:val="0"/>
        <w:keepLines w:val="0"/>
        <w:pageBreakBefore w:val="0"/>
        <w:widowControl w:val="0"/>
        <w:numPr>
          <w:ilvl w:val="1"/>
          <w:numId w:val="0"/>
        </w:numPr>
        <w:kinsoku/>
        <w:wordWrap/>
        <w:overflowPunct w:val="0"/>
        <w:topLinePunct w:val="0"/>
        <w:autoSpaceDE/>
        <w:autoSpaceDN/>
        <w:bidi w:val="0"/>
        <w:spacing w:before="156" w:after="156"/>
        <w:ind w:firstLine="640" w:firstLineChars="200"/>
        <w:rPr>
          <w:rFonts w:hAnsi="黑体" w:cs="黑体" w:hint="eastAsia"/>
          <w:color w:val="000000" w:themeColor="text1"/>
          <w:sz w:val="32"/>
          <w:szCs w:val="32"/>
        </w:rPr>
      </w:pPr>
      <w:bookmarkStart w:id="72" w:name="_Toc466293838"/>
      <w:bookmarkStart w:id="73" w:name="_Toc466292354"/>
    </w:p>
    <w:p>
      <w:pPr>
        <w:pStyle w:val="a4"/>
        <w:keepNext w:val="0"/>
        <w:keepLines w:val="0"/>
        <w:pageBreakBefore w:val="0"/>
        <w:widowControl w:val="0"/>
        <w:numPr>
          <w:ilvl w:val="1"/>
          <w:numId w:val="0"/>
        </w:numPr>
        <w:kinsoku/>
        <w:wordWrap/>
        <w:overflowPunct w:val="0"/>
        <w:topLinePunct w:val="0"/>
        <w:autoSpaceDE/>
        <w:autoSpaceDN/>
        <w:bidi w:val="0"/>
        <w:spacing w:before="156" w:after="156"/>
        <w:ind w:firstLine="640" w:firstLineChars="200"/>
        <w:rPr>
          <w:rFonts w:hAnsi="黑体" w:cs="黑体"/>
          <w:color w:val="000000" w:themeColor="text1"/>
          <w:sz w:val="32"/>
          <w:szCs w:val="32"/>
        </w:rPr>
      </w:pPr>
      <w:r>
        <w:rPr>
          <w:rFonts w:hAnsi="黑体" w:cs="黑体" w:hint="eastAsia"/>
          <w:color w:val="000000" w:themeColor="text1"/>
          <w:sz w:val="32"/>
          <w:szCs w:val="32"/>
        </w:rPr>
        <w:t>A.1</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安全用具使用（K1）</w:t>
      </w:r>
      <w:bookmarkEnd w:id="72"/>
      <w:bookmarkEnd w:id="73"/>
    </w:p>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640" w:firstLineChars="200"/>
        <w:rPr>
          <w:rFonts w:hAnsi="黑体" w:cs="黑体"/>
          <w:color w:val="000000" w:themeColor="text1"/>
          <w:sz w:val="32"/>
          <w:szCs w:val="32"/>
        </w:rPr>
      </w:pPr>
      <w:bookmarkStart w:id="74" w:name="_Toc466293839"/>
      <w:r>
        <w:rPr>
          <w:rFonts w:hAnsi="黑体" w:cs="黑体" w:hint="eastAsia"/>
          <w:color w:val="000000" w:themeColor="text1"/>
          <w:sz w:val="32"/>
          <w:szCs w:val="32"/>
        </w:rPr>
        <w:t>A.1.1</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考试项目</w:t>
      </w:r>
      <w:bookmarkEnd w:id="74"/>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包括一个独立的考试项目：安全帽、安全带、防滑鞋的佩戴和使用（K11）。</w:t>
      </w:r>
    </w:p>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640" w:firstLineChars="200"/>
        <w:rPr>
          <w:rFonts w:hAnsi="黑体" w:cs="黑体"/>
          <w:color w:val="000000" w:themeColor="text1"/>
          <w:sz w:val="32"/>
          <w:szCs w:val="32"/>
        </w:rPr>
      </w:pPr>
      <w:bookmarkStart w:id="75" w:name="_Toc466293840"/>
      <w:r>
        <w:rPr>
          <w:rFonts w:hAnsi="黑体" w:cs="黑体" w:hint="eastAsia"/>
          <w:color w:val="000000" w:themeColor="text1"/>
          <w:sz w:val="32"/>
          <w:szCs w:val="32"/>
        </w:rPr>
        <w:t>A.1.2</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安全帽、安全带、防滑鞋的佩戴和使用（K11）</w:t>
      </w:r>
      <w:bookmarkEnd w:id="75"/>
    </w:p>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640" w:firstLineChars="200"/>
        <w:rPr>
          <w:rFonts w:hAnsi="黑体" w:cs="黑体"/>
          <w:color w:val="000000" w:themeColor="text1"/>
          <w:sz w:val="32"/>
          <w:szCs w:val="32"/>
        </w:rPr>
      </w:pPr>
      <w:bookmarkStart w:id="76" w:name="_Toc466292571"/>
      <w:bookmarkStart w:id="77" w:name="_Toc466293841"/>
      <w:r>
        <w:rPr>
          <w:rFonts w:hAnsi="黑体" w:cs="黑体" w:hint="eastAsia"/>
          <w:color w:val="000000" w:themeColor="text1"/>
          <w:sz w:val="32"/>
          <w:szCs w:val="32"/>
        </w:rPr>
        <w:t>A.1.2.1</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考核要点</w:t>
      </w:r>
      <w:bookmarkEnd w:id="76"/>
      <w:bookmarkEnd w:id="77"/>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主要考查考生对登高架设作业安全用具的检查和正确佩戴使用，安全用具主要有安全帽、安全带、防滑鞋。</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安全帽的检查和佩戴。</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安全带的检查和佩戴。</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防滑鞋的检查和使用。</w:t>
      </w:r>
    </w:p>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640" w:firstLineChars="200"/>
        <w:rPr>
          <w:rFonts w:hAnsi="黑体" w:cs="黑体" w:hint="eastAsia"/>
          <w:color w:val="000000" w:themeColor="text1"/>
          <w:sz w:val="32"/>
          <w:szCs w:val="32"/>
        </w:rPr>
        <w:sectPr>
          <w:footerReference w:type="default" r:id="rId10"/>
          <w:type w:val="nextPage"/>
          <w:pgSz w:w="11906" w:h="16838"/>
          <w:pgMar w:top="2098" w:right="1531" w:bottom="1984" w:left="1531" w:header="851" w:footer="1531" w:gutter="0"/>
          <w:pgNumType w:fmt="decimal" w:start="312"/>
          <w:cols w:num="1" w:space="425"/>
          <w:titlePg w:val="0"/>
          <w:docGrid w:type="lines" w:linePitch="312" w:charSpace="0"/>
        </w:sectPr>
      </w:pPr>
      <w:bookmarkStart w:id="78" w:name="_Toc466293842"/>
      <w:bookmarkStart w:id="79" w:name="_Toc466292572"/>
      <w:r>
        <w:rPr>
          <w:rFonts w:hAnsi="黑体" w:cs="黑体" w:hint="eastAsia"/>
          <w:color w:val="000000" w:themeColor="text1"/>
          <w:sz w:val="32"/>
          <w:szCs w:val="32"/>
        </w:rPr>
        <w:t>A.1.2.2</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评分标准</w:t>
      </w:r>
      <w:bookmarkEnd w:id="78"/>
      <w:bookmarkEnd w:id="79"/>
    </w:p>
    <w:tbl>
      <w:tblPr>
        <w:tblStyle w:val="TableNormal"/>
        <w:tblW w:w="8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47"/>
        <w:gridCol w:w="1560"/>
        <w:gridCol w:w="905"/>
        <w:gridCol w:w="5189"/>
      </w:tblGrid>
      <w:tr>
        <w:tblPrEx>
          <w:tblW w:w="8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87"/>
          <w:jc w:val="center"/>
        </w:trPr>
        <w:tc>
          <w:tcPr>
            <w:tcW w:w="1247"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bookmarkStart w:id="80" w:name="_Toc466293843"/>
            <w:bookmarkStart w:id="81" w:name="_Toc466292573"/>
            <w:r>
              <w:rPr>
                <w:rFonts w:ascii="黑体" w:eastAsia="黑体" w:hAnsi="黑体" w:cs="黑体" w:hint="eastAsia"/>
                <w:color w:val="000000" w:themeColor="text1"/>
                <w:kern w:val="0"/>
              </w:rPr>
              <w:t>项 目</w:t>
            </w:r>
          </w:p>
        </w:tc>
        <w:tc>
          <w:tcPr>
            <w:tcW w:w="1560"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内容</w:t>
            </w:r>
          </w:p>
        </w:tc>
        <w:tc>
          <w:tcPr>
            <w:tcW w:w="905"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分值</w:t>
            </w:r>
          </w:p>
        </w:tc>
        <w:tc>
          <w:tcPr>
            <w:tcW w:w="5189"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评 分 标 准</w:t>
            </w:r>
          </w:p>
        </w:tc>
      </w:tr>
      <w:tr>
        <w:tblPrEx>
          <w:tblW w:w="8901" w:type="dxa"/>
          <w:jc w:val="center"/>
          <w:tblLayout w:type="fixed"/>
          <w:tblCellMar>
            <w:top w:w="0" w:type="dxa"/>
            <w:left w:w="108" w:type="dxa"/>
            <w:bottom w:w="0" w:type="dxa"/>
            <w:right w:w="108" w:type="dxa"/>
          </w:tblCellMar>
        </w:tblPrEx>
        <w:trPr>
          <w:trHeight w:val="493"/>
          <w:jc w:val="center"/>
        </w:trPr>
        <w:tc>
          <w:tcPr>
            <w:tcW w:w="1247"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安全帽、</w:t>
            </w:r>
          </w:p>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安全带、</w:t>
            </w:r>
          </w:p>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r>
              <w:rPr>
                <w:rFonts w:ascii="仿宋" w:eastAsia="仿宋" w:hAnsi="仿宋" w:cs="仿宋" w:hint="eastAsia"/>
                <w:color w:val="000000" w:themeColor="text1"/>
                <w:lang w:val="zh-CN"/>
              </w:rPr>
              <w:t>防滑鞋</w:t>
            </w:r>
            <w:r>
              <w:rPr>
                <w:rFonts w:ascii="仿宋" w:eastAsia="仿宋" w:hAnsi="仿宋" w:cs="仿宋" w:hint="eastAsia"/>
                <w:color w:val="000000" w:themeColor="text1"/>
              </w:rPr>
              <w:t>的检查、佩戴和使用</w:t>
            </w:r>
          </w:p>
        </w:tc>
        <w:tc>
          <w:tcPr>
            <w:tcW w:w="156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r>
              <w:rPr>
                <w:rFonts w:ascii="仿宋" w:eastAsia="仿宋" w:hAnsi="仿宋" w:cs="仿宋" w:hint="eastAsia"/>
                <w:color w:val="000000" w:themeColor="text1"/>
              </w:rPr>
              <w:t>安全帽的检查和佩戴</w:t>
            </w:r>
          </w:p>
        </w:tc>
        <w:tc>
          <w:tcPr>
            <w:tcW w:w="905"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30</w:t>
            </w: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1</w:t>
            </w:r>
            <w:r>
              <w:rPr>
                <w:rFonts w:ascii="仿宋" w:eastAsia="仿宋" w:hAnsi="仿宋" w:cs="仿宋" w:hint="eastAsia"/>
                <w:color w:val="000000" w:themeColor="text1"/>
                <w:lang w:val="zh-CN"/>
              </w:rPr>
              <w:t>.未</w:t>
            </w:r>
            <w:r>
              <w:rPr>
                <w:rFonts w:ascii="仿宋" w:eastAsia="仿宋" w:hAnsi="仿宋" w:cs="仿宋" w:hint="eastAsia"/>
                <w:color w:val="000000" w:themeColor="text1"/>
              </w:rPr>
              <w:t>检查</w:t>
            </w:r>
            <w:r>
              <w:rPr>
                <w:rFonts w:ascii="仿宋" w:eastAsia="仿宋" w:hAnsi="仿宋" w:cs="仿宋" w:hint="eastAsia"/>
                <w:color w:val="000000" w:themeColor="text1"/>
                <w:lang w:val="zh-CN"/>
              </w:rPr>
              <w:t>安全帽</w:t>
            </w:r>
            <w:r>
              <w:rPr>
                <w:rFonts w:ascii="仿宋" w:eastAsia="仿宋" w:hAnsi="仿宋" w:cs="仿宋" w:hint="eastAsia"/>
                <w:color w:val="000000" w:themeColor="text1"/>
              </w:rPr>
              <w:t>生产许可证、使用期限的，每项扣3分</w:t>
            </w:r>
          </w:p>
        </w:tc>
      </w:tr>
      <w:tr>
        <w:tblPrEx>
          <w:tblW w:w="8901" w:type="dxa"/>
          <w:jc w:val="center"/>
          <w:tblLayout w:type="fixed"/>
          <w:tblCellMar>
            <w:top w:w="0" w:type="dxa"/>
            <w:left w:w="108" w:type="dxa"/>
            <w:bottom w:w="0" w:type="dxa"/>
            <w:right w:w="108" w:type="dxa"/>
          </w:tblCellMar>
        </w:tblPrEx>
        <w:trPr>
          <w:trHeight w:val="493"/>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p>
        </w:tc>
        <w:tc>
          <w:tcPr>
            <w:tcW w:w="15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p>
        </w:tc>
        <w:tc>
          <w:tcPr>
            <w:tcW w:w="905"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2</w:t>
            </w:r>
            <w:r>
              <w:rPr>
                <w:rFonts w:ascii="仿宋" w:eastAsia="仿宋" w:hAnsi="仿宋" w:cs="仿宋" w:hint="eastAsia"/>
                <w:color w:val="000000" w:themeColor="text1"/>
                <w:lang w:val="zh-CN"/>
              </w:rPr>
              <w:t>.未检查安全帽</w:t>
            </w:r>
            <w:r>
              <w:rPr>
                <w:rFonts w:ascii="仿宋" w:eastAsia="仿宋" w:hAnsi="仿宋" w:cs="仿宋" w:hint="eastAsia"/>
                <w:color w:val="000000" w:themeColor="text1"/>
              </w:rPr>
              <w:t>帽壳完好性的，扣6分</w:t>
            </w:r>
          </w:p>
        </w:tc>
      </w:tr>
      <w:tr>
        <w:tblPrEx>
          <w:tblW w:w="8901" w:type="dxa"/>
          <w:jc w:val="center"/>
          <w:tblLayout w:type="fixed"/>
          <w:tblCellMar>
            <w:top w:w="0" w:type="dxa"/>
            <w:left w:w="108" w:type="dxa"/>
            <w:bottom w:w="0" w:type="dxa"/>
            <w:right w:w="108" w:type="dxa"/>
          </w:tblCellMar>
        </w:tblPrEx>
        <w:trPr>
          <w:trHeight w:val="493"/>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5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05"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3.未检查</w:t>
            </w:r>
            <w:r>
              <w:rPr>
                <w:rFonts w:ascii="仿宋" w:eastAsia="仿宋" w:hAnsi="仿宋" w:cs="仿宋" w:hint="eastAsia"/>
                <w:color w:val="000000" w:themeColor="text1"/>
                <w:lang w:val="zh-CN"/>
              </w:rPr>
              <w:t>安全帽内衬、后箍</w:t>
            </w:r>
            <w:r>
              <w:rPr>
                <w:rFonts w:ascii="仿宋" w:eastAsia="仿宋" w:hAnsi="仿宋" w:cs="仿宋" w:hint="eastAsia"/>
                <w:color w:val="000000" w:themeColor="text1"/>
              </w:rPr>
              <w:t>和下颌带的，每项扣2分</w:t>
            </w:r>
          </w:p>
        </w:tc>
      </w:tr>
      <w:tr>
        <w:tblPrEx>
          <w:tblW w:w="8901" w:type="dxa"/>
          <w:jc w:val="center"/>
          <w:tblLayout w:type="fixed"/>
          <w:tblCellMar>
            <w:top w:w="0" w:type="dxa"/>
            <w:left w:w="108" w:type="dxa"/>
            <w:bottom w:w="0" w:type="dxa"/>
            <w:right w:w="108" w:type="dxa"/>
          </w:tblCellMar>
        </w:tblPrEx>
        <w:trPr>
          <w:trHeight w:val="493"/>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5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05"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4.佩戴时，未调整内衬、后箍的，每项扣3分</w:t>
            </w:r>
          </w:p>
        </w:tc>
      </w:tr>
      <w:tr>
        <w:tblPrEx>
          <w:tblW w:w="8901" w:type="dxa"/>
          <w:jc w:val="center"/>
          <w:tblLayout w:type="fixed"/>
          <w:tblCellMar>
            <w:top w:w="0" w:type="dxa"/>
            <w:left w:w="108" w:type="dxa"/>
            <w:bottom w:w="0" w:type="dxa"/>
            <w:right w:w="108" w:type="dxa"/>
          </w:tblCellMar>
        </w:tblPrEx>
        <w:trPr>
          <w:trHeight w:val="493"/>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5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05"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5</w:t>
            </w:r>
            <w:r>
              <w:rPr>
                <w:rFonts w:ascii="仿宋" w:eastAsia="仿宋" w:hAnsi="仿宋" w:cs="仿宋" w:hint="eastAsia"/>
                <w:color w:val="000000" w:themeColor="text1"/>
                <w:lang w:val="zh-CN"/>
              </w:rPr>
              <w:t>.</w:t>
            </w:r>
            <w:r>
              <w:rPr>
                <w:rFonts w:ascii="仿宋" w:eastAsia="仿宋" w:hAnsi="仿宋" w:cs="仿宋" w:hint="eastAsia"/>
                <w:color w:val="000000" w:themeColor="text1"/>
              </w:rPr>
              <w:t>佩戴时，</w:t>
            </w:r>
            <w:r>
              <w:rPr>
                <w:rFonts w:ascii="仿宋" w:eastAsia="仿宋" w:hAnsi="仿宋" w:cs="仿宋" w:hint="eastAsia"/>
                <w:color w:val="000000" w:themeColor="text1"/>
                <w:lang w:val="zh-CN"/>
              </w:rPr>
              <w:t>未系</w:t>
            </w:r>
            <w:r>
              <w:rPr>
                <w:rFonts w:ascii="仿宋" w:eastAsia="仿宋" w:hAnsi="仿宋" w:cs="仿宋" w:hint="eastAsia"/>
                <w:color w:val="000000" w:themeColor="text1"/>
              </w:rPr>
              <w:t>紧</w:t>
            </w:r>
            <w:r>
              <w:rPr>
                <w:rFonts w:ascii="仿宋" w:eastAsia="仿宋" w:hAnsi="仿宋" w:cs="仿宋" w:hint="eastAsia"/>
                <w:color w:val="000000" w:themeColor="text1"/>
                <w:lang w:val="zh-CN"/>
              </w:rPr>
              <w:t>安全帽下颌带</w:t>
            </w:r>
            <w:r>
              <w:rPr>
                <w:rFonts w:ascii="仿宋" w:eastAsia="仿宋" w:hAnsi="仿宋" w:cs="仿宋" w:hint="eastAsia"/>
                <w:color w:val="000000" w:themeColor="text1"/>
              </w:rPr>
              <w:t>的，扣6分</w:t>
            </w:r>
          </w:p>
        </w:tc>
      </w:tr>
      <w:tr>
        <w:tblPrEx>
          <w:tblW w:w="8901" w:type="dxa"/>
          <w:jc w:val="center"/>
          <w:tblLayout w:type="fixed"/>
          <w:tblCellMar>
            <w:top w:w="0" w:type="dxa"/>
            <w:left w:w="108" w:type="dxa"/>
            <w:bottom w:w="0" w:type="dxa"/>
            <w:right w:w="108" w:type="dxa"/>
          </w:tblCellMar>
        </w:tblPrEx>
        <w:trPr>
          <w:trHeight w:val="487"/>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56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r>
              <w:rPr>
                <w:rFonts w:ascii="仿宋" w:eastAsia="仿宋" w:hAnsi="仿宋" w:cs="仿宋" w:hint="eastAsia"/>
                <w:color w:val="000000" w:themeColor="text1"/>
              </w:rPr>
              <w:t>安全带的检查和佩戴</w:t>
            </w:r>
          </w:p>
        </w:tc>
        <w:tc>
          <w:tcPr>
            <w:tcW w:w="905"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40</w:t>
            </w: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w:t>
            </w:r>
            <w:r>
              <w:rPr>
                <w:rFonts w:ascii="仿宋" w:eastAsia="仿宋" w:hAnsi="仿宋" w:cs="仿宋" w:hint="eastAsia"/>
                <w:color w:val="000000" w:themeColor="text1"/>
              </w:rPr>
              <w:t>.未检查安全带生产许可证和使用期限的，每项扣4分</w:t>
            </w:r>
          </w:p>
        </w:tc>
      </w:tr>
      <w:tr>
        <w:tblPrEx>
          <w:tblW w:w="8901" w:type="dxa"/>
          <w:jc w:val="center"/>
          <w:tblLayout w:type="fixed"/>
          <w:tblCellMar>
            <w:top w:w="0" w:type="dxa"/>
            <w:left w:w="108" w:type="dxa"/>
            <w:bottom w:w="0" w:type="dxa"/>
            <w:right w:w="108" w:type="dxa"/>
          </w:tblCellMar>
        </w:tblPrEx>
        <w:trPr>
          <w:trHeight w:val="514"/>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5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p>
        </w:tc>
        <w:tc>
          <w:tcPr>
            <w:tcW w:w="905"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2</w:t>
            </w:r>
            <w:r>
              <w:rPr>
                <w:rFonts w:ascii="仿宋" w:eastAsia="仿宋" w:hAnsi="仿宋" w:cs="仿宋" w:hint="eastAsia"/>
                <w:color w:val="000000" w:themeColor="text1"/>
                <w:lang w:val="zh-CN"/>
              </w:rPr>
              <w:t>.未检查安全带编织带</w:t>
            </w:r>
            <w:r>
              <w:rPr>
                <w:rFonts w:ascii="仿宋" w:eastAsia="仿宋" w:hAnsi="仿宋" w:cs="仿宋" w:hint="eastAsia"/>
                <w:color w:val="000000" w:themeColor="text1"/>
              </w:rPr>
              <w:t>和安全绳的，每项扣4分</w:t>
            </w:r>
          </w:p>
        </w:tc>
      </w:tr>
      <w:tr>
        <w:tblPrEx>
          <w:tblW w:w="8901" w:type="dxa"/>
          <w:jc w:val="center"/>
          <w:tblLayout w:type="fixed"/>
          <w:tblCellMar>
            <w:top w:w="0" w:type="dxa"/>
            <w:left w:w="108" w:type="dxa"/>
            <w:bottom w:w="0" w:type="dxa"/>
            <w:right w:w="108" w:type="dxa"/>
          </w:tblCellMar>
        </w:tblPrEx>
        <w:trPr>
          <w:trHeight w:val="490"/>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5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05"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.未检查安全带</w:t>
            </w:r>
            <w:r>
              <w:rPr>
                <w:rFonts w:ascii="仿宋" w:eastAsia="仿宋" w:hAnsi="仿宋" w:cs="仿宋" w:hint="eastAsia"/>
                <w:color w:val="000000" w:themeColor="text1"/>
              </w:rPr>
              <w:t>部件及部件与安全带连接牢固度的，每项扣4分</w:t>
            </w:r>
          </w:p>
        </w:tc>
      </w:tr>
      <w:tr>
        <w:tblPrEx>
          <w:tblW w:w="8901" w:type="dxa"/>
          <w:jc w:val="center"/>
          <w:tblLayout w:type="fixed"/>
          <w:tblCellMar>
            <w:top w:w="0" w:type="dxa"/>
            <w:left w:w="108" w:type="dxa"/>
            <w:bottom w:w="0" w:type="dxa"/>
            <w:right w:w="108" w:type="dxa"/>
          </w:tblCellMar>
        </w:tblPrEx>
        <w:trPr>
          <w:trHeight w:val="472"/>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5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05"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.安全带穿戴不规范</w:t>
            </w:r>
            <w:r>
              <w:rPr>
                <w:rFonts w:ascii="仿宋" w:eastAsia="仿宋" w:hAnsi="仿宋" w:cs="仿宋" w:hint="eastAsia"/>
                <w:color w:val="000000" w:themeColor="text1"/>
              </w:rPr>
              <w:t>的，扣8分</w:t>
            </w:r>
          </w:p>
        </w:tc>
      </w:tr>
      <w:tr>
        <w:tblPrEx>
          <w:tblW w:w="8901" w:type="dxa"/>
          <w:jc w:val="center"/>
          <w:tblLayout w:type="fixed"/>
          <w:tblCellMar>
            <w:top w:w="0" w:type="dxa"/>
            <w:left w:w="108" w:type="dxa"/>
            <w:bottom w:w="0" w:type="dxa"/>
            <w:right w:w="108" w:type="dxa"/>
          </w:tblCellMar>
        </w:tblPrEx>
        <w:trPr>
          <w:trHeight w:val="472"/>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5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05"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5</w:t>
            </w:r>
            <w:r>
              <w:rPr>
                <w:rFonts w:ascii="仿宋" w:eastAsia="仿宋" w:hAnsi="仿宋" w:cs="仿宋" w:hint="eastAsia"/>
                <w:color w:val="000000" w:themeColor="text1"/>
                <w:lang w:val="zh-CN"/>
              </w:rPr>
              <w:t>.安全带各部调整未达到松紧适度</w:t>
            </w:r>
            <w:r>
              <w:rPr>
                <w:rFonts w:ascii="仿宋" w:eastAsia="仿宋" w:hAnsi="仿宋" w:cs="仿宋" w:hint="eastAsia"/>
                <w:color w:val="000000" w:themeColor="text1"/>
              </w:rPr>
              <w:t>的，扣8分</w:t>
            </w:r>
          </w:p>
        </w:tc>
      </w:tr>
      <w:tr>
        <w:tblPrEx>
          <w:tblW w:w="8901" w:type="dxa"/>
          <w:jc w:val="center"/>
          <w:tblLayout w:type="fixed"/>
          <w:tblCellMar>
            <w:top w:w="0" w:type="dxa"/>
            <w:left w:w="108" w:type="dxa"/>
            <w:bottom w:w="0" w:type="dxa"/>
            <w:right w:w="108" w:type="dxa"/>
          </w:tblCellMar>
        </w:tblPrEx>
        <w:trPr>
          <w:trHeight w:val="472"/>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56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r>
              <w:rPr>
                <w:rFonts w:ascii="仿宋" w:eastAsia="仿宋" w:hAnsi="仿宋" w:cs="仿宋" w:hint="eastAsia"/>
                <w:color w:val="000000" w:themeColor="text1"/>
              </w:rPr>
              <w:t>防滑鞋的检查和使用</w:t>
            </w:r>
          </w:p>
        </w:tc>
        <w:tc>
          <w:tcPr>
            <w:tcW w:w="905"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30</w:t>
            </w: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w:t>
            </w:r>
            <w:r>
              <w:rPr>
                <w:rFonts w:ascii="仿宋" w:eastAsia="仿宋" w:hAnsi="仿宋" w:cs="仿宋" w:hint="eastAsia"/>
                <w:color w:val="000000" w:themeColor="text1"/>
              </w:rPr>
              <w:t>.选择防滑鞋不正确的，扣10分</w:t>
            </w:r>
          </w:p>
        </w:tc>
      </w:tr>
      <w:tr>
        <w:tblPrEx>
          <w:tblW w:w="8901" w:type="dxa"/>
          <w:jc w:val="center"/>
          <w:tblLayout w:type="fixed"/>
          <w:tblCellMar>
            <w:top w:w="0" w:type="dxa"/>
            <w:left w:w="108" w:type="dxa"/>
            <w:bottom w:w="0" w:type="dxa"/>
            <w:right w:w="108" w:type="dxa"/>
          </w:tblCellMar>
        </w:tblPrEx>
        <w:trPr>
          <w:trHeight w:val="472"/>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5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p>
        </w:tc>
        <w:tc>
          <w:tcPr>
            <w:tcW w:w="905"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2</w:t>
            </w:r>
            <w:r>
              <w:rPr>
                <w:rFonts w:ascii="仿宋" w:eastAsia="仿宋" w:hAnsi="仿宋" w:cs="仿宋" w:hint="eastAsia"/>
                <w:color w:val="000000" w:themeColor="text1"/>
                <w:lang w:val="zh-CN"/>
              </w:rPr>
              <w:t>.未全面检查防滑鞋</w:t>
            </w:r>
            <w:r>
              <w:rPr>
                <w:rFonts w:ascii="仿宋" w:eastAsia="仿宋" w:hAnsi="仿宋" w:cs="仿宋" w:hint="eastAsia"/>
                <w:color w:val="000000" w:themeColor="text1"/>
              </w:rPr>
              <w:t>的</w:t>
            </w:r>
            <w:r>
              <w:rPr>
                <w:rFonts w:ascii="仿宋" w:eastAsia="仿宋" w:hAnsi="仿宋" w:cs="仿宋" w:hint="eastAsia"/>
                <w:color w:val="000000" w:themeColor="text1"/>
                <w:lang w:val="zh-CN"/>
              </w:rPr>
              <w:t>，</w:t>
            </w:r>
            <w:r>
              <w:rPr>
                <w:rFonts w:ascii="仿宋" w:eastAsia="仿宋" w:hAnsi="仿宋" w:cs="仿宋" w:hint="eastAsia"/>
                <w:color w:val="000000" w:themeColor="text1"/>
              </w:rPr>
              <w:t>扣10分</w:t>
            </w:r>
          </w:p>
        </w:tc>
      </w:tr>
      <w:tr>
        <w:tblPrEx>
          <w:tblW w:w="8901" w:type="dxa"/>
          <w:jc w:val="center"/>
          <w:tblLayout w:type="fixed"/>
          <w:tblCellMar>
            <w:top w:w="0" w:type="dxa"/>
            <w:left w:w="108" w:type="dxa"/>
            <w:bottom w:w="0" w:type="dxa"/>
            <w:right w:w="108" w:type="dxa"/>
          </w:tblCellMar>
        </w:tblPrEx>
        <w:trPr>
          <w:trHeight w:val="472"/>
          <w:jc w:val="center"/>
        </w:trPr>
        <w:tc>
          <w:tcPr>
            <w:tcW w:w="1247"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5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05"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.未正确穿戴防滑鞋</w:t>
            </w:r>
            <w:r>
              <w:rPr>
                <w:rFonts w:ascii="仿宋" w:eastAsia="仿宋" w:hAnsi="仿宋" w:cs="仿宋" w:hint="eastAsia"/>
                <w:color w:val="000000" w:themeColor="text1"/>
              </w:rPr>
              <w:t>的，扣10分</w:t>
            </w:r>
          </w:p>
        </w:tc>
      </w:tr>
      <w:tr>
        <w:tblPrEx>
          <w:tblW w:w="8901" w:type="dxa"/>
          <w:jc w:val="center"/>
          <w:tblLayout w:type="fixed"/>
          <w:tblCellMar>
            <w:top w:w="0" w:type="dxa"/>
            <w:left w:w="108" w:type="dxa"/>
            <w:bottom w:w="0" w:type="dxa"/>
            <w:right w:w="108" w:type="dxa"/>
          </w:tblCellMar>
        </w:tblPrEx>
        <w:trPr>
          <w:trHeight w:val="600"/>
          <w:jc w:val="center"/>
        </w:trPr>
        <w:tc>
          <w:tcPr>
            <w:tcW w:w="2807" w:type="dxa"/>
            <w:gridSpan w:val="2"/>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rPr>
            </w:pPr>
            <w:r>
              <w:rPr>
                <w:rFonts w:ascii="黑体" w:eastAsia="黑体" w:hAnsi="黑体" w:cs="黑体" w:hint="eastAsia"/>
                <w:color w:val="000000" w:themeColor="text1"/>
              </w:rPr>
              <w:t>合　　计</w:t>
            </w:r>
          </w:p>
        </w:tc>
        <w:tc>
          <w:tcPr>
            <w:tcW w:w="905"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rPr>
            </w:pPr>
            <w:r>
              <w:rPr>
                <w:rFonts w:ascii="黑体" w:eastAsia="黑体" w:hAnsi="黑体" w:cs="黑体" w:hint="eastAsia"/>
                <w:color w:val="000000" w:themeColor="text1"/>
              </w:rPr>
              <w:t>100</w:t>
            </w:r>
          </w:p>
        </w:tc>
        <w:tc>
          <w:tcPr>
            <w:tcW w:w="5189" w:type="dxa"/>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b/>
                <w:bCs/>
                <w:color w:val="000000" w:themeColor="text1"/>
                <w:lang w:val="zh-CN"/>
              </w:rPr>
            </w:pPr>
          </w:p>
        </w:tc>
      </w:tr>
    </w:tbl>
    <w:p>
      <w:pPr>
        <w:pStyle w:val="a5"/>
        <w:keepNext w:val="0"/>
        <w:keepLines w:val="0"/>
        <w:pageBreakBefore w:val="0"/>
        <w:widowControl w:val="0"/>
        <w:numPr>
          <w:ilvl w:val="2"/>
          <w:numId w:val="0"/>
        </w:numPr>
        <w:kinsoku/>
        <w:wordWrap/>
        <w:overflowPunct w:val="0"/>
        <w:topLinePunct w:val="0"/>
        <w:autoSpaceDE/>
        <w:autoSpaceDN/>
        <w:bidi w:val="0"/>
        <w:spacing w:before="156" w:after="156"/>
        <w:ind w:left="420"/>
        <w:rPr>
          <w:rFonts w:hAnsi="黑体" w:cs="黑体"/>
          <w:color w:val="000000" w:themeColor="text1"/>
          <w:sz w:val="32"/>
          <w:szCs w:val="32"/>
        </w:rPr>
      </w:pPr>
      <w:r>
        <w:rPr>
          <w:rFonts w:hAnsi="黑体" w:cs="黑体" w:hint="eastAsia"/>
          <w:color w:val="000000" w:themeColor="text1"/>
          <w:sz w:val="32"/>
          <w:szCs w:val="32"/>
        </w:rPr>
        <w:t>A.1.2.3</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设备配备</w:t>
      </w:r>
      <w:bookmarkEnd w:id="80"/>
      <w:bookmarkEnd w:id="81"/>
    </w:p>
    <w:tbl>
      <w:tblPr>
        <w:tblStyle w:val="TableNormal"/>
        <w:tblW w:w="8901" w:type="dxa"/>
        <w:jc w:val="center"/>
        <w:tblLayout w:type="fixed"/>
        <w:tblCellMar>
          <w:top w:w="15" w:type="dxa"/>
          <w:left w:w="15" w:type="dxa"/>
          <w:bottom w:w="15" w:type="dxa"/>
          <w:right w:w="15" w:type="dxa"/>
        </w:tblCellMar>
      </w:tblPr>
      <w:tblGrid>
        <w:gridCol w:w="838"/>
        <w:gridCol w:w="2614"/>
        <w:gridCol w:w="2468"/>
        <w:gridCol w:w="1039"/>
        <w:gridCol w:w="1942"/>
      </w:tblGrid>
      <w:tr>
        <w:tblPrEx>
          <w:tblW w:w="8901" w:type="dxa"/>
          <w:jc w:val="center"/>
          <w:tblLayout w:type="fixed"/>
          <w:tblCellMar>
            <w:top w:w="15" w:type="dxa"/>
            <w:left w:w="15" w:type="dxa"/>
            <w:bottom w:w="15" w:type="dxa"/>
            <w:right w:w="15" w:type="dxa"/>
          </w:tblCellMar>
        </w:tblPrEx>
        <w:trPr>
          <w:trHeight w:val="594"/>
          <w:jc w:val="center"/>
        </w:trPr>
        <w:tc>
          <w:tcPr>
            <w:tcW w:w="819"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szCs w:val="21"/>
              </w:rPr>
            </w:pPr>
            <w:r>
              <w:rPr>
                <w:rFonts w:ascii="黑体" w:eastAsia="黑体" w:hAnsi="黑体" w:cs="黑体" w:hint="eastAsia"/>
                <w:color w:val="000000" w:themeColor="text1"/>
                <w:szCs w:val="21"/>
              </w:rPr>
              <w:t>序号</w:t>
            </w:r>
          </w:p>
        </w:tc>
        <w:tc>
          <w:tcPr>
            <w:tcW w:w="2552"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szCs w:val="21"/>
              </w:rPr>
            </w:pPr>
            <w:r>
              <w:rPr>
                <w:rFonts w:ascii="黑体" w:eastAsia="黑体" w:hAnsi="黑体" w:cs="黑体" w:hint="eastAsia"/>
                <w:color w:val="000000" w:themeColor="text1"/>
                <w:szCs w:val="21"/>
              </w:rPr>
              <w:t>设备</w:t>
            </w:r>
          </w:p>
        </w:tc>
        <w:tc>
          <w:tcPr>
            <w:tcW w:w="2410"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szCs w:val="21"/>
              </w:rPr>
            </w:pPr>
            <w:r>
              <w:rPr>
                <w:rFonts w:ascii="黑体" w:eastAsia="黑体" w:hAnsi="黑体" w:cs="黑体" w:hint="eastAsia"/>
                <w:color w:val="000000" w:themeColor="text1"/>
                <w:szCs w:val="21"/>
              </w:rPr>
              <w:t>参考型号/规格</w:t>
            </w:r>
          </w:p>
        </w:tc>
        <w:tc>
          <w:tcPr>
            <w:tcW w:w="1014"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szCs w:val="21"/>
              </w:rPr>
            </w:pPr>
            <w:r>
              <w:rPr>
                <w:rFonts w:ascii="黑体" w:eastAsia="黑体" w:hAnsi="黑体" w:cs="黑体" w:hint="eastAsia"/>
                <w:color w:val="000000" w:themeColor="text1"/>
                <w:szCs w:val="21"/>
              </w:rPr>
              <w:t>数量</w:t>
            </w:r>
          </w:p>
        </w:tc>
        <w:tc>
          <w:tcPr>
            <w:tcW w:w="1896"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szCs w:val="21"/>
              </w:rPr>
            </w:pPr>
            <w:r>
              <w:rPr>
                <w:rFonts w:ascii="黑体" w:eastAsia="黑体" w:hAnsi="黑体" w:cs="黑体" w:hint="eastAsia"/>
                <w:color w:val="000000" w:themeColor="text1"/>
                <w:szCs w:val="21"/>
              </w:rPr>
              <w:t>备注</w:t>
            </w:r>
          </w:p>
        </w:tc>
      </w:tr>
      <w:tr>
        <w:tblPrEx>
          <w:tblW w:w="8901" w:type="dxa"/>
          <w:jc w:val="center"/>
          <w:tblLayout w:type="fixed"/>
          <w:tblCellMar>
            <w:top w:w="15" w:type="dxa"/>
            <w:left w:w="15" w:type="dxa"/>
            <w:bottom w:w="15" w:type="dxa"/>
            <w:right w:w="15" w:type="dxa"/>
          </w:tblCellMar>
        </w:tblPrEx>
        <w:trPr>
          <w:trHeight w:val="346"/>
          <w:jc w:val="center"/>
        </w:trPr>
        <w:tc>
          <w:tcPr>
            <w:tcW w:w="81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1</w:t>
            </w:r>
          </w:p>
        </w:tc>
        <w:tc>
          <w:tcPr>
            <w:tcW w:w="255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安全帽</w:t>
            </w:r>
          </w:p>
        </w:tc>
        <w:tc>
          <w:tcPr>
            <w:tcW w:w="24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符合安全帽相关规范</w:t>
            </w:r>
          </w:p>
        </w:tc>
        <w:tc>
          <w:tcPr>
            <w:tcW w:w="10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若干</w:t>
            </w:r>
          </w:p>
        </w:tc>
        <w:tc>
          <w:tcPr>
            <w:tcW w:w="1896" w:type="dxa"/>
            <w:tcBorders>
              <w:top w:val="single" w:sz="4" w:space="0" w:color="000000"/>
              <w:left w:val="single" w:sz="4" w:space="0" w:color="000000"/>
              <w:bottom w:val="single" w:sz="4" w:space="0" w:color="000000"/>
              <w:right w:val="single" w:sz="4" w:space="0" w:color="000000"/>
            </w:tcBorders>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901" w:type="dxa"/>
          <w:jc w:val="center"/>
          <w:tblLayout w:type="fixed"/>
          <w:tblCellMar>
            <w:top w:w="15" w:type="dxa"/>
            <w:left w:w="15" w:type="dxa"/>
            <w:bottom w:w="15" w:type="dxa"/>
            <w:right w:w="15" w:type="dxa"/>
          </w:tblCellMar>
        </w:tblPrEx>
        <w:trPr>
          <w:trHeight w:val="346"/>
          <w:jc w:val="center"/>
        </w:trPr>
        <w:tc>
          <w:tcPr>
            <w:tcW w:w="81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2</w:t>
            </w:r>
          </w:p>
        </w:tc>
        <w:tc>
          <w:tcPr>
            <w:tcW w:w="255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安全带</w:t>
            </w:r>
          </w:p>
        </w:tc>
        <w:tc>
          <w:tcPr>
            <w:tcW w:w="24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符合安全带相关规范</w:t>
            </w:r>
          </w:p>
        </w:tc>
        <w:tc>
          <w:tcPr>
            <w:tcW w:w="10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若干</w:t>
            </w:r>
          </w:p>
        </w:tc>
        <w:tc>
          <w:tcPr>
            <w:tcW w:w="1896" w:type="dxa"/>
            <w:tcBorders>
              <w:top w:val="single" w:sz="4" w:space="0" w:color="000000"/>
              <w:left w:val="single" w:sz="4" w:space="0" w:color="000000"/>
              <w:bottom w:val="single" w:sz="4" w:space="0" w:color="000000"/>
              <w:right w:val="single" w:sz="4" w:space="0" w:color="000000"/>
            </w:tcBorders>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901" w:type="dxa"/>
          <w:jc w:val="center"/>
          <w:tblLayout w:type="fixed"/>
          <w:tblCellMar>
            <w:top w:w="15" w:type="dxa"/>
            <w:left w:w="15" w:type="dxa"/>
            <w:bottom w:w="15" w:type="dxa"/>
            <w:right w:w="15" w:type="dxa"/>
          </w:tblCellMar>
        </w:tblPrEx>
        <w:trPr>
          <w:trHeight w:val="346"/>
          <w:jc w:val="center"/>
        </w:trPr>
        <w:tc>
          <w:tcPr>
            <w:tcW w:w="81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3</w:t>
            </w:r>
          </w:p>
        </w:tc>
        <w:tc>
          <w:tcPr>
            <w:tcW w:w="255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防滑鞋</w:t>
            </w:r>
          </w:p>
        </w:tc>
        <w:tc>
          <w:tcPr>
            <w:tcW w:w="24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符合防滑鞋相关规范</w:t>
            </w:r>
          </w:p>
        </w:tc>
        <w:tc>
          <w:tcPr>
            <w:tcW w:w="10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若干</w:t>
            </w:r>
          </w:p>
        </w:tc>
        <w:tc>
          <w:tcPr>
            <w:tcW w:w="1896" w:type="dxa"/>
            <w:tcBorders>
              <w:top w:val="single" w:sz="4" w:space="0" w:color="000000"/>
              <w:left w:val="single" w:sz="4" w:space="0" w:color="000000"/>
              <w:bottom w:val="single" w:sz="4" w:space="0" w:color="000000"/>
              <w:right w:val="single" w:sz="4" w:space="0" w:color="000000"/>
            </w:tcBorders>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bl>
    <w:p>
      <w:pPr>
        <w:pStyle w:val="a4"/>
        <w:keepNext w:val="0"/>
        <w:keepLines w:val="0"/>
        <w:pageBreakBefore w:val="0"/>
        <w:widowControl w:val="0"/>
        <w:numPr>
          <w:ilvl w:val="1"/>
          <w:numId w:val="0"/>
        </w:numPr>
        <w:kinsoku/>
        <w:wordWrap/>
        <w:overflowPunct w:val="0"/>
        <w:topLinePunct w:val="0"/>
        <w:autoSpaceDE/>
        <w:autoSpaceDN/>
        <w:bidi w:val="0"/>
        <w:adjustRightInd/>
        <w:snapToGrid/>
        <w:spacing w:beforeLines="0" w:afterLines="0" w:line="578" w:lineRule="exact"/>
        <w:ind w:firstLine="640" w:firstLineChars="200"/>
        <w:textAlignment w:val="auto"/>
        <w:rPr>
          <w:rFonts w:hAnsi="黑体" w:cs="黑体"/>
          <w:color w:val="000000" w:themeColor="text1"/>
          <w:sz w:val="32"/>
          <w:szCs w:val="32"/>
        </w:rPr>
      </w:pPr>
      <w:bookmarkStart w:id="82" w:name="_Toc466292355"/>
      <w:bookmarkStart w:id="83" w:name="_Toc466293852"/>
      <w:r>
        <w:rPr>
          <w:rFonts w:hAnsi="黑体" w:cs="黑体" w:hint="eastAsia"/>
          <w:color w:val="000000" w:themeColor="text1"/>
          <w:sz w:val="32"/>
          <w:szCs w:val="32"/>
        </w:rPr>
        <w:t>A.2</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安全操作技术(K2)</w:t>
      </w:r>
      <w:bookmarkEnd w:id="82"/>
      <w:bookmarkEnd w:id="83"/>
    </w:p>
    <w:p>
      <w:pPr>
        <w:pStyle w:val="a5"/>
        <w:keepNext w:val="0"/>
        <w:keepLines w:val="0"/>
        <w:pageBreakBefore w:val="0"/>
        <w:widowControl w:val="0"/>
        <w:numPr>
          <w:ilvl w:val="2"/>
          <w:numId w:val="0"/>
        </w:numPr>
        <w:kinsoku/>
        <w:wordWrap/>
        <w:overflowPunct w:val="0"/>
        <w:topLinePunct w:val="0"/>
        <w:autoSpaceDE/>
        <w:autoSpaceDN/>
        <w:bidi w:val="0"/>
        <w:adjustRightInd/>
        <w:snapToGrid/>
        <w:spacing w:beforeLines="0" w:afterLines="0" w:line="578" w:lineRule="exact"/>
        <w:ind w:firstLine="640" w:firstLineChars="200"/>
        <w:textAlignment w:val="auto"/>
        <w:rPr>
          <w:rFonts w:hAnsi="黑体" w:cs="黑体"/>
          <w:color w:val="000000" w:themeColor="text1"/>
          <w:sz w:val="32"/>
          <w:szCs w:val="32"/>
        </w:rPr>
      </w:pPr>
      <w:bookmarkStart w:id="84" w:name="_Toc466293853"/>
      <w:r>
        <w:rPr>
          <w:rFonts w:hAnsi="黑体" w:cs="黑体" w:hint="eastAsia"/>
          <w:color w:val="000000" w:themeColor="text1"/>
          <w:sz w:val="32"/>
          <w:szCs w:val="32"/>
        </w:rPr>
        <w:t>A.2.1</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考试项目</w:t>
      </w:r>
      <w:bookmarkEnd w:id="84"/>
    </w:p>
    <w:p>
      <w:pPr>
        <w:pStyle w:val="a3"/>
        <w:keepNext w:val="0"/>
        <w:keepLines w:val="0"/>
        <w:pageBreakBefore w:val="0"/>
        <w:widowControl w:val="0"/>
        <w:kinsoku/>
        <w:wordWrap/>
        <w:overflowPunct w:val="0"/>
        <w:topLinePunct w:val="0"/>
        <w:autoSpaceDE/>
        <w:autoSpaceDN/>
        <w:bidi w:val="0"/>
        <w:adjustRightInd/>
        <w:snapToGrid/>
        <w:spacing w:line="578" w:lineRule="exact"/>
        <w:ind w:firstLine="640"/>
        <w:jc w:val="left"/>
        <w:textAlignment w:val="auto"/>
        <w:rPr>
          <w:rFonts w:ascii="仿宋" w:eastAsia="仿宋" w:hAnsi="仿宋" w:cs="仿宋"/>
          <w:color w:val="000000" w:themeColor="text1"/>
          <w:sz w:val="32"/>
          <w:szCs w:val="32"/>
        </w:rPr>
        <w:sectPr>
          <w:footerReference w:type="default" r:id="rId11"/>
          <w:type w:val="nextPage"/>
          <w:pgSz w:w="11906" w:h="16838"/>
          <w:pgMar w:top="2098" w:right="1531" w:bottom="1984" w:left="1531" w:header="851" w:footer="1531" w:gutter="0"/>
          <w:pgNumType w:fmt="decimal" w:start="313"/>
          <w:cols w:num="1" w:space="425"/>
          <w:titlePg w:val="0"/>
          <w:docGrid w:type="lines" w:linePitch="312" w:charSpace="0"/>
        </w:sectPr>
      </w:pPr>
      <w:r>
        <w:rPr>
          <w:rFonts w:ascii="仿宋" w:eastAsia="仿宋" w:hAnsi="仿宋" w:cs="仿宋" w:hint="eastAsia"/>
          <w:color w:val="000000" w:themeColor="text1"/>
          <w:sz w:val="32"/>
          <w:szCs w:val="32"/>
        </w:rPr>
        <w:t>包括三个独立的考试项目（搭设2步2跨，</w:t>
      </w:r>
      <w:r>
        <w:rPr>
          <w:rFonts w:ascii="仿宋" w:eastAsia="仿宋" w:hAnsi="仿宋" w:cs="仿宋" w:hint="eastAsia"/>
          <w:sz w:val="32"/>
          <w:szCs w:val="32"/>
        </w:rPr>
        <w:t>第2步</w:t>
      </w:r>
    </w:p>
    <w:p>
      <w:pPr>
        <w:pStyle w:val="a3"/>
        <w:keepNext w:val="0"/>
        <w:keepLines w:val="0"/>
        <w:pageBreakBefore w:val="0"/>
        <w:widowControl w:val="0"/>
        <w:kinsoku/>
        <w:wordWrap/>
        <w:overflowPunct w:val="0"/>
        <w:topLinePunct w:val="0"/>
        <w:autoSpaceDE/>
        <w:autoSpaceDN/>
        <w:bidi w:val="0"/>
        <w:adjustRightInd/>
        <w:snapToGrid/>
        <w:spacing w:line="578" w:lineRule="exact"/>
        <w:ind w:firstLine="640"/>
        <w:jc w:val="left"/>
        <w:textAlignment w:val="auto"/>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为操作层）：双排落地扣件式钢管脚手架搭设与拆除（K21）、双排钢管跨越架搭设与拆除（K22）。</w:t>
      </w:r>
    </w:p>
    <w:p>
      <w:pPr>
        <w:pStyle w:val="a3"/>
        <w:keepNext w:val="0"/>
        <w:keepLines w:val="0"/>
        <w:pageBreakBefore w:val="0"/>
        <w:widowControl w:val="0"/>
        <w:kinsoku/>
        <w:wordWrap/>
        <w:overflowPunct w:val="0"/>
        <w:topLinePunct w:val="0"/>
        <w:autoSpaceDE/>
        <w:autoSpaceDN/>
        <w:bidi w:val="0"/>
        <w:adjustRightInd/>
        <w:snapToGrid/>
        <w:spacing w:line="578" w:lineRule="exact"/>
        <w:ind w:firstLine="640"/>
        <w:jc w:val="left"/>
        <w:textAlignment w:val="auto"/>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注：考试时考生最多6人一组，在以上考试项目中随机抽选其一进行考试。考生须自备符合相关规定要求的紧口工作服和防滑鞋。</w:t>
      </w:r>
      <w:bookmarkStart w:id="85" w:name="_Toc466293854"/>
    </w:p>
    <w:p>
      <w:pPr>
        <w:pStyle w:val="a5"/>
        <w:keepNext w:val="0"/>
        <w:keepLines w:val="0"/>
        <w:pageBreakBefore w:val="0"/>
        <w:widowControl w:val="0"/>
        <w:numPr>
          <w:ilvl w:val="2"/>
          <w:numId w:val="0"/>
        </w:numPr>
        <w:kinsoku/>
        <w:wordWrap/>
        <w:overflowPunct w:val="0"/>
        <w:topLinePunct w:val="0"/>
        <w:autoSpaceDE/>
        <w:autoSpaceDN/>
        <w:bidi w:val="0"/>
        <w:adjustRightInd/>
        <w:snapToGrid/>
        <w:spacing w:beforeLines="0" w:afterLines="0" w:line="578" w:lineRule="exact"/>
        <w:ind w:firstLine="640" w:firstLineChars="200"/>
        <w:textAlignment w:val="auto"/>
        <w:rPr>
          <w:rFonts w:hAnsi="黑体" w:cs="黑体"/>
          <w:color w:val="000000" w:themeColor="text1"/>
          <w:sz w:val="32"/>
          <w:szCs w:val="32"/>
        </w:rPr>
      </w:pPr>
      <w:r>
        <w:rPr>
          <w:rFonts w:hAnsi="黑体" w:cs="黑体" w:hint="eastAsia"/>
          <w:color w:val="000000" w:themeColor="text1"/>
          <w:sz w:val="32"/>
          <w:szCs w:val="32"/>
        </w:rPr>
        <w:t>A.2.2</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双排落地扣件式钢管脚手架搭设与拆除（K21）</w:t>
      </w:r>
      <w:bookmarkEnd w:id="85"/>
    </w:p>
    <w:p>
      <w:pPr>
        <w:pStyle w:val="a5"/>
        <w:keepNext w:val="0"/>
        <w:keepLines w:val="0"/>
        <w:pageBreakBefore w:val="0"/>
        <w:widowControl w:val="0"/>
        <w:numPr>
          <w:ilvl w:val="2"/>
          <w:numId w:val="0"/>
        </w:numPr>
        <w:kinsoku/>
        <w:wordWrap/>
        <w:overflowPunct w:val="0"/>
        <w:topLinePunct w:val="0"/>
        <w:autoSpaceDE/>
        <w:autoSpaceDN/>
        <w:bidi w:val="0"/>
        <w:adjustRightInd/>
        <w:snapToGrid/>
        <w:spacing w:beforeLines="0" w:afterLines="0" w:line="578" w:lineRule="exact"/>
        <w:ind w:firstLine="640" w:firstLineChars="200"/>
        <w:textAlignment w:val="auto"/>
        <w:rPr>
          <w:rFonts w:hAnsi="黑体" w:cs="黑体"/>
          <w:color w:val="000000" w:themeColor="text1"/>
          <w:sz w:val="32"/>
          <w:szCs w:val="32"/>
        </w:rPr>
      </w:pPr>
      <w:bookmarkStart w:id="86" w:name="_Toc466293855"/>
      <w:r>
        <w:rPr>
          <w:rFonts w:hAnsi="黑体" w:cs="黑体" w:hint="eastAsia"/>
          <w:color w:val="000000" w:themeColor="text1"/>
          <w:sz w:val="32"/>
          <w:szCs w:val="32"/>
        </w:rPr>
        <w:t>A.2.2.1</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考核要点</w:t>
      </w:r>
      <w:bookmarkEnd w:id="86"/>
    </w:p>
    <w:p>
      <w:pPr>
        <w:pStyle w:val="a3"/>
        <w:keepNext w:val="0"/>
        <w:keepLines w:val="0"/>
        <w:pageBreakBefore w:val="0"/>
        <w:widowControl w:val="0"/>
        <w:kinsoku/>
        <w:wordWrap/>
        <w:overflowPunct w:val="0"/>
        <w:topLinePunct w:val="0"/>
        <w:autoSpaceDE/>
        <w:autoSpaceDN/>
        <w:bidi w:val="0"/>
        <w:adjustRightInd/>
        <w:snapToGrid/>
        <w:spacing w:line="578" w:lineRule="exact"/>
        <w:ind w:firstLine="640"/>
        <w:jc w:val="left"/>
        <w:textAlignment w:val="auto"/>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主要考查考生对双排落地扣件式钢管脚手架搭设与拆除的安全操作。</w:t>
      </w:r>
    </w:p>
    <w:p>
      <w:pPr>
        <w:pStyle w:val="a3"/>
        <w:keepNext w:val="0"/>
        <w:keepLines w:val="0"/>
        <w:pageBreakBefore w:val="0"/>
        <w:widowControl w:val="0"/>
        <w:kinsoku/>
        <w:wordWrap/>
        <w:overflowPunct w:val="0"/>
        <w:topLinePunct w:val="0"/>
        <w:autoSpaceDE/>
        <w:autoSpaceDN/>
        <w:bidi w:val="0"/>
        <w:adjustRightInd/>
        <w:snapToGrid/>
        <w:ind w:firstLine="640"/>
        <w:textAlignment w:val="auto"/>
        <w:rPr>
          <w:rFonts w:ascii="仿宋" w:eastAsia="仿宋" w:hAnsi="仿宋" w:cs="仿宋"/>
          <w:color w:val="000000" w:themeColor="text1"/>
          <w:sz w:val="32"/>
          <w:szCs w:val="32"/>
        </w:rPr>
      </w:pPr>
    </w:p>
    <w:p>
      <w:pPr>
        <w:pStyle w:val="a3"/>
        <w:keepNext w:val="0"/>
        <w:keepLines w:val="0"/>
        <w:pageBreakBefore w:val="0"/>
        <w:widowControl w:val="0"/>
        <w:kinsoku/>
        <w:wordWrap/>
        <w:overflowPunct w:val="0"/>
        <w:topLinePunct w:val="0"/>
        <w:autoSpaceDE/>
        <w:autoSpaceDN/>
        <w:bidi w:val="0"/>
        <w:jc w:val="center"/>
        <w:rPr>
          <w:color w:val="000000" w:themeColor="text1"/>
        </w:rPr>
      </w:pPr>
      <w:r>
        <w:rPr>
          <w:color w:val="000000" w:themeColor="text1"/>
        </w:rPr>
        <w:drawing>
          <wp:inline distT="0" distB="0" distL="0" distR="0">
            <wp:extent cx="4324985" cy="3549015"/>
            <wp:effectExtent l="0" t="0" r="1841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a:xfrm>
                      <a:off x="0" y="0"/>
                      <a:ext cx="4324985" cy="3549015"/>
                    </a:xfrm>
                    <a:prstGeom prst="rect">
                      <a:avLst/>
                    </a:prstGeom>
                    <a:noFill/>
                  </pic:spPr>
                </pic:pic>
              </a:graphicData>
            </a:graphic>
          </wp:inline>
        </w:drawing>
      </w:r>
    </w:p>
    <w:p>
      <w:pPr>
        <w:pStyle w:val="a3"/>
        <w:keepNext w:val="0"/>
        <w:keepLines w:val="0"/>
        <w:pageBreakBefore w:val="0"/>
        <w:widowControl w:val="0"/>
        <w:kinsoku/>
        <w:wordWrap/>
        <w:overflowPunct w:val="0"/>
        <w:topLinePunct w:val="0"/>
        <w:autoSpaceDE/>
        <w:autoSpaceDN/>
        <w:bidi w:val="0"/>
        <w:ind w:firstLine="0" w:firstLineChars="0"/>
        <w:rPr>
          <w:color w:val="000000" w:themeColor="text1"/>
        </w:rPr>
      </w:pP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sectPr>
          <w:footerReference w:type="default" r:id="rId13"/>
          <w:type w:val="nextPage"/>
          <w:pgSz w:w="11906" w:h="16838"/>
          <w:pgMar w:top="2098" w:right="1531" w:bottom="1984" w:left="1531" w:header="851" w:footer="1531" w:gutter="0"/>
          <w:pgNumType w:fmt="decimal" w:start="314"/>
          <w:cols w:num="1" w:space="425"/>
          <w:titlePg w:val="0"/>
          <w:docGrid w:type="lines" w:linePitch="312" w:charSpace="0"/>
        </w:sectPr>
      </w:pP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摆放垫木、底座。主要考查考生是否具有摆放垫木、底座的安全操作技能、安全意识和符合规范要求。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搭设立杆和纵、横向扫地杆。主要考查考生是否具有搭设立杆和扫地杆的安全操作技能、安全意识和符合规范要求。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搭设纵、横向水平杆。主要考查考生是否具有搭设纵、横向水平杆的安全操作技能、安全意识和符合规范要求。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安装连墙件。主要考查考生是否具有安装连墙件的安全操作技能、安全意识和符合规范要求。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搭设剪刀撑。主要考查考生是否具有搭设剪刀撑的安全操作技能、安全意识和符合规范要求。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铺设脚手板。主要考查考生是否具有铺设脚手板的安全操作技能、安全意识和符合规范要求。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搭设防护栏杆。主要考查考生是否具有搭设防护栏杆的安全操作技能、安全意识和符合规范要求。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挂设安全网。主要考查考生是否具有挂设安全平网、安全立网的安全操作技能、安全意识和符合规范要求。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设置挡脚板。主要考查考生是否具有设置挡脚板的安全操作技能、安全意识和符合规范要求。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拆除。主要考查考生是否具有脚手架的安全拆除技能、安全意识和符合规范要求。</w:t>
      </w:r>
      <w:bookmarkStart w:id="87" w:name="_Toc466293856"/>
    </w:p>
    <w:p>
      <w:pPr>
        <w:pStyle w:val="a3"/>
        <w:keepNext w:val="0"/>
        <w:keepLines w:val="0"/>
        <w:pageBreakBefore w:val="0"/>
        <w:widowControl w:val="0"/>
        <w:kinsoku/>
        <w:wordWrap/>
        <w:overflowPunct w:val="0"/>
        <w:topLinePunct w:val="0"/>
        <w:autoSpaceDE/>
        <w:autoSpaceDN/>
        <w:bidi w:val="0"/>
        <w:ind w:firstLine="640"/>
        <w:rPr>
          <w:rFonts w:ascii="黑体" w:eastAsia="黑体" w:hAnsi="黑体" w:cs="黑体"/>
          <w:color w:val="000000" w:themeColor="text1"/>
          <w:sz w:val="32"/>
          <w:szCs w:val="32"/>
        </w:rPr>
        <w:sectPr>
          <w:footerReference w:type="default" r:id="rId14"/>
          <w:type w:val="nextPage"/>
          <w:pgSz w:w="11906" w:h="16838"/>
          <w:pgMar w:top="2098" w:right="1531" w:bottom="1984" w:left="1531" w:header="851" w:footer="1531" w:gutter="0"/>
          <w:pgNumType w:fmt="decimal" w:start="315"/>
          <w:cols w:num="1" w:space="425"/>
          <w:titlePg w:val="0"/>
          <w:docGrid w:type="lines" w:linePitch="312" w:charSpace="0"/>
        </w:sectPr>
      </w:pPr>
      <w:r>
        <w:rPr>
          <w:rFonts w:ascii="黑体" w:eastAsia="黑体" w:hAnsi="黑体" w:cs="黑体" w:hint="eastAsia"/>
          <w:color w:val="000000" w:themeColor="text1"/>
          <w:sz w:val="32"/>
          <w:szCs w:val="32"/>
        </w:rPr>
        <w:t>A.2.2.2</w:t>
      </w:r>
      <w:r>
        <w:rPr>
          <w:rFonts w:ascii="黑体" w:eastAsia="黑体" w:hAnsi="黑体" w:cs="黑体" w:hint="eastAsia"/>
          <w:color w:val="000000" w:themeColor="text1"/>
          <w:sz w:val="32"/>
          <w:szCs w:val="32"/>
          <w:lang w:val="en-US" w:eastAsia="zh-CN"/>
        </w:rPr>
        <w:t xml:space="preserve">  </w:t>
      </w:r>
      <w:r>
        <w:rPr>
          <w:rFonts w:ascii="黑体" w:eastAsia="黑体" w:hAnsi="黑体" w:cs="黑体" w:hint="eastAsia"/>
          <w:color w:val="000000" w:themeColor="text1"/>
          <w:sz w:val="32"/>
          <w:szCs w:val="32"/>
        </w:rPr>
        <w:t>评分标准</w:t>
      </w:r>
      <w:bookmarkEnd w:id="87"/>
    </w:p>
    <w:tbl>
      <w:tblPr>
        <w:tblStyle w:val="TableNormal"/>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396"/>
        <w:gridCol w:w="872"/>
        <w:gridCol w:w="5292"/>
      </w:tblGrid>
      <w:tr>
        <w:tblPrEx>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34"/>
          <w:tblHeader/>
          <w:jc w:val="center"/>
        </w:trPr>
        <w:tc>
          <w:tcPr>
            <w:tcW w:w="1188"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olor w:val="000000" w:themeColor="text1"/>
                <w:kern w:val="0"/>
              </w:rPr>
            </w:pPr>
            <w:r>
              <w:rPr>
                <w:rFonts w:ascii="黑体" w:eastAsia="黑体" w:hAnsi="黑体" w:hint="eastAsia"/>
                <w:color w:val="000000" w:themeColor="text1"/>
                <w:kern w:val="0"/>
              </w:rPr>
              <w:t>项 目</w:t>
            </w:r>
          </w:p>
        </w:tc>
        <w:tc>
          <w:tcPr>
            <w:tcW w:w="1396"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olor w:val="000000" w:themeColor="text1"/>
                <w:kern w:val="0"/>
              </w:rPr>
            </w:pPr>
            <w:r>
              <w:rPr>
                <w:rFonts w:ascii="黑体" w:eastAsia="黑体" w:hAnsi="黑体" w:hint="eastAsia"/>
                <w:color w:val="000000" w:themeColor="text1"/>
                <w:kern w:val="0"/>
              </w:rPr>
              <w:t>内容</w:t>
            </w:r>
          </w:p>
        </w:tc>
        <w:tc>
          <w:tcPr>
            <w:tcW w:w="872"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olor w:val="000000" w:themeColor="text1"/>
                <w:kern w:val="0"/>
              </w:rPr>
            </w:pPr>
            <w:r>
              <w:rPr>
                <w:rFonts w:ascii="黑体" w:eastAsia="黑体" w:hAnsi="黑体" w:hint="eastAsia"/>
                <w:color w:val="000000" w:themeColor="text1"/>
                <w:kern w:val="0"/>
              </w:rPr>
              <w:t>分值</w:t>
            </w:r>
          </w:p>
        </w:tc>
        <w:tc>
          <w:tcPr>
            <w:tcW w:w="5292"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olor w:val="000000" w:themeColor="text1"/>
                <w:kern w:val="0"/>
              </w:rPr>
            </w:pPr>
            <w:r>
              <w:rPr>
                <w:rFonts w:ascii="黑体" w:eastAsia="黑体" w:hAnsi="黑体" w:hint="eastAsia"/>
                <w:color w:val="000000" w:themeColor="text1"/>
                <w:kern w:val="0"/>
              </w:rPr>
              <w:t>评 分 标 准</w:t>
            </w:r>
          </w:p>
        </w:tc>
      </w:tr>
      <w:tr>
        <w:tblPrEx>
          <w:tblW w:w="8748" w:type="dxa"/>
          <w:jc w:val="center"/>
          <w:tblLayout w:type="fixed"/>
          <w:tblCellMar>
            <w:top w:w="0" w:type="dxa"/>
            <w:left w:w="108" w:type="dxa"/>
            <w:bottom w:w="0" w:type="dxa"/>
            <w:right w:w="108" w:type="dxa"/>
          </w:tblCellMar>
        </w:tblPrEx>
        <w:trPr>
          <w:trHeight w:val="412"/>
          <w:jc w:val="center"/>
        </w:trPr>
        <w:tc>
          <w:tcPr>
            <w:tcW w:w="1188"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r>
              <w:rPr>
                <w:rFonts w:ascii="仿宋" w:eastAsia="仿宋" w:hAnsi="仿宋" w:cs="仿宋" w:hint="eastAsia"/>
                <w:color w:val="000000" w:themeColor="text1"/>
              </w:rPr>
              <w:t>双排落地扣件式钢管脚手架搭设与拆除安全操作技术</w:t>
            </w:r>
          </w:p>
        </w:tc>
        <w:tc>
          <w:tcPr>
            <w:tcW w:w="139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摆放垫木、底座</w:t>
            </w:r>
          </w:p>
        </w:tc>
        <w:tc>
          <w:tcPr>
            <w:tcW w:w="872"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1.未设置垫木</w:t>
            </w:r>
            <w:r>
              <w:rPr>
                <w:rFonts w:ascii="仿宋" w:eastAsia="仿宋" w:hAnsi="仿宋" w:cs="仿宋" w:hint="eastAsia"/>
                <w:color w:val="000000" w:themeColor="text1"/>
              </w:rPr>
              <w:t>的，扣6分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2.垫木</w:t>
            </w:r>
            <w:r>
              <w:rPr>
                <w:rFonts w:ascii="仿宋" w:eastAsia="仿宋" w:hAnsi="仿宋" w:cs="仿宋" w:hint="eastAsia"/>
                <w:color w:val="000000" w:themeColor="text1"/>
              </w:rPr>
              <w:t>设置不正确、放置不平稳的</w:t>
            </w:r>
            <w:r>
              <w:rPr>
                <w:rFonts w:ascii="仿宋" w:eastAsia="仿宋" w:hAnsi="仿宋" w:cs="仿宋" w:hint="eastAsia"/>
                <w:color w:val="000000" w:themeColor="text1"/>
                <w:lang w:val="zh-CN"/>
              </w:rPr>
              <w:t>，</w:t>
            </w:r>
            <w:r>
              <w:rPr>
                <w:rFonts w:ascii="仿宋" w:eastAsia="仿宋" w:hAnsi="仿宋" w:cs="仿宋" w:hint="eastAsia"/>
                <w:color w:val="000000" w:themeColor="text1"/>
              </w:rPr>
              <w:t>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r>
              <w:rPr>
                <w:rFonts w:ascii="仿宋" w:eastAsia="仿宋" w:hAnsi="仿宋" w:cs="仿宋" w:hint="eastAsia"/>
                <w:color w:val="000000" w:themeColor="text1"/>
                <w:lang w:val="zh-CN"/>
              </w:rPr>
              <w:t>3.未</w:t>
            </w:r>
            <w:r>
              <w:rPr>
                <w:rFonts w:ascii="仿宋" w:eastAsia="仿宋" w:hAnsi="仿宋" w:cs="仿宋" w:hint="eastAsia"/>
                <w:color w:val="000000" w:themeColor="text1"/>
              </w:rPr>
              <w:t>设置</w:t>
            </w:r>
            <w:r>
              <w:rPr>
                <w:rFonts w:ascii="仿宋" w:eastAsia="仿宋" w:hAnsi="仿宋" w:cs="仿宋" w:hint="eastAsia"/>
                <w:color w:val="000000" w:themeColor="text1"/>
                <w:lang w:val="zh-CN"/>
              </w:rPr>
              <w:t>底座、</w:t>
            </w:r>
            <w:r>
              <w:rPr>
                <w:rFonts w:ascii="仿宋" w:eastAsia="仿宋" w:hAnsi="仿宋" w:cs="仿宋" w:hint="eastAsia"/>
                <w:color w:val="000000" w:themeColor="text1"/>
              </w:rPr>
              <w:t>底座放置不</w:t>
            </w:r>
            <w:r>
              <w:rPr>
                <w:rFonts w:ascii="仿宋" w:eastAsia="仿宋" w:hAnsi="仿宋" w:cs="仿宋" w:hint="eastAsia"/>
                <w:color w:val="000000" w:themeColor="text1"/>
                <w:lang w:val="zh-CN"/>
              </w:rPr>
              <w:t>平稳</w:t>
            </w:r>
            <w:r>
              <w:rPr>
                <w:rFonts w:ascii="仿宋" w:eastAsia="仿宋" w:hAnsi="仿宋" w:cs="仿宋" w:hint="eastAsia"/>
                <w:color w:val="000000" w:themeColor="text1"/>
              </w:rPr>
              <w:t>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地面有杂物</w:t>
            </w:r>
            <w:r>
              <w:rPr>
                <w:rFonts w:ascii="仿宋" w:eastAsia="仿宋" w:hAnsi="仿宋" w:cs="仿宋" w:hint="eastAsia"/>
                <w:color w:val="000000" w:themeColor="text1"/>
              </w:rPr>
              <w:t>的，每处扣2分。扣完为止</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搭设立杆</w:t>
            </w:r>
          </w:p>
        </w:tc>
        <w:tc>
          <w:tcPr>
            <w:tcW w:w="872"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1.杆件间距尺寸偏差超过规定值</w:t>
            </w:r>
            <w:r>
              <w:rPr>
                <w:rFonts w:ascii="仿宋" w:eastAsia="仿宋" w:hAnsi="仿宋" w:cs="仿宋" w:hint="eastAsia"/>
                <w:color w:val="000000" w:themeColor="text1"/>
              </w:rPr>
              <w:t>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2.立杆垂直</w:t>
            </w:r>
            <w:r>
              <w:rPr>
                <w:rFonts w:ascii="仿宋" w:eastAsia="仿宋" w:hAnsi="仿宋" w:cs="仿宋" w:hint="eastAsia"/>
                <w:color w:val="000000" w:themeColor="text1"/>
              </w:rPr>
              <w:t>度偏差超过规定值的，每处扣2分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立杆</w:t>
            </w:r>
            <w:r>
              <w:rPr>
                <w:rFonts w:ascii="仿宋" w:eastAsia="仿宋" w:hAnsi="仿宋" w:cs="仿宋" w:hint="eastAsia"/>
                <w:color w:val="000000" w:themeColor="text1"/>
              </w:rPr>
              <w:t>对接、搭接</w:t>
            </w:r>
            <w:r>
              <w:rPr>
                <w:rFonts w:ascii="仿宋" w:eastAsia="仿宋" w:hAnsi="仿宋" w:cs="仿宋" w:hint="eastAsia"/>
                <w:color w:val="000000" w:themeColor="text1"/>
                <w:lang w:val="zh-CN"/>
              </w:rPr>
              <w:t>不正确</w:t>
            </w:r>
            <w:r>
              <w:rPr>
                <w:rFonts w:ascii="仿宋" w:eastAsia="仿宋" w:hAnsi="仿宋" w:cs="仿宋" w:hint="eastAsia"/>
                <w:color w:val="000000" w:themeColor="text1"/>
              </w:rPr>
              <w:t>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.立杆</w:t>
            </w:r>
            <w:r>
              <w:rPr>
                <w:rFonts w:ascii="仿宋" w:eastAsia="仿宋" w:hAnsi="仿宋" w:cs="仿宋" w:hint="eastAsia"/>
                <w:color w:val="000000" w:themeColor="text1"/>
              </w:rPr>
              <w:t>对接、搭接间距不符合规范要求的，每处扣2分。扣完为止</w:t>
            </w:r>
          </w:p>
        </w:tc>
      </w:tr>
      <w:tr>
        <w:tblPrEx>
          <w:tblW w:w="8748" w:type="dxa"/>
          <w:jc w:val="center"/>
          <w:tblLayout w:type="fixed"/>
          <w:tblCellMar>
            <w:top w:w="0" w:type="dxa"/>
            <w:left w:w="108" w:type="dxa"/>
            <w:bottom w:w="0" w:type="dxa"/>
            <w:right w:w="108" w:type="dxa"/>
          </w:tblCellMar>
        </w:tblPrEx>
        <w:trPr>
          <w:trHeight w:val="386"/>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搭设扫地杆</w:t>
            </w:r>
          </w:p>
        </w:tc>
        <w:tc>
          <w:tcPr>
            <w:tcW w:w="872"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1.未设置扫地杆</w:t>
            </w:r>
            <w:r>
              <w:rPr>
                <w:rFonts w:ascii="仿宋" w:eastAsia="仿宋" w:hAnsi="仿宋" w:cs="仿宋" w:hint="eastAsia"/>
                <w:color w:val="000000" w:themeColor="text1"/>
              </w:rPr>
              <w:t>的，扣6分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2.纵向扫地杆距地面高度大于200mm</w:t>
            </w:r>
            <w:r>
              <w:rPr>
                <w:rFonts w:ascii="仿宋" w:eastAsia="仿宋" w:hAnsi="仿宋" w:cs="仿宋" w:hint="eastAsia"/>
                <w:color w:val="000000" w:themeColor="text1"/>
              </w:rPr>
              <w:t>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3.</w:t>
            </w:r>
            <w:r>
              <w:rPr>
                <w:rFonts w:ascii="仿宋" w:eastAsia="仿宋" w:hAnsi="仿宋" w:cs="仿宋" w:hint="eastAsia"/>
                <w:color w:val="000000" w:themeColor="text1"/>
              </w:rPr>
              <w:t>未将横向扫地杆置于纵向扫地杆下方的，每处扣2分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4.横向扫地杆距主节点大于150mm</w:t>
            </w:r>
            <w:r>
              <w:rPr>
                <w:rFonts w:ascii="仿宋" w:eastAsia="仿宋" w:hAnsi="仿宋" w:cs="仿宋" w:hint="eastAsia"/>
                <w:color w:val="000000" w:themeColor="text1"/>
              </w:rPr>
              <w:t>的，每处扣2分。扣完为止</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搭设纵向水平杆</w:t>
            </w:r>
          </w:p>
        </w:tc>
        <w:tc>
          <w:tcPr>
            <w:tcW w:w="872"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1.杆件</w:t>
            </w:r>
            <w:r>
              <w:rPr>
                <w:rFonts w:ascii="仿宋" w:eastAsia="仿宋" w:hAnsi="仿宋" w:cs="仿宋" w:hint="eastAsia"/>
                <w:color w:val="000000" w:themeColor="text1"/>
              </w:rPr>
              <w:t>间距尺寸偏差超过规定值的，每处扣1分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2.杆件</w:t>
            </w:r>
            <w:r>
              <w:rPr>
                <w:rFonts w:ascii="仿宋" w:eastAsia="仿宋" w:hAnsi="仿宋" w:cs="仿宋" w:hint="eastAsia"/>
                <w:color w:val="000000" w:themeColor="text1"/>
                <w:lang w:val="zh-CN"/>
              </w:rPr>
              <w:t>不能保持水平</w:t>
            </w:r>
            <w:r>
              <w:rPr>
                <w:rFonts w:ascii="仿宋" w:eastAsia="仿宋" w:hAnsi="仿宋" w:cs="仿宋" w:hint="eastAsia"/>
                <w:color w:val="000000" w:themeColor="text1"/>
              </w:rPr>
              <w:t>的，每处扣1分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.杆件设置在立杆之外</w:t>
            </w:r>
            <w:r>
              <w:rPr>
                <w:rFonts w:ascii="仿宋" w:eastAsia="仿宋" w:hAnsi="仿宋" w:cs="仿宋" w:hint="eastAsia"/>
                <w:color w:val="000000" w:themeColor="text1"/>
              </w:rPr>
              <w:t>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.杆件连接、</w:t>
            </w:r>
            <w:r>
              <w:rPr>
                <w:rFonts w:ascii="仿宋" w:eastAsia="仿宋" w:hAnsi="仿宋" w:cs="仿宋" w:hint="eastAsia"/>
                <w:color w:val="000000" w:themeColor="text1"/>
              </w:rPr>
              <w:t>扣件的选择及安装</w:t>
            </w:r>
            <w:r>
              <w:rPr>
                <w:rFonts w:ascii="仿宋" w:eastAsia="仿宋" w:hAnsi="仿宋" w:cs="仿宋" w:hint="eastAsia"/>
                <w:color w:val="000000" w:themeColor="text1"/>
                <w:lang w:val="zh-CN"/>
              </w:rPr>
              <w:t>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的，每处扣1分。扣完为止</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搭设横向水平杆</w:t>
            </w:r>
          </w:p>
        </w:tc>
        <w:tc>
          <w:tcPr>
            <w:tcW w:w="872"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1.未设置横向水平杆</w:t>
            </w:r>
            <w:r>
              <w:rPr>
                <w:rFonts w:ascii="仿宋" w:eastAsia="仿宋" w:hAnsi="仿宋" w:cs="仿宋" w:hint="eastAsia"/>
                <w:color w:val="000000" w:themeColor="text1"/>
              </w:rPr>
              <w:t>的，扣6分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2.主节点</w:t>
            </w:r>
            <w:r>
              <w:rPr>
                <w:rFonts w:ascii="仿宋" w:eastAsia="仿宋" w:hAnsi="仿宋" w:cs="仿宋" w:hint="eastAsia"/>
                <w:color w:val="000000" w:themeColor="text1"/>
              </w:rPr>
              <w:t>及需要搭设横向水平杆的部位</w:t>
            </w:r>
            <w:r>
              <w:rPr>
                <w:rFonts w:ascii="仿宋" w:eastAsia="仿宋" w:hAnsi="仿宋" w:cs="仿宋" w:hint="eastAsia"/>
                <w:color w:val="000000" w:themeColor="text1"/>
                <w:lang w:val="zh-CN"/>
              </w:rPr>
              <w:t>缺少横向水平杆</w:t>
            </w:r>
            <w:r>
              <w:rPr>
                <w:rFonts w:ascii="仿宋" w:eastAsia="仿宋" w:hAnsi="仿宋" w:cs="仿宋" w:hint="eastAsia"/>
                <w:color w:val="000000" w:themeColor="text1"/>
              </w:rPr>
              <w:t>的，每处扣2分</w:t>
            </w:r>
          </w:p>
        </w:tc>
      </w:tr>
      <w:tr>
        <w:tblPrEx>
          <w:tblW w:w="8748" w:type="dxa"/>
          <w:jc w:val="center"/>
          <w:tblLayout w:type="fixed"/>
          <w:tblCellMar>
            <w:top w:w="0" w:type="dxa"/>
            <w:left w:w="108" w:type="dxa"/>
            <w:bottom w:w="0" w:type="dxa"/>
            <w:right w:w="108" w:type="dxa"/>
          </w:tblCellMar>
        </w:tblPrEx>
        <w:trPr>
          <w:trHeight w:val="427"/>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r>
              <w:rPr>
                <w:rFonts w:ascii="仿宋" w:eastAsia="仿宋" w:hAnsi="仿宋" w:cs="仿宋" w:hint="eastAsia"/>
                <w:color w:val="000000" w:themeColor="text1"/>
                <w:lang w:val="zh-CN"/>
              </w:rPr>
              <w:t>3.杆件设置距主节点大于150mm</w:t>
            </w:r>
            <w:r>
              <w:rPr>
                <w:rFonts w:ascii="仿宋" w:eastAsia="仿宋" w:hAnsi="仿宋" w:cs="仿宋" w:hint="eastAsia"/>
                <w:color w:val="000000" w:themeColor="text1"/>
              </w:rPr>
              <w:t>的，每处扣1分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杆件连接、</w:t>
            </w:r>
            <w:r>
              <w:rPr>
                <w:rFonts w:ascii="仿宋" w:eastAsia="仿宋" w:hAnsi="仿宋" w:cs="仿宋" w:hint="eastAsia"/>
                <w:color w:val="000000" w:themeColor="text1"/>
              </w:rPr>
              <w:t>扣件的选择及安装</w:t>
            </w:r>
            <w:r>
              <w:rPr>
                <w:rFonts w:ascii="仿宋" w:eastAsia="仿宋" w:hAnsi="仿宋" w:cs="仿宋" w:hint="eastAsia"/>
                <w:color w:val="000000" w:themeColor="text1"/>
                <w:lang w:val="zh-CN"/>
              </w:rPr>
              <w:t>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的，每处扣1分。扣完为止</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r>
              <w:rPr>
                <w:rFonts w:ascii="仿宋" w:eastAsia="仿宋" w:hAnsi="仿宋" w:cs="仿宋" w:hint="eastAsia"/>
                <w:color w:val="000000" w:themeColor="text1"/>
              </w:rPr>
              <w:t>安装连墙件</w:t>
            </w:r>
          </w:p>
        </w:tc>
        <w:tc>
          <w:tcPr>
            <w:tcW w:w="872"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bidi="en-US"/>
              </w:rPr>
            </w:pPr>
            <w:r>
              <w:rPr>
                <w:rFonts w:ascii="仿宋" w:eastAsia="仿宋" w:hAnsi="仿宋" w:cs="仿宋" w:hint="eastAsia"/>
                <w:color w:val="000000" w:themeColor="text1"/>
                <w:lang w:bidi="en-US"/>
              </w:rPr>
              <w:t>10</w:t>
            </w: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1.连墙件数量不足的，每缺少一处扣4分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2.连墙件设置位置错误</w:t>
            </w:r>
            <w:r>
              <w:rPr>
                <w:rFonts w:ascii="仿宋" w:eastAsia="仿宋" w:hAnsi="仿宋" w:cs="仿宋" w:hint="eastAsia"/>
                <w:color w:val="000000" w:themeColor="text1"/>
              </w:rPr>
              <w:t>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3.连墙件设置方法错误</w:t>
            </w:r>
            <w:r>
              <w:rPr>
                <w:rFonts w:ascii="仿宋" w:eastAsia="仿宋" w:hAnsi="仿宋" w:cs="仿宋" w:hint="eastAsia"/>
                <w:color w:val="000000" w:themeColor="text1"/>
              </w:rPr>
              <w:t>的，每处扣2分。扣完为止</w:t>
            </w:r>
          </w:p>
        </w:tc>
      </w:tr>
      <w:tr>
        <w:tblPrEx>
          <w:tblW w:w="8748" w:type="dxa"/>
          <w:jc w:val="center"/>
          <w:tblLayout w:type="fixed"/>
          <w:tblCellMar>
            <w:top w:w="0" w:type="dxa"/>
            <w:left w:w="108" w:type="dxa"/>
            <w:bottom w:w="0" w:type="dxa"/>
            <w:right w:w="108" w:type="dxa"/>
          </w:tblCellMar>
        </w:tblPrEx>
        <w:trPr>
          <w:trHeight w:val="420"/>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搭设剪刀撑</w:t>
            </w:r>
          </w:p>
        </w:tc>
        <w:tc>
          <w:tcPr>
            <w:tcW w:w="872"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1.未设置剪刀撑</w:t>
            </w:r>
            <w:r>
              <w:rPr>
                <w:rFonts w:ascii="仿宋" w:eastAsia="仿宋" w:hAnsi="仿宋" w:cs="仿宋" w:hint="eastAsia"/>
                <w:color w:val="000000" w:themeColor="text1"/>
              </w:rPr>
              <w:t>的，扣6分</w:t>
            </w:r>
          </w:p>
        </w:tc>
      </w:tr>
    </w:tbl>
    <w:p>
      <w:pPr>
        <w:sectPr>
          <w:footerReference w:type="default" r:id="rId15"/>
          <w:type w:val="nextPage"/>
          <w:pgSz w:w="11906" w:h="16838"/>
          <w:pgMar w:top="2098" w:right="1531" w:bottom="1984" w:left="1531" w:header="851" w:footer="1531" w:gutter="0"/>
          <w:pgNumType w:fmt="decimal" w:start="316"/>
          <w:cols w:num="1" w:space="425"/>
          <w:titlePg w:val="0"/>
          <w:docGrid w:type="lines" w:linePitch="312" w:charSpace="0"/>
        </w:sectPr>
      </w:pPr>
    </w:p>
    <w:tbl>
      <w:tblPr>
        <w:tblStyle w:val="TableNormal"/>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396"/>
        <w:gridCol w:w="872"/>
        <w:gridCol w:w="5292"/>
      </w:tblGrid>
      <w:tr>
        <w:tblPrEx>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2"/>
          <w:jc w:val="center"/>
        </w:trPr>
        <w:tc>
          <w:tcPr>
            <w:tcW w:w="1188"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r>
              <w:rPr>
                <w:rFonts w:ascii="仿宋" w:eastAsia="仿宋" w:hAnsi="仿宋" w:cs="仿宋" w:hint="eastAsia"/>
                <w:color w:val="000000" w:themeColor="text1"/>
              </w:rPr>
              <w:t>2.剪刀撑设置数量不符合规范要求的，每处扣2分</w:t>
            </w:r>
          </w:p>
        </w:tc>
      </w:tr>
      <w:tr>
        <w:tblPrEx>
          <w:tblW w:w="8748" w:type="dxa"/>
          <w:jc w:val="center"/>
          <w:tblLayout w:type="fixed"/>
          <w:tblCellMar>
            <w:top w:w="0" w:type="dxa"/>
            <w:left w:w="108" w:type="dxa"/>
            <w:bottom w:w="0" w:type="dxa"/>
            <w:right w:w="108" w:type="dxa"/>
          </w:tblCellMar>
        </w:tblPrEx>
        <w:trPr>
          <w:trHeight w:val="389"/>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napToGrid/>
              <w:spacing w:line="280" w:lineRule="exact"/>
              <w:jc w:val="left"/>
              <w:textAlignment w:val="auto"/>
              <w:rPr>
                <w:rFonts w:ascii="仿宋" w:eastAsia="仿宋" w:hAnsi="仿宋" w:cs="仿宋"/>
                <w:color w:val="000000" w:themeColor="text1"/>
              </w:rPr>
            </w:pPr>
            <w:r>
              <w:rPr>
                <w:rFonts w:ascii="仿宋" w:eastAsia="仿宋" w:hAnsi="仿宋" w:cs="仿宋" w:hint="eastAsia"/>
                <w:color w:val="000000" w:themeColor="text1"/>
                <w:lang w:val="zh-CN"/>
              </w:rPr>
              <w:t>3.</w:t>
            </w:r>
            <w:r>
              <w:rPr>
                <w:rFonts w:ascii="仿宋" w:eastAsia="仿宋" w:hAnsi="仿宋" w:cs="仿宋" w:hint="eastAsia"/>
                <w:color w:val="000000" w:themeColor="text1"/>
              </w:rPr>
              <w:t>剪刀撑</w:t>
            </w:r>
            <w:r>
              <w:rPr>
                <w:rFonts w:ascii="仿宋" w:eastAsia="仿宋" w:hAnsi="仿宋" w:cs="仿宋" w:hint="eastAsia"/>
                <w:color w:val="000000" w:themeColor="text1"/>
                <w:lang w:val="zh-CN"/>
              </w:rPr>
              <w:t>未触及地面及夹角不符合45º</w:t>
            </w:r>
            <w:r>
              <w:rPr>
                <w:rFonts w:ascii="仿宋" w:eastAsia="仿宋" w:hAnsi="仿宋" w:cs="仿宋" w:hint="eastAsia"/>
                <w:color w:val="000000" w:themeColor="text1"/>
              </w:rPr>
              <w:t>—</w:t>
            </w:r>
            <w:r>
              <w:rPr>
                <w:rFonts w:ascii="仿宋" w:eastAsia="仿宋" w:hAnsi="仿宋" w:cs="仿宋" w:hint="eastAsia"/>
                <w:color w:val="000000" w:themeColor="text1"/>
                <w:lang w:val="zh-CN"/>
              </w:rPr>
              <w:t>60º</w:t>
            </w:r>
            <w:r>
              <w:rPr>
                <w:rFonts w:ascii="仿宋" w:eastAsia="仿宋" w:hAnsi="仿宋" w:cs="仿宋" w:hint="eastAsia"/>
                <w:color w:val="000000" w:themeColor="text1"/>
              </w:rPr>
              <w:t>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4.剪刀撑搭接不符合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napToGrid/>
              <w:spacing w:line="280" w:lineRule="exact"/>
              <w:jc w:val="left"/>
              <w:textAlignment w:val="auto"/>
              <w:rPr>
                <w:rFonts w:ascii="仿宋" w:eastAsia="仿宋" w:hAnsi="仿宋" w:cs="仿宋"/>
                <w:color w:val="000000" w:themeColor="text1"/>
              </w:rPr>
            </w:pPr>
            <w:r>
              <w:rPr>
                <w:rFonts w:ascii="仿宋" w:eastAsia="仿宋" w:hAnsi="仿宋" w:cs="仿宋" w:hint="eastAsia"/>
                <w:color w:val="000000" w:themeColor="text1"/>
                <w:lang w:val="zh-CN"/>
              </w:rPr>
              <w:t>5.剪刀撑固定、</w:t>
            </w:r>
            <w:r>
              <w:rPr>
                <w:rFonts w:ascii="仿宋" w:eastAsia="仿宋" w:hAnsi="仿宋" w:cs="仿宋" w:hint="eastAsia"/>
                <w:color w:val="000000" w:themeColor="text1"/>
              </w:rPr>
              <w:t>扣件的选择及安装</w:t>
            </w:r>
            <w:r>
              <w:rPr>
                <w:rFonts w:ascii="仿宋" w:eastAsia="仿宋" w:hAnsi="仿宋" w:cs="仿宋" w:hint="eastAsia"/>
                <w:color w:val="000000" w:themeColor="text1"/>
                <w:lang w:val="zh-CN"/>
              </w:rPr>
              <w:t>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的，每处扣2分。扣完为止</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扣件拧紧扭力矩</w:t>
            </w:r>
          </w:p>
        </w:tc>
        <w:tc>
          <w:tcPr>
            <w:tcW w:w="872"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8</w:t>
            </w:r>
          </w:p>
        </w:tc>
        <w:tc>
          <w:tcPr>
            <w:tcW w:w="5292" w:type="dxa"/>
            <w:vAlign w:val="center"/>
          </w:tcPr>
          <w:p>
            <w:pPr>
              <w:keepNext w:val="0"/>
              <w:keepLines w:val="0"/>
              <w:pageBreakBefore w:val="0"/>
              <w:widowControl w:val="0"/>
              <w:kinsoku/>
              <w:wordWrap/>
              <w:overflowPunct w:val="0"/>
              <w:topLinePunct w:val="0"/>
              <w:autoSpaceDE/>
              <w:autoSpaceDN/>
              <w:bidi w:val="0"/>
              <w:adjustRightInd/>
              <w:snapToGrid/>
              <w:spacing w:line="280" w:lineRule="exact"/>
              <w:jc w:val="left"/>
              <w:textAlignment w:val="auto"/>
              <w:rPr>
                <w:rFonts w:ascii="仿宋" w:eastAsia="仿宋" w:hAnsi="仿宋" w:cs="仿宋"/>
                <w:color w:val="000000" w:themeColor="text1"/>
              </w:rPr>
            </w:pPr>
            <w:r>
              <w:rPr>
                <w:rFonts w:ascii="仿宋" w:eastAsia="仿宋" w:hAnsi="仿宋" w:cs="仿宋" w:hint="eastAsia"/>
                <w:color w:val="000000" w:themeColor="text1"/>
              </w:rPr>
              <w:t>1.随机</w:t>
            </w:r>
            <w:r>
              <w:rPr>
                <w:rFonts w:ascii="仿宋" w:eastAsia="仿宋" w:hAnsi="仿宋" w:cs="仿宋" w:hint="eastAsia"/>
                <w:color w:val="000000" w:themeColor="text1"/>
                <w:lang w:val="zh-CN"/>
              </w:rPr>
              <w:t>抽查</w:t>
            </w:r>
            <w:r>
              <w:rPr>
                <w:rFonts w:ascii="仿宋" w:eastAsia="仿宋" w:hAnsi="仿宋" w:cs="仿宋" w:hint="eastAsia"/>
                <w:color w:val="000000" w:themeColor="text1"/>
              </w:rPr>
              <w:t>4</w:t>
            </w:r>
            <w:r>
              <w:rPr>
                <w:rFonts w:ascii="仿宋" w:eastAsia="仿宋" w:hAnsi="仿宋" w:cs="仿宋" w:hint="eastAsia"/>
                <w:color w:val="000000" w:themeColor="text1"/>
                <w:lang w:val="zh-CN"/>
              </w:rPr>
              <w:t>个扣件的拧紧扭力矩，不在40-65N•m范围</w:t>
            </w:r>
            <w:r>
              <w:rPr>
                <w:rFonts w:ascii="仿宋" w:eastAsia="仿宋" w:hAnsi="仿宋" w:cs="仿宋" w:hint="eastAsia"/>
                <w:color w:val="000000" w:themeColor="text1"/>
              </w:rPr>
              <w:t>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napToGrid/>
              <w:spacing w:line="280" w:lineRule="exact"/>
              <w:jc w:val="left"/>
              <w:textAlignment w:val="auto"/>
              <w:rPr>
                <w:rFonts w:ascii="仿宋" w:eastAsia="仿宋" w:hAnsi="仿宋" w:cs="仿宋"/>
                <w:color w:val="000000" w:themeColor="text1"/>
              </w:rPr>
            </w:pPr>
            <w:r>
              <w:rPr>
                <w:rFonts w:ascii="仿宋" w:eastAsia="仿宋" w:hAnsi="仿宋" w:cs="仿宋" w:hint="eastAsia"/>
                <w:color w:val="000000" w:themeColor="text1"/>
              </w:rPr>
              <w:t>2</w:t>
            </w:r>
            <w:r>
              <w:rPr>
                <w:rFonts w:ascii="仿宋" w:eastAsia="仿宋" w:hAnsi="仿宋" w:cs="仿宋" w:hint="eastAsia"/>
                <w:color w:val="000000" w:themeColor="text1"/>
                <w:lang w:val="zh-CN"/>
              </w:rPr>
              <w:t>.</w:t>
            </w:r>
            <w:r>
              <w:rPr>
                <w:rFonts w:ascii="仿宋" w:eastAsia="仿宋" w:hAnsi="仿宋" w:cs="仿宋" w:hint="eastAsia"/>
                <w:color w:val="000000" w:themeColor="text1"/>
              </w:rPr>
              <w:t>因拧力过大，造成扣件报废的，每处扣4分。扣完为止</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设置操作层防护</w:t>
            </w:r>
          </w:p>
        </w:tc>
        <w:tc>
          <w:tcPr>
            <w:tcW w:w="872"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1.未设置脚手板</w:t>
            </w:r>
            <w:r>
              <w:rPr>
                <w:rFonts w:ascii="仿宋" w:eastAsia="仿宋" w:hAnsi="仿宋" w:cs="仿宋" w:hint="eastAsia"/>
                <w:color w:val="000000" w:themeColor="text1"/>
              </w:rPr>
              <w:t>或出现探头板的，扣6分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napToGrid/>
              <w:spacing w:line="280" w:lineRule="exact"/>
              <w:jc w:val="left"/>
              <w:textAlignment w:val="auto"/>
              <w:rPr>
                <w:rFonts w:ascii="仿宋" w:eastAsia="仿宋" w:hAnsi="仿宋" w:cs="仿宋"/>
                <w:color w:val="000000" w:themeColor="text1"/>
              </w:rPr>
            </w:pPr>
            <w:r>
              <w:rPr>
                <w:rFonts w:ascii="仿宋" w:eastAsia="仿宋" w:hAnsi="仿宋" w:cs="仿宋" w:hint="eastAsia"/>
                <w:color w:val="000000" w:themeColor="text1"/>
              </w:rPr>
              <w:t>2.脚手板未铺满，对接、搭接不符合规范要求的，每处扣2分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3.未设置防护栏杆的，扣6分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napToGrid/>
              <w:spacing w:line="280" w:lineRule="exact"/>
              <w:jc w:val="left"/>
              <w:textAlignment w:val="auto"/>
              <w:rPr>
                <w:rFonts w:ascii="仿宋" w:eastAsia="仿宋" w:hAnsi="仿宋" w:cs="仿宋"/>
                <w:color w:val="000000" w:themeColor="text1"/>
              </w:rPr>
            </w:pPr>
            <w:r>
              <w:rPr>
                <w:rFonts w:ascii="仿宋" w:eastAsia="仿宋" w:hAnsi="仿宋" w:cs="仿宋" w:hint="eastAsia"/>
                <w:color w:val="000000" w:themeColor="text1"/>
              </w:rPr>
              <w:t>4.防护栏杆高度不足1200mm、间距不符合规范要求的，每处扣2分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5</w:t>
            </w:r>
            <w:r>
              <w:rPr>
                <w:rFonts w:ascii="仿宋" w:eastAsia="仿宋" w:hAnsi="仿宋" w:cs="仿宋" w:hint="eastAsia"/>
                <w:color w:val="000000" w:themeColor="text1"/>
                <w:lang w:val="zh-CN"/>
              </w:rPr>
              <w:t>.未设置</w:t>
            </w:r>
            <w:r>
              <w:rPr>
                <w:rFonts w:ascii="仿宋" w:eastAsia="仿宋" w:hAnsi="仿宋" w:cs="仿宋" w:hint="eastAsia"/>
                <w:color w:val="000000" w:themeColor="text1"/>
              </w:rPr>
              <w:t>挡脚板的，扣6分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napToGrid/>
              <w:spacing w:line="280" w:lineRule="exact"/>
              <w:jc w:val="left"/>
              <w:textAlignment w:val="auto"/>
              <w:rPr>
                <w:rFonts w:ascii="仿宋" w:eastAsia="仿宋" w:hAnsi="仿宋" w:cs="仿宋"/>
                <w:color w:val="000000" w:themeColor="text1"/>
              </w:rPr>
            </w:pPr>
            <w:r>
              <w:rPr>
                <w:rFonts w:ascii="仿宋" w:eastAsia="仿宋" w:hAnsi="仿宋" w:cs="仿宋" w:hint="eastAsia"/>
                <w:color w:val="000000" w:themeColor="text1"/>
              </w:rPr>
              <w:t>6</w:t>
            </w:r>
            <w:r>
              <w:rPr>
                <w:rFonts w:ascii="仿宋" w:eastAsia="仿宋" w:hAnsi="仿宋" w:cs="仿宋" w:hint="eastAsia"/>
                <w:color w:val="000000" w:themeColor="text1"/>
                <w:lang w:val="zh-CN"/>
              </w:rPr>
              <w:t>.</w:t>
            </w:r>
            <w:r>
              <w:rPr>
                <w:rFonts w:ascii="仿宋" w:eastAsia="仿宋" w:hAnsi="仿宋" w:cs="仿宋" w:hint="eastAsia"/>
                <w:color w:val="000000" w:themeColor="text1"/>
              </w:rPr>
              <w:t>设置</w:t>
            </w:r>
            <w:r>
              <w:rPr>
                <w:rFonts w:ascii="仿宋" w:eastAsia="仿宋" w:hAnsi="仿宋" w:cs="仿宋" w:hint="eastAsia"/>
                <w:color w:val="000000" w:themeColor="text1"/>
                <w:lang w:val="zh-CN"/>
              </w:rPr>
              <w:t>挡脚板高度低于180mm、</w:t>
            </w:r>
            <w:r>
              <w:rPr>
                <w:rFonts w:ascii="仿宋" w:eastAsia="仿宋" w:hAnsi="仿宋" w:cs="仿宋" w:hint="eastAsia"/>
                <w:color w:val="000000" w:themeColor="text1"/>
              </w:rPr>
              <w:t>设置位置不准确的，每处扣2分。扣完为止</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挂设安全网</w:t>
            </w:r>
          </w:p>
        </w:tc>
        <w:tc>
          <w:tcPr>
            <w:tcW w:w="872"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w:t>
            </w:r>
            <w:r>
              <w:rPr>
                <w:rFonts w:ascii="仿宋" w:eastAsia="仿宋" w:hAnsi="仿宋" w:cs="仿宋" w:hint="eastAsia"/>
                <w:color w:val="000000" w:themeColor="text1"/>
              </w:rPr>
              <w:t>首层</w:t>
            </w:r>
            <w:r>
              <w:rPr>
                <w:rFonts w:ascii="仿宋" w:eastAsia="仿宋" w:hAnsi="仿宋" w:cs="仿宋" w:hint="eastAsia"/>
                <w:color w:val="000000" w:themeColor="text1"/>
                <w:lang w:val="zh-CN"/>
              </w:rPr>
              <w:t>安全</w:t>
            </w:r>
            <w:r>
              <w:rPr>
                <w:rFonts w:ascii="仿宋" w:eastAsia="仿宋" w:hAnsi="仿宋" w:cs="仿宋" w:hint="eastAsia"/>
                <w:color w:val="000000" w:themeColor="text1"/>
              </w:rPr>
              <w:t>平</w:t>
            </w:r>
            <w:r>
              <w:rPr>
                <w:rFonts w:ascii="仿宋" w:eastAsia="仿宋" w:hAnsi="仿宋" w:cs="仿宋" w:hint="eastAsia"/>
                <w:color w:val="000000" w:themeColor="text1"/>
                <w:lang w:val="zh-CN"/>
              </w:rPr>
              <w:t>网</w:t>
            </w:r>
            <w:r>
              <w:rPr>
                <w:rFonts w:ascii="仿宋" w:eastAsia="仿宋" w:hAnsi="仿宋" w:cs="仿宋" w:hint="eastAsia"/>
                <w:color w:val="000000" w:themeColor="text1"/>
              </w:rPr>
              <w:t>的，扣4分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2.未设置随层</w:t>
            </w:r>
            <w:r>
              <w:rPr>
                <w:rFonts w:ascii="仿宋" w:eastAsia="仿宋" w:hAnsi="仿宋" w:cs="仿宋" w:hint="eastAsia"/>
                <w:color w:val="000000" w:themeColor="text1"/>
              </w:rPr>
              <w:t>安全</w:t>
            </w:r>
            <w:r>
              <w:rPr>
                <w:rFonts w:ascii="仿宋" w:eastAsia="仿宋" w:hAnsi="仿宋" w:cs="仿宋" w:hint="eastAsia"/>
                <w:color w:val="000000" w:themeColor="text1"/>
                <w:lang w:val="zh-CN"/>
              </w:rPr>
              <w:t>平网</w:t>
            </w:r>
            <w:r>
              <w:rPr>
                <w:rFonts w:ascii="仿宋" w:eastAsia="仿宋" w:hAnsi="仿宋" w:cs="仿宋" w:hint="eastAsia"/>
                <w:color w:val="000000" w:themeColor="text1"/>
              </w:rPr>
              <w:t>的，扣4分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3.未挂设密目式安全</w:t>
            </w:r>
            <w:r>
              <w:rPr>
                <w:rFonts w:ascii="仿宋" w:eastAsia="仿宋" w:hAnsi="仿宋" w:cs="仿宋" w:hint="eastAsia"/>
                <w:color w:val="000000" w:themeColor="text1"/>
              </w:rPr>
              <w:t>立</w:t>
            </w:r>
            <w:r>
              <w:rPr>
                <w:rFonts w:ascii="仿宋" w:eastAsia="仿宋" w:hAnsi="仿宋" w:cs="仿宋" w:hint="eastAsia"/>
                <w:color w:val="000000" w:themeColor="text1"/>
                <w:lang w:val="zh-CN"/>
              </w:rPr>
              <w:t>网</w:t>
            </w:r>
            <w:r>
              <w:rPr>
                <w:rFonts w:ascii="仿宋" w:eastAsia="仿宋" w:hAnsi="仿宋" w:cs="仿宋" w:hint="eastAsia"/>
                <w:color w:val="000000" w:themeColor="text1"/>
              </w:rPr>
              <w:t>的，扣4分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4.</w:t>
            </w:r>
            <w:r>
              <w:rPr>
                <w:rFonts w:ascii="仿宋" w:eastAsia="仿宋" w:hAnsi="仿宋" w:cs="仿宋" w:hint="eastAsia"/>
                <w:color w:val="000000" w:themeColor="text1"/>
              </w:rPr>
              <w:t>安全网</w:t>
            </w:r>
            <w:r>
              <w:rPr>
                <w:rFonts w:ascii="仿宋" w:eastAsia="仿宋" w:hAnsi="仿宋" w:cs="仿宋" w:hint="eastAsia"/>
                <w:color w:val="000000" w:themeColor="text1"/>
                <w:lang w:val="zh-CN"/>
              </w:rPr>
              <w:t>设置不符合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的，每处扣2分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5.安全网</w:t>
            </w:r>
            <w:r>
              <w:rPr>
                <w:rFonts w:ascii="仿宋" w:eastAsia="仿宋" w:hAnsi="仿宋" w:cs="仿宋" w:hint="eastAsia"/>
                <w:color w:val="000000" w:themeColor="text1"/>
              </w:rPr>
              <w:t>连接点</w:t>
            </w:r>
            <w:r>
              <w:rPr>
                <w:rFonts w:ascii="仿宋" w:eastAsia="仿宋" w:hAnsi="仿宋" w:cs="仿宋" w:hint="eastAsia"/>
                <w:color w:val="000000" w:themeColor="text1"/>
                <w:lang w:val="zh-CN"/>
              </w:rPr>
              <w:t>不牢固</w:t>
            </w:r>
            <w:r>
              <w:rPr>
                <w:rFonts w:ascii="仿宋" w:eastAsia="仿宋" w:hAnsi="仿宋" w:cs="仿宋" w:hint="eastAsia"/>
                <w:color w:val="000000" w:themeColor="text1"/>
              </w:rPr>
              <w:t>的，每处扣2分。扣完为止</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拆除</w:t>
            </w:r>
          </w:p>
        </w:tc>
        <w:tc>
          <w:tcPr>
            <w:tcW w:w="872"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20</w:t>
            </w: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1.未按先搭后拆、后搭先拆要求进行拆除，</w:t>
            </w:r>
            <w:r>
              <w:rPr>
                <w:rFonts w:ascii="仿宋" w:eastAsia="仿宋" w:hAnsi="仿宋" w:cs="仿宋" w:hint="eastAsia"/>
                <w:color w:val="000000" w:themeColor="text1"/>
              </w:rPr>
              <w:t>扣10分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872"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r>
              <w:rPr>
                <w:rFonts w:ascii="仿宋" w:eastAsia="仿宋" w:hAnsi="仿宋" w:cs="仿宋" w:hint="eastAsia"/>
                <w:color w:val="000000" w:themeColor="text1"/>
                <w:lang w:val="zh-CN"/>
              </w:rPr>
              <w:t>2.在规定时间内未完成拆除作业的，扣10分</w:t>
            </w:r>
          </w:p>
        </w:tc>
      </w:tr>
      <w:tr>
        <w:tblPrEx>
          <w:tblW w:w="8748"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396"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扭力扳手的使用</w:t>
            </w:r>
          </w:p>
        </w:tc>
        <w:tc>
          <w:tcPr>
            <w:tcW w:w="872"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292"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不能正确使用扭力扳手测量扣件拧紧扭力矩</w:t>
            </w:r>
            <w:r>
              <w:rPr>
                <w:rFonts w:ascii="仿宋" w:eastAsia="仿宋" w:hAnsi="仿宋" w:cs="仿宋" w:hint="eastAsia"/>
                <w:color w:val="000000" w:themeColor="text1"/>
              </w:rPr>
              <w:t>的，扣6分</w:t>
            </w:r>
          </w:p>
        </w:tc>
      </w:tr>
      <w:tr>
        <w:tblPrEx>
          <w:tblW w:w="8748" w:type="dxa"/>
          <w:jc w:val="center"/>
          <w:tblLayout w:type="fixed"/>
          <w:tblCellMar>
            <w:top w:w="0" w:type="dxa"/>
            <w:left w:w="108" w:type="dxa"/>
            <w:bottom w:w="0" w:type="dxa"/>
            <w:right w:w="108" w:type="dxa"/>
          </w:tblCellMar>
        </w:tblPrEx>
        <w:trPr>
          <w:trHeight w:val="620"/>
          <w:jc w:val="center"/>
        </w:trPr>
        <w:tc>
          <w:tcPr>
            <w:tcW w:w="1188"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r>
              <w:rPr>
                <w:rFonts w:ascii="仿宋" w:eastAsia="仿宋" w:hAnsi="仿宋" w:cs="仿宋" w:hint="eastAsia"/>
                <w:color w:val="000000" w:themeColor="text1"/>
              </w:rPr>
              <w:t>否决项</w:t>
            </w:r>
          </w:p>
        </w:tc>
        <w:tc>
          <w:tcPr>
            <w:tcW w:w="1396"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r>
              <w:rPr>
                <w:rFonts w:ascii="仿宋" w:eastAsia="仿宋" w:hAnsi="仿宋" w:cs="仿宋" w:hint="eastAsia"/>
                <w:color w:val="000000" w:themeColor="text1"/>
              </w:rPr>
              <w:t>否决项说明</w:t>
            </w:r>
          </w:p>
        </w:tc>
        <w:tc>
          <w:tcPr>
            <w:tcW w:w="872"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r>
              <w:rPr>
                <w:rFonts w:ascii="仿宋" w:eastAsia="仿宋" w:hAnsi="仿宋" w:cs="仿宋" w:hint="eastAsia"/>
                <w:color w:val="000000" w:themeColor="text1"/>
              </w:rPr>
              <w:t>扣除该项分数</w:t>
            </w:r>
          </w:p>
        </w:tc>
        <w:tc>
          <w:tcPr>
            <w:tcW w:w="5292" w:type="dxa"/>
            <w:shd w:val="clear" w:color="auto" w:fill="auto"/>
            <w:vAlign w:val="center"/>
          </w:tcPr>
          <w:p>
            <w:pPr>
              <w:keepNext w:val="0"/>
              <w:keepLines w:val="0"/>
              <w:pageBreakBefore w:val="0"/>
              <w:widowControl w:val="0"/>
              <w:kinsoku/>
              <w:wordWrap/>
              <w:overflowPunct w:val="0"/>
              <w:topLinePunct w:val="0"/>
              <w:autoSpaceDE/>
              <w:autoSpaceDN/>
              <w:bidi w:val="0"/>
              <w:adjustRightInd/>
              <w:snapToGrid/>
              <w:spacing w:line="280" w:lineRule="exact"/>
              <w:jc w:val="left"/>
              <w:textAlignment w:val="auto"/>
              <w:rPr>
                <w:rFonts w:ascii="仿宋" w:eastAsia="仿宋" w:hAnsi="仿宋" w:cs="仿宋"/>
                <w:color w:val="000000" w:themeColor="text1"/>
              </w:rPr>
            </w:pPr>
            <w:r>
              <w:rPr>
                <w:rFonts w:ascii="仿宋" w:eastAsia="仿宋" w:hAnsi="仿宋" w:cs="仿宋" w:hint="eastAsia"/>
                <w:color w:val="000000" w:themeColor="text1"/>
              </w:rPr>
              <w:t>未穿戴齐全劳动防护用品，不准继续操作，终止该项目的考试</w:t>
            </w:r>
          </w:p>
        </w:tc>
      </w:tr>
      <w:tr>
        <w:tblPrEx>
          <w:tblW w:w="8748" w:type="dxa"/>
          <w:jc w:val="center"/>
          <w:tblLayout w:type="fixed"/>
          <w:tblCellMar>
            <w:top w:w="0" w:type="dxa"/>
            <w:left w:w="108" w:type="dxa"/>
            <w:bottom w:w="0" w:type="dxa"/>
            <w:right w:w="108" w:type="dxa"/>
          </w:tblCellMar>
        </w:tblPrEx>
        <w:trPr>
          <w:trHeight w:val="563"/>
          <w:jc w:val="center"/>
        </w:trPr>
        <w:tc>
          <w:tcPr>
            <w:tcW w:w="2584" w:type="dxa"/>
            <w:gridSpan w:val="2"/>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rPr>
            </w:pPr>
            <w:r>
              <w:rPr>
                <w:rFonts w:ascii="黑体" w:eastAsia="黑体" w:hAnsi="黑体" w:cs="黑体" w:hint="eastAsia"/>
                <w:color w:val="000000" w:themeColor="text1"/>
              </w:rPr>
              <w:t>合计</w:t>
            </w:r>
          </w:p>
        </w:tc>
        <w:tc>
          <w:tcPr>
            <w:tcW w:w="872"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rPr>
            </w:pPr>
            <w:r>
              <w:rPr>
                <w:rFonts w:ascii="黑体" w:eastAsia="黑体" w:hAnsi="黑体" w:cs="黑体" w:hint="eastAsia"/>
                <w:color w:val="000000" w:themeColor="text1"/>
              </w:rPr>
              <w:t>100</w:t>
            </w:r>
          </w:p>
        </w:tc>
        <w:tc>
          <w:tcPr>
            <w:tcW w:w="5292"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rPr>
            </w:pPr>
          </w:p>
        </w:tc>
      </w:tr>
    </w:tbl>
    <w:p>
      <w:pPr>
        <w:pStyle w:val="a5"/>
        <w:keepNext w:val="0"/>
        <w:keepLines w:val="0"/>
        <w:pageBreakBefore w:val="0"/>
        <w:widowControl w:val="0"/>
        <w:numPr>
          <w:ilvl w:val="2"/>
          <w:numId w:val="0"/>
        </w:numPr>
        <w:kinsoku/>
        <w:wordWrap/>
        <w:overflowPunct w:val="0"/>
        <w:topLinePunct w:val="0"/>
        <w:autoSpaceDE/>
        <w:autoSpaceDN/>
        <w:bidi w:val="0"/>
        <w:spacing w:before="156" w:after="156"/>
        <w:ind w:left="630" w:hanging="210" w:leftChars="200" w:hangingChars="100"/>
        <w:rPr>
          <w:color w:val="000000" w:themeColor="text1"/>
          <w:sz w:val="32"/>
          <w:szCs w:val="32"/>
        </w:rPr>
        <w:sectPr>
          <w:footerReference w:type="default" r:id="rId16"/>
          <w:type w:val="nextPage"/>
          <w:pgSz w:w="11906" w:h="16838"/>
          <w:pgMar w:top="2098" w:right="1531" w:bottom="1984" w:left="1531" w:header="851" w:footer="1531" w:gutter="0"/>
          <w:pgNumType w:fmt="decimal" w:start="317"/>
          <w:cols w:num="1" w:space="425"/>
          <w:titlePg w:val="0"/>
          <w:docGrid w:type="lines" w:linePitch="312" w:charSpace="0"/>
        </w:sectPr>
      </w:pPr>
      <w:bookmarkStart w:id="88" w:name="_Toc466293857"/>
      <w:r>
        <w:rPr>
          <w:rFonts w:ascii="仿宋" w:eastAsia="仿宋" w:hAnsi="仿宋" w:cs="仿宋" w:hint="eastAsia"/>
          <w:b/>
          <w:bCs/>
          <w:color w:val="000000" w:themeColor="text1"/>
        </w:rPr>
        <w:t>注：操作中考评员可随时分配考生中的某一位按指定要求进行操作，并确保每人都要操作。</w:t>
      </w:r>
    </w:p>
    <w:p>
      <w:pPr>
        <w:pStyle w:val="a5"/>
        <w:keepNext w:val="0"/>
        <w:keepLines w:val="0"/>
        <w:pageBreakBefore w:val="0"/>
        <w:widowControl w:val="0"/>
        <w:numPr>
          <w:ilvl w:val="2"/>
          <w:numId w:val="0"/>
        </w:numPr>
        <w:kinsoku/>
        <w:wordWrap/>
        <w:overflowPunct w:val="0"/>
        <w:topLinePunct w:val="0"/>
        <w:autoSpaceDE/>
        <w:autoSpaceDN/>
        <w:bidi w:val="0"/>
        <w:spacing w:before="156" w:after="156"/>
        <w:ind w:left="740" w:hanging="320" w:leftChars="200" w:hangingChars="100"/>
        <w:rPr>
          <w:color w:val="000000" w:themeColor="text1"/>
          <w:sz w:val="32"/>
          <w:szCs w:val="32"/>
        </w:rPr>
      </w:pPr>
      <w:r>
        <w:rPr>
          <w:rFonts w:hint="eastAsia"/>
          <w:color w:val="000000" w:themeColor="text1"/>
          <w:sz w:val="32"/>
          <w:szCs w:val="32"/>
        </w:rPr>
        <w:t>A.2.2.3</w:t>
      </w:r>
      <w:r>
        <w:rPr>
          <w:rFonts w:hint="eastAsia"/>
          <w:color w:val="000000" w:themeColor="text1"/>
          <w:sz w:val="32"/>
          <w:szCs w:val="32"/>
          <w:lang w:val="en-US" w:eastAsia="zh-CN"/>
        </w:rPr>
        <w:t xml:space="preserve">  </w:t>
      </w:r>
      <w:r>
        <w:rPr>
          <w:rFonts w:hint="eastAsia"/>
          <w:color w:val="000000" w:themeColor="text1"/>
          <w:sz w:val="32"/>
          <w:szCs w:val="32"/>
        </w:rPr>
        <w:t>设备配备</w:t>
      </w:r>
      <w:bookmarkEnd w:id="88"/>
    </w:p>
    <w:tbl>
      <w:tblPr>
        <w:tblStyle w:val="TableNormal"/>
        <w:tblW w:w="8760" w:type="dxa"/>
        <w:jc w:val="center"/>
        <w:tblLayout w:type="fixed"/>
        <w:tblCellMar>
          <w:top w:w="15" w:type="dxa"/>
          <w:left w:w="15" w:type="dxa"/>
          <w:bottom w:w="15" w:type="dxa"/>
          <w:right w:w="15" w:type="dxa"/>
        </w:tblCellMar>
      </w:tblPr>
      <w:tblGrid>
        <w:gridCol w:w="801"/>
        <w:gridCol w:w="2814"/>
        <w:gridCol w:w="2700"/>
        <w:gridCol w:w="960"/>
        <w:gridCol w:w="1485"/>
      </w:tblGrid>
      <w:tr>
        <w:tblPrEx>
          <w:tblW w:w="8760" w:type="dxa"/>
          <w:jc w:val="center"/>
          <w:tblLayout w:type="fixed"/>
          <w:tblCellMar>
            <w:top w:w="15" w:type="dxa"/>
            <w:left w:w="15" w:type="dxa"/>
            <w:bottom w:w="15" w:type="dxa"/>
            <w:right w:w="15" w:type="dxa"/>
          </w:tblCellMar>
        </w:tblPrEx>
        <w:trPr>
          <w:trHeight w:val="594"/>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rPr>
            </w:pPr>
            <w:r>
              <w:rPr>
                <w:rFonts w:ascii="黑体" w:eastAsia="黑体" w:hAnsi="黑体" w:cs="黑体" w:hint="eastAsia"/>
                <w:color w:val="000000" w:themeColor="text1"/>
              </w:rPr>
              <w:t>序号</w:t>
            </w:r>
          </w:p>
        </w:tc>
        <w:tc>
          <w:tcPr>
            <w:tcW w:w="2814"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rPr>
            </w:pPr>
            <w:r>
              <w:rPr>
                <w:rFonts w:ascii="黑体" w:eastAsia="黑体" w:hAnsi="黑体" w:cs="黑体" w:hint="eastAsia"/>
                <w:color w:val="000000" w:themeColor="text1"/>
              </w:rPr>
              <w:t>设备</w:t>
            </w:r>
          </w:p>
        </w:tc>
        <w:tc>
          <w:tcPr>
            <w:tcW w:w="2700"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rPr>
            </w:pPr>
            <w:r>
              <w:rPr>
                <w:rFonts w:ascii="黑体" w:eastAsia="黑体" w:hAnsi="黑体" w:cs="黑体" w:hint="eastAsia"/>
                <w:color w:val="000000" w:themeColor="text1"/>
              </w:rPr>
              <w:t>参考型号/规格</w:t>
            </w:r>
          </w:p>
        </w:tc>
        <w:tc>
          <w:tcPr>
            <w:tcW w:w="960"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rPr>
            </w:pPr>
            <w:r>
              <w:rPr>
                <w:rFonts w:ascii="黑体" w:eastAsia="黑体" w:hAnsi="黑体" w:cs="黑体" w:hint="eastAsia"/>
                <w:color w:val="000000" w:themeColor="text1"/>
              </w:rPr>
              <w:t>数量</w:t>
            </w:r>
          </w:p>
        </w:tc>
        <w:tc>
          <w:tcPr>
            <w:tcW w:w="1485"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rPr>
            </w:pPr>
            <w:r>
              <w:rPr>
                <w:rFonts w:ascii="黑体" w:eastAsia="黑体" w:hAnsi="黑体" w:cs="黑体" w:hint="eastAsia"/>
                <w:color w:val="000000" w:themeColor="text1"/>
              </w:rPr>
              <w:t>备注</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双排落地扣件式钢管脚手架（套）</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符合脚手架相关规范</w:t>
            </w: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杆件钢管</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Ф48.3×3.6；1米-6米</w:t>
            </w: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3</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rPr>
              <w:t>扣件</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rPr>
              <w:t>符合《钢管脚手架扣件》GB15831 的规定</w:t>
            </w: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4</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脚手板</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符合脚手架相关规范</w:t>
            </w: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5</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挡脚板</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符合脚手架相关规范</w:t>
            </w: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6</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扫地杆垫木</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符合</w:t>
            </w:r>
            <w:r>
              <w:rPr>
                <w:rFonts w:ascii="仿宋" w:eastAsia="仿宋" w:hAnsi="仿宋" w:cs="仿宋" w:hint="eastAsia"/>
                <w:color w:val="000000" w:themeColor="text1"/>
              </w:rPr>
              <w:t>脚手架</w:t>
            </w:r>
            <w:r>
              <w:rPr>
                <w:rFonts w:ascii="仿宋" w:eastAsia="仿宋" w:hAnsi="仿宋" w:cs="仿宋" w:hint="eastAsia"/>
                <w:color w:val="000000" w:themeColor="text1"/>
                <w:kern w:val="0"/>
              </w:rPr>
              <w:t>相关规范</w:t>
            </w: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7</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rPr>
              <w:t>立杆底托或金属垫板</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符合脚手架相关规范</w:t>
            </w: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8</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安全网</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符合安全网相关规范</w:t>
            </w: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9</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安全帽</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符合安全帽相关规范</w:t>
            </w: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12</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10</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安全带</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符合安全带相关规范</w:t>
            </w: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12</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11</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扭力扳手</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12</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梅花扳手</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6</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13</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压力扳手</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14</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活扳手</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6</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15</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钎子</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16</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铁剪子</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17</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卷尺</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6</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18</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石笔</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19</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镀锌铁丝</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20</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工具袋</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12</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21</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安全标志牌</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60" w:type="dxa"/>
          <w:jc w:val="center"/>
          <w:tblLayout w:type="fixed"/>
          <w:tblCellMar>
            <w:top w:w="15" w:type="dxa"/>
            <w:left w:w="15" w:type="dxa"/>
            <w:bottom w:w="15" w:type="dxa"/>
            <w:right w:w="15" w:type="dxa"/>
          </w:tblCellMar>
        </w:tblPrEx>
        <w:trPr>
          <w:trHeight w:val="346"/>
          <w:jc w:val="center"/>
        </w:trPr>
        <w:tc>
          <w:tcPr>
            <w:tcW w:w="801"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22</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计时器</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6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485"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bl>
    <w:p>
      <w:pPr>
        <w:pStyle w:val="a3"/>
        <w:keepNext w:val="0"/>
        <w:keepLines w:val="0"/>
        <w:pageBreakBefore w:val="0"/>
        <w:widowControl w:val="0"/>
        <w:kinsoku/>
        <w:wordWrap/>
        <w:overflowPunct w:val="0"/>
        <w:topLinePunct w:val="0"/>
        <w:autoSpaceDE/>
        <w:autoSpaceDN/>
        <w:bidi w:val="0"/>
        <w:ind w:firstLine="0" w:firstLineChars="0"/>
        <w:sectPr>
          <w:footerReference w:type="default" r:id="rId17"/>
          <w:type w:val="nextPage"/>
          <w:pgSz w:w="11906" w:h="16838"/>
          <w:pgMar w:top="2098" w:right="1531" w:bottom="1984" w:left="1531" w:header="851" w:footer="1531" w:gutter="0"/>
          <w:pgNumType w:fmt="decimal" w:start="318"/>
          <w:cols w:num="1" w:space="425"/>
          <w:titlePg w:val="0"/>
          <w:docGrid w:type="lines" w:linePitch="312" w:charSpace="0"/>
        </w:sectPr>
      </w:pPr>
      <w:bookmarkStart w:id="89" w:name="_Toc466293858"/>
    </w:p>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640" w:firstLineChars="200"/>
        <w:rPr>
          <w:color w:val="000000" w:themeColor="text1"/>
          <w:sz w:val="32"/>
          <w:szCs w:val="32"/>
        </w:rPr>
      </w:pPr>
      <w:r>
        <w:rPr>
          <w:rFonts w:hint="eastAsia"/>
          <w:color w:val="000000" w:themeColor="text1"/>
          <w:sz w:val="32"/>
          <w:szCs w:val="32"/>
        </w:rPr>
        <w:t>A.2.3</w:t>
      </w:r>
      <w:r>
        <w:rPr>
          <w:rFonts w:hint="eastAsia"/>
          <w:color w:val="000000" w:themeColor="text1"/>
          <w:sz w:val="32"/>
          <w:szCs w:val="32"/>
          <w:lang w:val="en-US" w:eastAsia="zh-CN"/>
        </w:rPr>
        <w:t xml:space="preserve">  </w:t>
      </w:r>
      <w:r>
        <w:rPr>
          <w:rFonts w:hint="eastAsia"/>
          <w:color w:val="000000" w:themeColor="text1"/>
          <w:sz w:val="32"/>
          <w:szCs w:val="32"/>
        </w:rPr>
        <w:t>双排钢管跨越架搭设与拆除（</w:t>
      </w:r>
      <w:r>
        <w:rPr>
          <w:color w:val="000000" w:themeColor="text1"/>
          <w:sz w:val="32"/>
          <w:szCs w:val="32"/>
        </w:rPr>
        <w:t>K22</w:t>
      </w:r>
      <w:r>
        <w:rPr>
          <w:rFonts w:hint="eastAsia"/>
          <w:color w:val="000000" w:themeColor="text1"/>
          <w:sz w:val="32"/>
          <w:szCs w:val="32"/>
        </w:rPr>
        <w:t>）</w:t>
      </w:r>
      <w:bookmarkEnd w:id="89"/>
    </w:p>
    <w:p>
      <w:pPr>
        <w:pStyle w:val="a6"/>
        <w:keepNext w:val="0"/>
        <w:keepLines w:val="0"/>
        <w:pageBreakBefore w:val="0"/>
        <w:widowControl w:val="0"/>
        <w:numPr>
          <w:ilvl w:val="4"/>
          <w:numId w:val="0"/>
        </w:numPr>
        <w:kinsoku/>
        <w:wordWrap/>
        <w:overflowPunct w:val="0"/>
        <w:topLinePunct w:val="0"/>
        <w:autoSpaceDE/>
        <w:autoSpaceDN/>
        <w:bidi w:val="0"/>
        <w:spacing w:before="156" w:after="156"/>
        <w:ind w:firstLine="640" w:firstLineChars="200"/>
        <w:rPr>
          <w:color w:val="000000" w:themeColor="text1"/>
          <w:sz w:val="32"/>
          <w:szCs w:val="32"/>
        </w:rPr>
      </w:pPr>
      <w:r>
        <w:rPr>
          <w:rFonts w:hint="eastAsia"/>
          <w:color w:val="000000" w:themeColor="text1"/>
          <w:sz w:val="32"/>
          <w:szCs w:val="32"/>
        </w:rPr>
        <w:t>A.2.3.1</w:t>
      </w:r>
      <w:r>
        <w:rPr>
          <w:rFonts w:hint="eastAsia"/>
          <w:color w:val="000000" w:themeColor="text1"/>
          <w:sz w:val="32"/>
          <w:szCs w:val="32"/>
          <w:lang w:val="en-US" w:eastAsia="zh-CN"/>
        </w:rPr>
        <w:t xml:space="preserve">  </w:t>
      </w:r>
      <w:r>
        <w:rPr>
          <w:rFonts w:hint="eastAsia"/>
          <w:color w:val="000000" w:themeColor="text1"/>
          <w:sz w:val="32"/>
          <w:szCs w:val="32"/>
        </w:rPr>
        <w:t>考核要点</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主要考查考生对双排钢管跨越架搭设与拆除的安全操作。</w:t>
      </w:r>
    </w:p>
    <w:p>
      <w:pPr>
        <w:pStyle w:val="a3"/>
        <w:keepNext w:val="0"/>
        <w:keepLines w:val="0"/>
        <w:pageBreakBefore w:val="0"/>
        <w:widowControl w:val="0"/>
        <w:kinsoku/>
        <w:wordWrap/>
        <w:overflowPunct w:val="0"/>
        <w:topLinePunct w:val="0"/>
        <w:autoSpaceDE/>
        <w:autoSpaceDN/>
        <w:bidi w:val="0"/>
        <w:ind w:firstLine="480"/>
        <w:rPr>
          <w:color w:val="000000" w:themeColor="text1"/>
        </w:rPr>
      </w:pPr>
      <w:r>
        <w:rPr>
          <w:rFonts w:ascii="MingLiU_HKSCS" w:eastAsia="MingLiU_HKSCS" w:hAnsi="MingLiU_HKSCS" w:cs="MingLiU_HKSCS"/>
          <w:color w:val="000000" w:themeColor="text1"/>
          <w:sz w:val="24"/>
          <w:szCs w:val="24"/>
        </w:rPr>
        <w:drawing>
          <wp:inline distT="0" distB="0" distL="114300" distR="114300">
            <wp:extent cx="5347335" cy="2362835"/>
            <wp:effectExtent l="0" t="0" r="5715" b="18415"/>
            <wp:docPr id="6" name="图片 2"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age2"/>
                    <pic:cNvPicPr>
                      <a:picLocks noChangeAspect="1"/>
                    </pic:cNvPicPr>
                  </pic:nvPicPr>
                  <pic:blipFill>
                    <a:blip xmlns:r="http://schemas.openxmlformats.org/officeDocument/2006/relationships" r:embed="rId18" r:link="rId19"/>
                    <a:stretch>
                      <a:fillRect/>
                    </a:stretch>
                  </pic:blipFill>
                  <pic:spPr>
                    <a:xfrm>
                      <a:off x="0" y="0"/>
                      <a:ext cx="5347335" cy="2362835"/>
                    </a:xfrm>
                    <a:prstGeom prst="rect">
                      <a:avLst/>
                    </a:prstGeom>
                    <a:noFill/>
                    <a:ln>
                      <a:noFill/>
                    </a:ln>
                  </pic:spPr>
                </pic:pic>
              </a:graphicData>
            </a:graphic>
          </wp:inline>
        </w:drawing>
      </w:r>
    </w:p>
    <w:p>
      <w:pPr>
        <w:pStyle w:val="a3"/>
        <w:keepNext w:val="0"/>
        <w:keepLines w:val="0"/>
        <w:pageBreakBefore w:val="0"/>
        <w:widowControl w:val="0"/>
        <w:kinsoku/>
        <w:wordWrap/>
        <w:overflowPunct w:val="0"/>
        <w:topLinePunct w:val="0"/>
        <w:autoSpaceDE/>
        <w:autoSpaceDN/>
        <w:bidi w:val="0"/>
        <w:rPr>
          <w:color w:val="000000" w:themeColor="text1"/>
        </w:rPr>
      </w:pP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摆放垫木、底座。主要考查考生是否具有摆放垫木、底座安全操作技能、安全意识和符合规范要求。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搭设立杆和纵、横向扫地杆。主要考查考生是否具有搭设立杆和扫地杆的安全操作技能、安全意识和符合规范要求。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搭设纵、横向水平杆。主要考查考生是否具有搭设纵、横向水平杆的安全操作技能、安全意识和符合规范要求。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搭设抛撑。主要考查考生是否具有搭设抛撑的安全操作技能、安全意识和符合规范要求。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sectPr>
          <w:footerReference w:type="default" r:id="rId20"/>
          <w:type w:val="nextPage"/>
          <w:pgSz w:w="11906" w:h="16838"/>
          <w:pgMar w:top="2098" w:right="1531" w:bottom="1984" w:left="1531" w:header="851" w:footer="1531" w:gutter="0"/>
          <w:pgNumType w:fmt="decimal" w:start="319"/>
          <w:cols w:num="1" w:space="425"/>
          <w:titlePg w:val="0"/>
          <w:docGrid w:type="lines" w:linePitch="312" w:charSpace="0"/>
        </w:sectPr>
      </w:pPr>
      <w:r>
        <w:rPr>
          <w:rFonts w:ascii="仿宋" w:eastAsia="仿宋" w:hAnsi="仿宋" w:cs="仿宋" w:hint="eastAsia"/>
          <w:color w:val="000000" w:themeColor="text1"/>
          <w:sz w:val="32"/>
          <w:szCs w:val="32"/>
        </w:rPr>
        <w:t>搭设剪刀撑。主要考查考生是否具有搭设剪刀撑的安全操作技能、安全意识和符合规范要求。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搭设斜拉杆。主要考查考生是否具有搭设斜拉杆的安全操作技能、安全意识和符合规范要求。</w:t>
      </w:r>
    </w:p>
    <w:p>
      <w:pPr>
        <w:pStyle w:val="a3"/>
        <w:keepNext w:val="0"/>
        <w:keepLines w:val="0"/>
        <w:pageBreakBefore w:val="0"/>
        <w:widowControl w:val="0"/>
        <w:kinsoku/>
        <w:wordWrap/>
        <w:overflowPunct w:val="0"/>
        <w:topLinePunct w:val="0"/>
        <w:autoSpaceDE/>
        <w:autoSpaceDN/>
        <w:bidi w:val="0"/>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拆除。主要考查考生是否具有脚手架的安全拆除技能、安全意识和符合规范要求。</w:t>
      </w:r>
    </w:p>
    <w:p>
      <w:pPr>
        <w:pStyle w:val="a6"/>
        <w:keepNext w:val="0"/>
        <w:keepLines w:val="0"/>
        <w:pageBreakBefore w:val="0"/>
        <w:widowControl w:val="0"/>
        <w:numPr>
          <w:ilvl w:val="4"/>
          <w:numId w:val="0"/>
        </w:numPr>
        <w:kinsoku/>
        <w:wordWrap/>
        <w:overflowPunct w:val="0"/>
        <w:topLinePunct w:val="0"/>
        <w:autoSpaceDE/>
        <w:autoSpaceDN/>
        <w:bidi w:val="0"/>
        <w:spacing w:before="156" w:after="156"/>
        <w:ind w:left="420"/>
        <w:rPr>
          <w:rFonts w:hAnsi="黑体" w:cs="黑体"/>
          <w:color w:val="000000" w:themeColor="text1"/>
          <w:sz w:val="32"/>
          <w:szCs w:val="32"/>
        </w:rPr>
      </w:pPr>
      <w:r>
        <w:rPr>
          <w:rFonts w:hAnsi="黑体" w:cs="黑体" w:hint="eastAsia"/>
          <w:color w:val="000000" w:themeColor="text1"/>
          <w:sz w:val="32"/>
          <w:szCs w:val="32"/>
        </w:rPr>
        <w:t>A.2.3.2</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评分标准</w:t>
      </w:r>
    </w:p>
    <w:tbl>
      <w:tblPr>
        <w:tblStyle w:val="TableNormal"/>
        <w:tblW w:w="8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466"/>
        <w:gridCol w:w="950"/>
        <w:gridCol w:w="5371"/>
      </w:tblGrid>
      <w:tr>
        <w:tblPrEx>
          <w:tblW w:w="8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3"/>
          <w:tblHeader/>
          <w:jc w:val="center"/>
        </w:trPr>
        <w:tc>
          <w:tcPr>
            <w:tcW w:w="1188"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before="120" w:after="120"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项 目</w:t>
            </w:r>
          </w:p>
        </w:tc>
        <w:tc>
          <w:tcPr>
            <w:tcW w:w="1466"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before="120" w:after="120"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内容</w:t>
            </w:r>
          </w:p>
        </w:tc>
        <w:tc>
          <w:tcPr>
            <w:tcW w:w="950"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分值</w:t>
            </w:r>
          </w:p>
        </w:tc>
        <w:tc>
          <w:tcPr>
            <w:tcW w:w="5371"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评 分 标 准</w:t>
            </w:r>
          </w:p>
        </w:tc>
      </w:tr>
      <w:tr>
        <w:tblPrEx>
          <w:tblW w:w="8975" w:type="dxa"/>
          <w:jc w:val="center"/>
          <w:tblLayout w:type="fixed"/>
          <w:tblCellMar>
            <w:top w:w="0" w:type="dxa"/>
            <w:left w:w="108" w:type="dxa"/>
            <w:bottom w:w="0" w:type="dxa"/>
            <w:right w:w="108" w:type="dxa"/>
          </w:tblCellMar>
        </w:tblPrEx>
        <w:trPr>
          <w:trHeight w:val="575"/>
          <w:jc w:val="center"/>
        </w:trPr>
        <w:tc>
          <w:tcPr>
            <w:tcW w:w="1188"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r>
              <w:rPr>
                <w:rFonts w:ascii="仿宋" w:eastAsia="仿宋" w:hAnsi="仿宋" w:cs="仿宋" w:hint="eastAsia"/>
                <w:color w:val="000000" w:themeColor="text1"/>
              </w:rPr>
              <w:t>双排钢管跨越架搭设与拆除的安全操作技术</w:t>
            </w:r>
          </w:p>
        </w:tc>
        <w:tc>
          <w:tcPr>
            <w:tcW w:w="146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摆放垫木、底座</w:t>
            </w:r>
          </w:p>
        </w:tc>
        <w:tc>
          <w:tcPr>
            <w:tcW w:w="95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8</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1.未设置垫木</w:t>
            </w:r>
            <w:r>
              <w:rPr>
                <w:rFonts w:ascii="仿宋" w:eastAsia="仿宋" w:hAnsi="仿宋" w:cs="仿宋" w:hint="eastAsia"/>
                <w:color w:val="000000" w:themeColor="text1"/>
              </w:rPr>
              <w:t>的，扣8分</w:t>
            </w:r>
          </w:p>
        </w:tc>
      </w:tr>
      <w:tr>
        <w:tblPrEx>
          <w:tblW w:w="8975" w:type="dxa"/>
          <w:jc w:val="center"/>
          <w:tblLayout w:type="fixed"/>
          <w:tblCellMar>
            <w:top w:w="0" w:type="dxa"/>
            <w:left w:w="108" w:type="dxa"/>
            <w:bottom w:w="0" w:type="dxa"/>
            <w:right w:w="108" w:type="dxa"/>
          </w:tblCellMar>
        </w:tblPrEx>
        <w:trPr>
          <w:trHeight w:val="624"/>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2.垫木设置不正确、放置不平稳的，每处扣2分</w:t>
            </w:r>
          </w:p>
        </w:tc>
      </w:tr>
      <w:tr>
        <w:tblPrEx>
          <w:tblW w:w="8975" w:type="dxa"/>
          <w:jc w:val="center"/>
          <w:tblLayout w:type="fixed"/>
          <w:tblCellMar>
            <w:top w:w="0" w:type="dxa"/>
            <w:left w:w="108" w:type="dxa"/>
            <w:bottom w:w="0" w:type="dxa"/>
            <w:right w:w="108" w:type="dxa"/>
          </w:tblCellMar>
        </w:tblPrEx>
        <w:trPr>
          <w:trHeight w:val="556"/>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w:t>
            </w:r>
            <w:r>
              <w:rPr>
                <w:rFonts w:ascii="仿宋" w:eastAsia="仿宋" w:hAnsi="仿宋" w:cs="仿宋" w:hint="eastAsia"/>
                <w:color w:val="000000" w:themeColor="text1"/>
              </w:rPr>
              <w:t>未</w:t>
            </w:r>
            <w:r>
              <w:rPr>
                <w:rFonts w:ascii="仿宋" w:eastAsia="仿宋" w:hAnsi="仿宋" w:cs="仿宋" w:hint="eastAsia"/>
                <w:color w:val="000000" w:themeColor="text1"/>
                <w:lang w:val="zh-CN"/>
              </w:rPr>
              <w:t>设置</w:t>
            </w:r>
            <w:r>
              <w:rPr>
                <w:rFonts w:ascii="仿宋" w:eastAsia="仿宋" w:hAnsi="仿宋" w:cs="仿宋" w:hint="eastAsia"/>
                <w:color w:val="000000" w:themeColor="text1"/>
              </w:rPr>
              <w:t>底座、底座放置不平稳的，每处扣2分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w:t>
            </w:r>
            <w:r>
              <w:rPr>
                <w:rFonts w:ascii="仿宋" w:eastAsia="仿宋" w:hAnsi="仿宋" w:cs="仿宋" w:hint="eastAsia"/>
                <w:color w:val="000000" w:themeColor="text1"/>
              </w:rPr>
              <w:t>地面有杂物的，每处扣2分。扣完为止</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搭设立杆</w:t>
            </w:r>
          </w:p>
        </w:tc>
        <w:tc>
          <w:tcPr>
            <w:tcW w:w="95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1.杆件间距尺寸偏差超过规定值</w:t>
            </w:r>
            <w:r>
              <w:rPr>
                <w:rFonts w:ascii="仿宋" w:eastAsia="仿宋" w:hAnsi="仿宋" w:cs="仿宋" w:hint="eastAsia"/>
                <w:color w:val="000000" w:themeColor="text1"/>
              </w:rPr>
              <w:t>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2.立杆垂直</w:t>
            </w:r>
            <w:r>
              <w:rPr>
                <w:rFonts w:ascii="仿宋" w:eastAsia="仿宋" w:hAnsi="仿宋" w:cs="仿宋" w:hint="eastAsia"/>
                <w:color w:val="000000" w:themeColor="text1"/>
              </w:rPr>
              <w:t>度偏差超过规定值</w:t>
            </w:r>
            <w:r>
              <w:rPr>
                <w:rFonts w:ascii="仿宋" w:eastAsia="仿宋" w:hAnsi="仿宋" w:cs="仿宋" w:hint="eastAsia"/>
                <w:color w:val="000000" w:themeColor="text1"/>
                <w:lang w:val="zh-CN"/>
              </w:rPr>
              <w:t>的，</w:t>
            </w:r>
            <w:r>
              <w:rPr>
                <w:rFonts w:ascii="仿宋" w:eastAsia="仿宋" w:hAnsi="仿宋" w:cs="仿宋" w:hint="eastAsia"/>
                <w:color w:val="000000" w:themeColor="text1"/>
              </w:rPr>
              <w:t>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3.立杆对接、搭接不正确的，每处扣2分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.立杆</w:t>
            </w:r>
            <w:r>
              <w:rPr>
                <w:rFonts w:ascii="仿宋" w:eastAsia="仿宋" w:hAnsi="仿宋" w:cs="仿宋" w:hint="eastAsia"/>
                <w:color w:val="000000" w:themeColor="text1"/>
              </w:rPr>
              <w:t>对接、搭接间距不符合规范要求的，每处扣2分。扣完为止</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搭设扫地杆</w:t>
            </w:r>
          </w:p>
        </w:tc>
        <w:tc>
          <w:tcPr>
            <w:tcW w:w="95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8</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1.未设置扫地杆</w:t>
            </w:r>
            <w:r>
              <w:rPr>
                <w:rFonts w:ascii="仿宋" w:eastAsia="仿宋" w:hAnsi="仿宋" w:cs="仿宋" w:hint="eastAsia"/>
                <w:color w:val="000000" w:themeColor="text1"/>
              </w:rPr>
              <w:t>的，扣8分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2.纵向扫地杆距地面高度大于200mm</w:t>
            </w:r>
            <w:r>
              <w:rPr>
                <w:rFonts w:ascii="仿宋" w:eastAsia="仿宋" w:hAnsi="仿宋" w:cs="仿宋" w:hint="eastAsia"/>
                <w:color w:val="000000" w:themeColor="text1"/>
              </w:rPr>
              <w:t>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3.未将横向扫地杆置于纵向扫地杆下方的，</w:t>
            </w:r>
            <w:r>
              <w:rPr>
                <w:rFonts w:ascii="仿宋" w:eastAsia="仿宋" w:hAnsi="仿宋" w:cs="仿宋" w:hint="eastAsia"/>
                <w:color w:val="000000" w:themeColor="text1"/>
              </w:rPr>
              <w:t>每处扣2分</w:t>
            </w:r>
          </w:p>
        </w:tc>
      </w:tr>
      <w:tr>
        <w:tblPrEx>
          <w:tblW w:w="8975" w:type="dxa"/>
          <w:jc w:val="center"/>
          <w:tblLayout w:type="fixed"/>
          <w:tblCellMar>
            <w:top w:w="0" w:type="dxa"/>
            <w:left w:w="108" w:type="dxa"/>
            <w:bottom w:w="0" w:type="dxa"/>
            <w:right w:w="108" w:type="dxa"/>
          </w:tblCellMar>
        </w:tblPrEx>
        <w:trPr>
          <w:trHeight w:val="7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4.横向扫地杆距主节点大于150mm</w:t>
            </w:r>
            <w:r>
              <w:rPr>
                <w:rFonts w:ascii="仿宋" w:eastAsia="仿宋" w:hAnsi="仿宋" w:cs="仿宋" w:hint="eastAsia"/>
                <w:color w:val="000000" w:themeColor="text1"/>
              </w:rPr>
              <w:t>的，每处扣2分。扣完为止</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搭设纵向水平杆</w:t>
            </w:r>
          </w:p>
        </w:tc>
        <w:tc>
          <w:tcPr>
            <w:tcW w:w="95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1.</w:t>
            </w:r>
            <w:r>
              <w:rPr>
                <w:rFonts w:ascii="仿宋" w:eastAsia="仿宋" w:hAnsi="仿宋" w:cs="仿宋" w:hint="eastAsia"/>
                <w:color w:val="000000" w:themeColor="text1"/>
                <w:lang w:val="zh-CN"/>
              </w:rPr>
              <w:t>杆件间距尺寸偏差超过规定值</w:t>
            </w:r>
            <w:r>
              <w:rPr>
                <w:rFonts w:ascii="仿宋" w:eastAsia="仿宋" w:hAnsi="仿宋" w:cs="仿宋" w:hint="eastAsia"/>
                <w:color w:val="000000" w:themeColor="text1"/>
              </w:rPr>
              <w:t>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2</w:t>
            </w:r>
            <w:r>
              <w:rPr>
                <w:rFonts w:ascii="仿宋" w:eastAsia="仿宋" w:hAnsi="仿宋" w:cs="仿宋" w:hint="eastAsia"/>
                <w:color w:val="000000" w:themeColor="text1"/>
                <w:lang w:val="zh-CN"/>
              </w:rPr>
              <w:t>.杆件不能保持水平</w:t>
            </w:r>
            <w:r>
              <w:rPr>
                <w:rFonts w:ascii="仿宋" w:eastAsia="仿宋" w:hAnsi="仿宋" w:cs="仿宋" w:hint="eastAsia"/>
                <w:color w:val="000000" w:themeColor="text1"/>
              </w:rPr>
              <w:t>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.杆件设置在立杆之外</w:t>
            </w:r>
            <w:r>
              <w:rPr>
                <w:rFonts w:ascii="仿宋" w:eastAsia="仿宋" w:hAnsi="仿宋" w:cs="仿宋" w:hint="eastAsia"/>
                <w:color w:val="000000" w:themeColor="text1"/>
              </w:rPr>
              <w:t>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.杆件连接、</w:t>
            </w:r>
            <w:r>
              <w:rPr>
                <w:rFonts w:ascii="仿宋" w:eastAsia="仿宋" w:hAnsi="仿宋" w:cs="仿宋" w:hint="eastAsia"/>
                <w:color w:val="000000" w:themeColor="text1"/>
              </w:rPr>
              <w:t>扣件的选择及安装</w:t>
            </w:r>
            <w:r>
              <w:rPr>
                <w:rFonts w:ascii="仿宋" w:eastAsia="仿宋" w:hAnsi="仿宋" w:cs="仿宋" w:hint="eastAsia"/>
                <w:color w:val="000000" w:themeColor="text1"/>
                <w:lang w:val="zh-CN"/>
              </w:rPr>
              <w:t>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的，每处扣2分。扣完为止</w:t>
            </w:r>
          </w:p>
        </w:tc>
      </w:tr>
    </w:tbl>
    <w:p>
      <w:pPr>
        <w:sectPr>
          <w:footerReference w:type="default" r:id="rId21"/>
          <w:type w:val="nextPage"/>
          <w:pgSz w:w="11906" w:h="16838"/>
          <w:pgMar w:top="2098" w:right="1531" w:bottom="1984" w:left="1531" w:header="851" w:footer="1531" w:gutter="0"/>
          <w:pgNumType w:fmt="decimal" w:start="320"/>
          <w:cols w:num="1" w:space="425"/>
          <w:titlePg w:val="0"/>
          <w:docGrid w:type="lines" w:linePitch="312" w:charSpace="0"/>
        </w:sectPr>
      </w:pPr>
    </w:p>
    <w:tbl>
      <w:tblPr>
        <w:tblStyle w:val="TableNormal"/>
        <w:tblW w:w="8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466"/>
        <w:gridCol w:w="950"/>
        <w:gridCol w:w="5371"/>
      </w:tblGrid>
      <w:tr>
        <w:tblPrEx>
          <w:tblW w:w="8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62"/>
          <w:jc w:val="center"/>
        </w:trPr>
        <w:tc>
          <w:tcPr>
            <w:tcW w:w="1188"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搭设横向水平杆</w:t>
            </w:r>
          </w:p>
        </w:tc>
        <w:tc>
          <w:tcPr>
            <w:tcW w:w="95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1.未设置横向水平杆</w:t>
            </w:r>
            <w:r>
              <w:rPr>
                <w:rFonts w:ascii="仿宋" w:eastAsia="仿宋" w:hAnsi="仿宋" w:cs="仿宋" w:hint="eastAsia"/>
                <w:color w:val="000000" w:themeColor="text1"/>
              </w:rPr>
              <w:t>的，扣10分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2.主节点</w:t>
            </w:r>
            <w:r>
              <w:rPr>
                <w:rFonts w:ascii="仿宋" w:eastAsia="仿宋" w:hAnsi="仿宋" w:cs="仿宋" w:hint="eastAsia"/>
                <w:color w:val="000000" w:themeColor="text1"/>
              </w:rPr>
              <w:t>及需要搭设横向水平杆的部位</w:t>
            </w:r>
            <w:r>
              <w:rPr>
                <w:rFonts w:ascii="仿宋" w:eastAsia="仿宋" w:hAnsi="仿宋" w:cs="仿宋" w:hint="eastAsia"/>
                <w:color w:val="000000" w:themeColor="text1"/>
                <w:lang w:val="zh-CN"/>
              </w:rPr>
              <w:t>缺少横向水平杆</w:t>
            </w:r>
            <w:r>
              <w:rPr>
                <w:rFonts w:ascii="仿宋" w:eastAsia="仿宋" w:hAnsi="仿宋" w:cs="仿宋" w:hint="eastAsia"/>
                <w:color w:val="000000" w:themeColor="text1"/>
              </w:rPr>
              <w:t>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3.杆件设置距主节点大于150mm</w:t>
            </w:r>
            <w:r>
              <w:rPr>
                <w:rFonts w:ascii="仿宋" w:eastAsia="仿宋" w:hAnsi="仿宋" w:cs="仿宋" w:hint="eastAsia"/>
                <w:color w:val="000000" w:themeColor="text1"/>
              </w:rPr>
              <w:t>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4.杆件连接、</w:t>
            </w:r>
            <w:r>
              <w:rPr>
                <w:rFonts w:ascii="仿宋" w:eastAsia="仿宋" w:hAnsi="仿宋" w:cs="仿宋" w:hint="eastAsia"/>
                <w:color w:val="000000" w:themeColor="text1"/>
              </w:rPr>
              <w:t>扣件的选择及安装</w:t>
            </w:r>
            <w:r>
              <w:rPr>
                <w:rFonts w:ascii="仿宋" w:eastAsia="仿宋" w:hAnsi="仿宋" w:cs="仿宋" w:hint="eastAsia"/>
                <w:color w:val="000000" w:themeColor="text1"/>
                <w:lang w:val="zh-CN"/>
              </w:rPr>
              <w:t>不符合</w:t>
            </w:r>
            <w:r>
              <w:rPr>
                <w:rFonts w:ascii="仿宋" w:eastAsia="仿宋" w:hAnsi="仿宋" w:cs="仿宋" w:hint="eastAsia"/>
                <w:color w:val="000000" w:themeColor="text1"/>
              </w:rPr>
              <w:t>规范要求的，每处扣2分。扣完为止</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搭设抛撑</w:t>
            </w:r>
          </w:p>
        </w:tc>
        <w:tc>
          <w:tcPr>
            <w:tcW w:w="95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1.未设置抛撑</w:t>
            </w:r>
            <w:r>
              <w:rPr>
                <w:rFonts w:ascii="仿宋" w:eastAsia="仿宋" w:hAnsi="仿宋" w:cs="仿宋" w:hint="eastAsia"/>
                <w:color w:val="000000" w:themeColor="text1"/>
              </w:rPr>
              <w:t>的，扣10分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2.抛撑设置数量不符合规范要求的，每处扣2分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.未触及地面及夹角不符合45º</w:t>
            </w:r>
            <w:r>
              <w:rPr>
                <w:rFonts w:ascii="仿宋" w:eastAsia="仿宋" w:hAnsi="仿宋" w:cs="仿宋" w:hint="eastAsia"/>
                <w:color w:val="000000" w:themeColor="text1"/>
              </w:rPr>
              <w:t>—</w:t>
            </w:r>
            <w:r>
              <w:rPr>
                <w:rFonts w:ascii="仿宋" w:eastAsia="仿宋" w:hAnsi="仿宋" w:cs="仿宋" w:hint="eastAsia"/>
                <w:color w:val="000000" w:themeColor="text1"/>
                <w:lang w:val="zh-CN"/>
              </w:rPr>
              <w:t>60º</w:t>
            </w:r>
            <w:r>
              <w:rPr>
                <w:rFonts w:ascii="仿宋" w:eastAsia="仿宋" w:hAnsi="仿宋" w:cs="仿宋" w:hint="eastAsia"/>
                <w:color w:val="000000" w:themeColor="text1"/>
              </w:rPr>
              <w:t>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.连接点至主节点的距离大于300mm</w:t>
            </w:r>
            <w:r>
              <w:rPr>
                <w:rFonts w:ascii="仿宋" w:eastAsia="仿宋" w:hAnsi="仿宋" w:cs="仿宋" w:hint="eastAsia"/>
                <w:color w:val="000000" w:themeColor="text1"/>
              </w:rPr>
              <w:t>的，每处扣2分。扣完为止</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搭设剪刀撑</w:t>
            </w:r>
          </w:p>
        </w:tc>
        <w:tc>
          <w:tcPr>
            <w:tcW w:w="95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8</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1.未设置剪刀撑</w:t>
            </w:r>
            <w:r>
              <w:rPr>
                <w:rFonts w:ascii="仿宋" w:eastAsia="仿宋" w:hAnsi="仿宋" w:cs="仿宋" w:hint="eastAsia"/>
                <w:color w:val="000000" w:themeColor="text1"/>
              </w:rPr>
              <w:t>的，扣8分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r>
              <w:rPr>
                <w:rFonts w:ascii="仿宋" w:eastAsia="仿宋" w:hAnsi="仿宋" w:cs="仿宋" w:hint="eastAsia"/>
                <w:color w:val="000000" w:themeColor="text1"/>
              </w:rPr>
              <w:t>2.剪刀撑设置数量不符合规范要求的，每处扣2分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.未触及地面及夹角不符合45º</w:t>
            </w:r>
            <w:r>
              <w:rPr>
                <w:rFonts w:ascii="仿宋" w:eastAsia="仿宋" w:hAnsi="仿宋" w:cs="仿宋" w:hint="eastAsia"/>
                <w:color w:val="000000" w:themeColor="text1"/>
              </w:rPr>
              <w:t>—</w:t>
            </w:r>
            <w:r>
              <w:rPr>
                <w:rFonts w:ascii="仿宋" w:eastAsia="仿宋" w:hAnsi="仿宋" w:cs="仿宋" w:hint="eastAsia"/>
                <w:color w:val="000000" w:themeColor="text1"/>
                <w:lang w:val="zh-CN"/>
              </w:rPr>
              <w:t>60º</w:t>
            </w:r>
            <w:r>
              <w:rPr>
                <w:rFonts w:ascii="仿宋" w:eastAsia="仿宋" w:hAnsi="仿宋" w:cs="仿宋" w:hint="eastAsia"/>
                <w:color w:val="000000" w:themeColor="text1"/>
              </w:rPr>
              <w:t>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.剪刀撑搭接不符合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5</w:t>
            </w:r>
            <w:r>
              <w:rPr>
                <w:rFonts w:ascii="仿宋" w:eastAsia="仿宋" w:hAnsi="仿宋" w:cs="仿宋" w:hint="eastAsia"/>
                <w:color w:val="000000" w:themeColor="text1"/>
                <w:lang w:val="zh-CN"/>
              </w:rPr>
              <w:t>.剪刀撑固定不符合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的，每处扣2分。扣完为止</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搭设斜拉杆</w:t>
            </w:r>
          </w:p>
        </w:tc>
        <w:tc>
          <w:tcPr>
            <w:tcW w:w="95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1.未设置斜拉杆</w:t>
            </w:r>
            <w:r>
              <w:rPr>
                <w:rFonts w:ascii="仿宋" w:eastAsia="仿宋" w:hAnsi="仿宋" w:cs="仿宋" w:hint="eastAsia"/>
                <w:color w:val="000000" w:themeColor="text1"/>
              </w:rPr>
              <w:t>的，扣6分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r>
              <w:rPr>
                <w:rFonts w:ascii="仿宋" w:eastAsia="仿宋" w:hAnsi="仿宋" w:cs="仿宋" w:hint="eastAsia"/>
                <w:color w:val="000000" w:themeColor="text1"/>
              </w:rPr>
              <w:t>2.斜拉杆设置数量不符合规范要求的，每处扣2分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.斜拉杆夹角不符合45º</w:t>
            </w:r>
            <w:r>
              <w:rPr>
                <w:rFonts w:ascii="仿宋" w:eastAsia="仿宋" w:hAnsi="仿宋" w:cs="仿宋" w:hint="eastAsia"/>
                <w:color w:val="000000" w:themeColor="text1"/>
              </w:rPr>
              <w:t>—</w:t>
            </w:r>
            <w:r>
              <w:rPr>
                <w:rFonts w:ascii="仿宋" w:eastAsia="仿宋" w:hAnsi="仿宋" w:cs="仿宋" w:hint="eastAsia"/>
                <w:color w:val="000000" w:themeColor="text1"/>
                <w:lang w:val="zh-CN"/>
              </w:rPr>
              <w:t>60º</w:t>
            </w:r>
            <w:r>
              <w:rPr>
                <w:rFonts w:ascii="仿宋" w:eastAsia="仿宋" w:hAnsi="仿宋" w:cs="仿宋" w:hint="eastAsia"/>
                <w:color w:val="000000" w:themeColor="text1"/>
              </w:rPr>
              <w:t>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.斜拉杆固定不牢固</w:t>
            </w:r>
            <w:r>
              <w:rPr>
                <w:rFonts w:ascii="仿宋" w:eastAsia="仿宋" w:hAnsi="仿宋" w:cs="仿宋" w:hint="eastAsia"/>
                <w:color w:val="000000" w:themeColor="text1"/>
              </w:rPr>
              <w:t>的，每处扣2分。扣完为止</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扣件拧紧扭力矩</w:t>
            </w:r>
          </w:p>
        </w:tc>
        <w:tc>
          <w:tcPr>
            <w:tcW w:w="95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w:t>
            </w:r>
            <w:r>
              <w:rPr>
                <w:rFonts w:ascii="仿宋" w:eastAsia="仿宋" w:hAnsi="仿宋" w:cs="仿宋" w:hint="eastAsia"/>
                <w:color w:val="000000" w:themeColor="text1"/>
              </w:rPr>
              <w:t>随机</w:t>
            </w:r>
            <w:r>
              <w:rPr>
                <w:rFonts w:ascii="仿宋" w:eastAsia="仿宋" w:hAnsi="仿宋" w:cs="仿宋" w:hint="eastAsia"/>
                <w:color w:val="000000" w:themeColor="text1"/>
                <w:lang w:val="zh-CN"/>
              </w:rPr>
              <w:t>抽查</w:t>
            </w:r>
            <w:r>
              <w:rPr>
                <w:rFonts w:ascii="仿宋" w:eastAsia="仿宋" w:hAnsi="仿宋" w:cs="仿宋" w:hint="eastAsia"/>
                <w:color w:val="000000" w:themeColor="text1"/>
              </w:rPr>
              <w:t>5</w:t>
            </w:r>
            <w:r>
              <w:rPr>
                <w:rFonts w:ascii="仿宋" w:eastAsia="仿宋" w:hAnsi="仿宋" w:cs="仿宋" w:hint="eastAsia"/>
                <w:color w:val="000000" w:themeColor="text1"/>
                <w:lang w:val="zh-CN"/>
              </w:rPr>
              <w:t>个扣件的拧紧扭力矩，不在40-65N•m范围</w:t>
            </w:r>
            <w:r>
              <w:rPr>
                <w:rFonts w:ascii="仿宋" w:eastAsia="仿宋" w:hAnsi="仿宋" w:cs="仿宋" w:hint="eastAsia"/>
                <w:color w:val="000000" w:themeColor="text1"/>
              </w:rPr>
              <w:t>内的，每处扣2分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2.因拧力过大，造成扣件报废的，每处扣4分。扣完为止</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拆除</w:t>
            </w:r>
          </w:p>
        </w:tc>
        <w:tc>
          <w:tcPr>
            <w:tcW w:w="950" w:type="dxa"/>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20</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1.未按先搭后拆、后搭先拆要求进行拆除</w:t>
            </w:r>
            <w:r>
              <w:rPr>
                <w:rFonts w:ascii="仿宋" w:eastAsia="仿宋" w:hAnsi="仿宋" w:cs="仿宋" w:hint="eastAsia"/>
                <w:color w:val="000000" w:themeColor="text1"/>
              </w:rPr>
              <w:t>的</w:t>
            </w:r>
            <w:r>
              <w:rPr>
                <w:rFonts w:ascii="仿宋" w:eastAsia="仿宋" w:hAnsi="仿宋" w:cs="仿宋" w:hint="eastAsia"/>
                <w:color w:val="000000" w:themeColor="text1"/>
                <w:lang w:val="zh-CN"/>
              </w:rPr>
              <w:t>，</w:t>
            </w:r>
            <w:r>
              <w:rPr>
                <w:rFonts w:ascii="仿宋" w:eastAsia="仿宋" w:hAnsi="仿宋" w:cs="仿宋" w:hint="eastAsia"/>
                <w:color w:val="000000" w:themeColor="text1"/>
              </w:rPr>
              <w:t>扣10分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466"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9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r>
              <w:rPr>
                <w:rFonts w:ascii="仿宋" w:eastAsia="仿宋" w:hAnsi="仿宋" w:cs="仿宋" w:hint="eastAsia"/>
                <w:color w:val="000000" w:themeColor="text1"/>
                <w:lang w:val="zh-CN"/>
              </w:rPr>
              <w:t>2.在规定时间内未完成拆除作业的，扣10分</w:t>
            </w:r>
          </w:p>
        </w:tc>
      </w:tr>
      <w:tr>
        <w:tblPrEx>
          <w:tblW w:w="8975" w:type="dxa"/>
          <w:jc w:val="center"/>
          <w:tblLayout w:type="fixed"/>
          <w:tblCellMar>
            <w:top w:w="0" w:type="dxa"/>
            <w:left w:w="108" w:type="dxa"/>
            <w:bottom w:w="0" w:type="dxa"/>
            <w:right w:w="108" w:type="dxa"/>
          </w:tblCellMar>
        </w:tblPrEx>
        <w:trPr>
          <w:trHeight w:val="462"/>
          <w:jc w:val="center"/>
        </w:trPr>
        <w:tc>
          <w:tcPr>
            <w:tcW w:w="1188"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否决项</w:t>
            </w:r>
          </w:p>
        </w:tc>
        <w:tc>
          <w:tcPr>
            <w:tcW w:w="1466"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rPr>
              <w:t>否决项说明</w:t>
            </w:r>
          </w:p>
        </w:tc>
        <w:tc>
          <w:tcPr>
            <w:tcW w:w="950"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rPr>
              <w:t>扣除该项分数</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r>
              <w:rPr>
                <w:rFonts w:ascii="仿宋" w:eastAsia="仿宋" w:hAnsi="仿宋" w:cs="仿宋" w:hint="eastAsia"/>
                <w:color w:val="000000" w:themeColor="text1"/>
              </w:rPr>
              <w:t>未穿戴齐全劳动防护用品，不准继续操作，终止该项目的考试</w:t>
            </w:r>
          </w:p>
        </w:tc>
      </w:tr>
      <w:tr>
        <w:tblPrEx>
          <w:tblW w:w="8975" w:type="dxa"/>
          <w:jc w:val="center"/>
          <w:tblLayout w:type="fixed"/>
          <w:tblCellMar>
            <w:top w:w="0" w:type="dxa"/>
            <w:left w:w="108" w:type="dxa"/>
            <w:bottom w:w="0" w:type="dxa"/>
            <w:right w:w="108" w:type="dxa"/>
          </w:tblCellMar>
        </w:tblPrEx>
        <w:trPr>
          <w:trHeight w:val="583"/>
          <w:jc w:val="center"/>
        </w:trPr>
        <w:tc>
          <w:tcPr>
            <w:tcW w:w="2654" w:type="dxa"/>
            <w:gridSpan w:val="2"/>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rPr>
            </w:pPr>
            <w:r>
              <w:rPr>
                <w:rFonts w:ascii="黑体" w:eastAsia="黑体" w:hAnsi="黑体" w:cs="黑体" w:hint="eastAsia"/>
                <w:color w:val="000000" w:themeColor="text1"/>
              </w:rPr>
              <w:t>合计</w:t>
            </w:r>
          </w:p>
        </w:tc>
        <w:tc>
          <w:tcPr>
            <w:tcW w:w="950"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lang w:bidi="en-US"/>
              </w:rPr>
            </w:pPr>
            <w:r>
              <w:rPr>
                <w:rFonts w:ascii="黑体" w:eastAsia="黑体" w:hAnsi="黑体" w:cs="黑体" w:hint="eastAsia"/>
                <w:color w:val="000000" w:themeColor="text1"/>
                <w:lang w:bidi="en-US"/>
              </w:rPr>
              <w:t>100</w:t>
            </w:r>
          </w:p>
        </w:tc>
        <w:tc>
          <w:tcPr>
            <w:tcW w:w="5371"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黑体" w:eastAsia="黑体" w:hAnsi="黑体" w:cs="黑体"/>
                <w:color w:val="000000" w:themeColor="text1"/>
                <w:lang w:val="zh-CN"/>
              </w:rPr>
            </w:pPr>
          </w:p>
        </w:tc>
      </w:tr>
    </w:tbl>
    <w:p>
      <w:pPr>
        <w:pStyle w:val="a8"/>
        <w:keepNext w:val="0"/>
        <w:keepLines w:val="0"/>
        <w:pageBreakBefore w:val="0"/>
        <w:widowControl w:val="0"/>
        <w:numPr>
          <w:ilvl w:val="0"/>
          <w:numId w:val="0"/>
        </w:numPr>
        <w:kinsoku/>
        <w:wordWrap/>
        <w:overflowPunct w:val="0"/>
        <w:topLinePunct w:val="0"/>
        <w:autoSpaceDE/>
        <w:autoSpaceDN/>
        <w:bidi w:val="0"/>
        <w:ind w:firstLine="220" w:firstLineChars="122"/>
        <w:rPr>
          <w:rFonts w:eastAsia="仿宋"/>
          <w:b/>
          <w:bCs/>
          <w:color w:val="000000" w:themeColor="text1"/>
          <w:sz w:val="21"/>
          <w:szCs w:val="21"/>
        </w:rPr>
        <w:sectPr>
          <w:footerReference w:type="default" r:id="rId22"/>
          <w:type w:val="nextPage"/>
          <w:pgSz w:w="11906" w:h="16838"/>
          <w:pgMar w:top="2098" w:right="1531" w:bottom="1984" w:left="1531" w:header="851" w:footer="1531" w:gutter="0"/>
          <w:pgNumType w:fmt="decimal" w:start="321"/>
          <w:cols w:num="1" w:space="425"/>
          <w:titlePg w:val="0"/>
          <w:docGrid w:type="lines" w:linePitch="312" w:charSpace="0"/>
        </w:sectPr>
      </w:pPr>
      <w:r>
        <w:rPr>
          <w:rFonts w:ascii="仿宋" w:eastAsia="仿宋" w:hAnsi="仿宋" w:cs="仿宋" w:hint="eastAsia"/>
          <w:b/>
          <w:bCs/>
          <w:color w:val="000000" w:themeColor="text1"/>
        </w:rPr>
        <w:t>注：操作中考评员可随时分配考生中的某一位按指定要求进行操作，并确保每人都要操作。</w:t>
      </w:r>
    </w:p>
    <w:p>
      <w:pPr>
        <w:sectPr>
          <w:footerReference w:type="default" r:id="rId23"/>
          <w:type w:val="nextPage"/>
          <w:pgSz w:w="11906" w:h="16838"/>
          <w:pgMar w:top="2098" w:right="1531" w:bottom="1984" w:left="1531" w:header="851" w:footer="1531" w:gutter="0"/>
          <w:pgNumType w:fmt="decimal" w:start="322"/>
          <w:cols w:num="1" w:space="425"/>
          <w:titlePg w:val="0"/>
          <w:docGrid w:type="lines" w:linePitch="312" w:charSpace="0"/>
        </w:sectPr>
      </w:pPr>
    </w:p>
    <w:p>
      <w:pPr>
        <w:pStyle w:val="a6"/>
        <w:keepNext w:val="0"/>
        <w:keepLines w:val="0"/>
        <w:pageBreakBefore w:val="0"/>
        <w:widowControl w:val="0"/>
        <w:numPr>
          <w:ilvl w:val="4"/>
          <w:numId w:val="0"/>
        </w:numPr>
        <w:kinsoku/>
        <w:wordWrap/>
        <w:overflowPunct w:val="0"/>
        <w:topLinePunct w:val="0"/>
        <w:autoSpaceDE/>
        <w:autoSpaceDN/>
        <w:bidi w:val="0"/>
        <w:spacing w:before="156" w:after="156"/>
        <w:ind w:firstLine="640" w:firstLineChars="200"/>
        <w:rPr>
          <w:color w:val="000000" w:themeColor="text1"/>
          <w:sz w:val="32"/>
          <w:szCs w:val="32"/>
        </w:rPr>
      </w:pPr>
      <w:r>
        <w:rPr>
          <w:rFonts w:hint="eastAsia"/>
          <w:color w:val="000000" w:themeColor="text1"/>
          <w:sz w:val="32"/>
          <w:szCs w:val="32"/>
        </w:rPr>
        <w:t>A.2.3.3</w:t>
      </w:r>
      <w:r>
        <w:rPr>
          <w:rFonts w:hint="eastAsia"/>
          <w:color w:val="000000" w:themeColor="text1"/>
          <w:sz w:val="32"/>
          <w:szCs w:val="32"/>
          <w:lang w:val="en-US" w:eastAsia="zh-CN"/>
        </w:rPr>
        <w:t xml:space="preserve">  </w:t>
      </w:r>
      <w:r>
        <w:rPr>
          <w:rFonts w:hint="eastAsia"/>
          <w:color w:val="000000" w:themeColor="text1"/>
          <w:sz w:val="32"/>
          <w:szCs w:val="32"/>
        </w:rPr>
        <w:t>设备配备</w:t>
      </w:r>
    </w:p>
    <w:tbl>
      <w:tblPr>
        <w:tblStyle w:val="TableNormal"/>
        <w:tblW w:w="8746" w:type="dxa"/>
        <w:jc w:val="center"/>
        <w:tblLayout w:type="fixed"/>
        <w:tblCellMar>
          <w:top w:w="15" w:type="dxa"/>
          <w:left w:w="15" w:type="dxa"/>
          <w:bottom w:w="15" w:type="dxa"/>
          <w:right w:w="15" w:type="dxa"/>
        </w:tblCellMar>
      </w:tblPr>
      <w:tblGrid>
        <w:gridCol w:w="1008"/>
        <w:gridCol w:w="2814"/>
        <w:gridCol w:w="2700"/>
        <w:gridCol w:w="900"/>
        <w:gridCol w:w="1324"/>
      </w:tblGrid>
      <w:tr>
        <w:tblPrEx>
          <w:tblW w:w="8746" w:type="dxa"/>
          <w:jc w:val="center"/>
          <w:tblLayout w:type="fixed"/>
          <w:tblCellMar>
            <w:top w:w="15" w:type="dxa"/>
            <w:left w:w="15" w:type="dxa"/>
            <w:bottom w:w="15" w:type="dxa"/>
            <w:right w:w="15" w:type="dxa"/>
          </w:tblCellMar>
        </w:tblPrEx>
        <w:trPr>
          <w:trHeight w:val="594"/>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olor w:val="000000" w:themeColor="text1"/>
              </w:rPr>
            </w:pPr>
            <w:bookmarkStart w:id="90" w:name="_Toc466293859"/>
            <w:r>
              <w:rPr>
                <w:rFonts w:ascii="黑体" w:eastAsia="黑体" w:hAnsi="黑体" w:hint="eastAsia"/>
                <w:color w:val="000000" w:themeColor="text1"/>
              </w:rPr>
              <w:t>序号</w:t>
            </w:r>
          </w:p>
        </w:tc>
        <w:tc>
          <w:tcPr>
            <w:tcW w:w="2814"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olor w:val="000000" w:themeColor="text1"/>
              </w:rPr>
            </w:pPr>
            <w:r>
              <w:rPr>
                <w:rFonts w:ascii="黑体" w:eastAsia="黑体" w:hAnsi="黑体" w:hint="eastAsia"/>
                <w:color w:val="000000" w:themeColor="text1"/>
              </w:rPr>
              <w:t>设备</w:t>
            </w:r>
          </w:p>
        </w:tc>
        <w:tc>
          <w:tcPr>
            <w:tcW w:w="2700"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olor w:val="000000" w:themeColor="text1"/>
              </w:rPr>
            </w:pPr>
            <w:r>
              <w:rPr>
                <w:rFonts w:ascii="黑体" w:eastAsia="黑体" w:hAnsi="黑体" w:hint="eastAsia"/>
                <w:color w:val="000000" w:themeColor="text1"/>
              </w:rPr>
              <w:t>参考型号</w:t>
            </w:r>
            <w:r>
              <w:rPr>
                <w:rFonts w:ascii="黑体" w:eastAsia="黑体" w:hAnsi="黑体"/>
                <w:color w:val="000000" w:themeColor="text1"/>
              </w:rPr>
              <w:t>/</w:t>
            </w:r>
            <w:r>
              <w:rPr>
                <w:rFonts w:ascii="黑体" w:eastAsia="黑体" w:hAnsi="黑体" w:hint="eastAsia"/>
                <w:color w:val="000000" w:themeColor="text1"/>
              </w:rPr>
              <w:t>规格</w:t>
            </w:r>
          </w:p>
        </w:tc>
        <w:tc>
          <w:tcPr>
            <w:tcW w:w="900"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olor w:val="000000" w:themeColor="text1"/>
              </w:rPr>
            </w:pPr>
            <w:r>
              <w:rPr>
                <w:rFonts w:ascii="黑体" w:eastAsia="黑体" w:hAnsi="黑体" w:hint="eastAsia"/>
                <w:color w:val="000000" w:themeColor="text1"/>
              </w:rPr>
              <w:t>数量</w:t>
            </w:r>
          </w:p>
        </w:tc>
        <w:tc>
          <w:tcPr>
            <w:tcW w:w="1324" w:type="dxa"/>
            <w:tcBorders>
              <w:top w:val="single" w:sz="4" w:space="0" w:color="000000"/>
              <w:left w:val="single" w:sz="4" w:space="0" w:color="000000"/>
              <w:bottom w:val="single" w:sz="4" w:space="0" w:color="000000"/>
              <w:right w:val="single" w:sz="4" w:space="0" w:color="000000"/>
            </w:tcBorders>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olor w:val="000000" w:themeColor="text1"/>
              </w:rPr>
            </w:pPr>
            <w:r>
              <w:rPr>
                <w:rFonts w:ascii="黑体" w:eastAsia="黑体" w:hAnsi="黑体" w:hint="eastAsia"/>
                <w:color w:val="000000" w:themeColor="text1"/>
              </w:rPr>
              <w:t>备注</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双排钢管跨越脚手架（套）</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符合脚手架相关规范</w:t>
            </w: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杆件钢管</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Ф48.3×3.6；1米-6米</w:t>
            </w: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3</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rPr>
              <w:t>扣件</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rPr>
              <w:t>符合《钢管脚手架扣件》GB15831 的规定</w:t>
            </w: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4</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脚手板</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符合脚手架相关规范</w:t>
            </w: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5</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扫地杆垫木</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符合脚手架相关规范</w:t>
            </w: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6</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rPr>
              <w:t>立杆底托或金属垫板</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符合脚手架相关规范</w:t>
            </w: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7</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安全网</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符合安全网相关规范</w:t>
            </w: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8</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安全带</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符合安全带相关规范</w:t>
            </w: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12</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9</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安全帽</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符合安全帽相关规范</w:t>
            </w: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12</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10</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扭力扳手</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2</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11</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梅花扳手</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6</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12</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压力扳手</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13</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活扳手</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6</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14</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钎子</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15</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铁剪子</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16</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卷尺</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6</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17</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石笔</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18</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镀锌铁丝</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19</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工具袋</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12</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20</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安全标志牌</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46" w:type="dxa"/>
          <w:jc w:val="center"/>
          <w:tblLayout w:type="fixed"/>
          <w:tblCellMar>
            <w:top w:w="15" w:type="dxa"/>
            <w:left w:w="15" w:type="dxa"/>
            <w:bottom w:w="15" w:type="dxa"/>
            <w:right w:w="15" w:type="dxa"/>
          </w:tblCellMar>
        </w:tblPrEx>
        <w:trPr>
          <w:trHeight w:val="346"/>
          <w:jc w:val="center"/>
        </w:trPr>
        <w:tc>
          <w:tcPr>
            <w:tcW w:w="100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21</w:t>
            </w:r>
          </w:p>
        </w:tc>
        <w:tc>
          <w:tcPr>
            <w:tcW w:w="2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计时器</w:t>
            </w:r>
          </w:p>
        </w:tc>
        <w:tc>
          <w:tcPr>
            <w:tcW w:w="27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90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3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bookmarkEnd w:id="90"/>
    </w:tbl>
    <w:p>
      <w:pPr>
        <w:rPr>
          <w:rFonts w:hAnsi="黑体" w:cs="黑体" w:hint="eastAsia"/>
          <w:color w:val="000000" w:themeColor="text1"/>
          <w:sz w:val="32"/>
          <w:szCs w:val="32"/>
        </w:rPr>
        <w:sectPr>
          <w:footerReference w:type="default" r:id="rId24"/>
          <w:type w:val="nextPage"/>
          <w:pgSz w:w="11906" w:h="16838"/>
          <w:pgMar w:top="2098" w:right="1531" w:bottom="1984" w:left="1531" w:header="851" w:footer="1531" w:gutter="0"/>
          <w:pgNumType w:fmt="decimal" w:start="323"/>
          <w:cols w:num="1" w:space="425"/>
          <w:titlePg w:val="0"/>
          <w:docGrid w:type="lines" w:linePitch="312" w:charSpace="0"/>
        </w:sectPr>
      </w:pPr>
      <w:bookmarkStart w:id="91" w:name="_Toc466293867"/>
      <w:bookmarkStart w:id="92" w:name="_Toc466292356"/>
    </w:p>
    <w:p>
      <w:pPr>
        <w:pStyle w:val="a4"/>
        <w:keepNext w:val="0"/>
        <w:keepLines w:val="0"/>
        <w:pageBreakBefore w:val="0"/>
        <w:widowControl w:val="0"/>
        <w:numPr>
          <w:ilvl w:val="1"/>
          <w:numId w:val="0"/>
        </w:numPr>
        <w:kinsoku/>
        <w:wordWrap/>
        <w:overflowPunct w:val="0"/>
        <w:topLinePunct w:val="0"/>
        <w:autoSpaceDE/>
        <w:autoSpaceDN/>
        <w:bidi w:val="0"/>
        <w:spacing w:before="156" w:after="156"/>
        <w:ind w:firstLine="838" w:firstLineChars="262"/>
        <w:rPr>
          <w:rFonts w:hAnsi="黑体" w:cs="黑体"/>
          <w:color w:val="000000" w:themeColor="text1"/>
          <w:sz w:val="32"/>
          <w:szCs w:val="32"/>
        </w:rPr>
      </w:pPr>
      <w:r>
        <w:rPr>
          <w:rFonts w:hAnsi="黑体" w:cs="黑体" w:hint="eastAsia"/>
          <w:color w:val="000000" w:themeColor="text1"/>
          <w:sz w:val="32"/>
          <w:szCs w:val="32"/>
        </w:rPr>
        <w:t>A.3</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作业现场安全隐患排除(K3)</w:t>
      </w:r>
      <w:bookmarkEnd w:id="91"/>
      <w:bookmarkEnd w:id="92"/>
    </w:p>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838" w:firstLineChars="262"/>
        <w:rPr>
          <w:rFonts w:hAnsi="黑体" w:cs="黑体"/>
          <w:color w:val="000000" w:themeColor="text1"/>
          <w:sz w:val="32"/>
          <w:szCs w:val="32"/>
        </w:rPr>
      </w:pPr>
      <w:bookmarkStart w:id="93" w:name="_Toc466293868"/>
      <w:r>
        <w:rPr>
          <w:rFonts w:hAnsi="黑体" w:cs="黑体" w:hint="eastAsia"/>
          <w:color w:val="000000" w:themeColor="text1"/>
          <w:sz w:val="32"/>
          <w:szCs w:val="32"/>
        </w:rPr>
        <w:t>A.3.1</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考试项目</w:t>
      </w:r>
      <w:bookmarkEnd w:id="93"/>
    </w:p>
    <w:p>
      <w:pPr>
        <w:keepNext w:val="0"/>
        <w:keepLines w:val="0"/>
        <w:pageBreakBefore w:val="0"/>
        <w:widowControl w:val="0"/>
        <w:kinsoku/>
        <w:wordWrap/>
        <w:overflowPunct w:val="0"/>
        <w:topLinePunct w:val="0"/>
        <w:autoSpaceDE/>
        <w:autoSpaceDN/>
        <w:bidi w:val="0"/>
        <w:spacing w:line="360" w:lineRule="auto"/>
        <w:ind w:firstLine="838" w:firstLineChars="262"/>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包括两个独立的考试项目：查找脚手架存在的安全隐患（K31）、扣件式钢管脚手架部件的判废（K32）。</w:t>
      </w:r>
    </w:p>
    <w:p>
      <w:pPr>
        <w:pStyle w:val="a8"/>
        <w:keepNext w:val="0"/>
        <w:keepLines w:val="0"/>
        <w:pageBreakBefore w:val="0"/>
        <w:widowControl w:val="0"/>
        <w:numPr>
          <w:ilvl w:val="0"/>
          <w:numId w:val="0"/>
        </w:numPr>
        <w:kinsoku/>
        <w:wordWrap/>
        <w:overflowPunct w:val="0"/>
        <w:topLinePunct w:val="0"/>
        <w:autoSpaceDE/>
        <w:autoSpaceDN/>
        <w:bidi w:val="0"/>
        <w:ind w:firstLine="838" w:firstLineChars="262"/>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注：考试时考生随机抽取一个考试项目进行考试。</w:t>
      </w:r>
    </w:p>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838" w:firstLineChars="262"/>
        <w:rPr>
          <w:rFonts w:hAnsi="黑体" w:cs="黑体"/>
          <w:color w:val="000000" w:themeColor="text1"/>
          <w:sz w:val="32"/>
          <w:szCs w:val="32"/>
        </w:rPr>
      </w:pPr>
      <w:bookmarkStart w:id="94" w:name="_Toc466293869"/>
      <w:r>
        <w:rPr>
          <w:rFonts w:hAnsi="黑体" w:cs="黑体" w:hint="eastAsia"/>
          <w:color w:val="000000" w:themeColor="text1"/>
          <w:sz w:val="32"/>
          <w:szCs w:val="32"/>
        </w:rPr>
        <w:t>A.3.2</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查找脚手架存在的安全隐患（K31）</w:t>
      </w:r>
      <w:bookmarkEnd w:id="94"/>
    </w:p>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838" w:firstLineChars="262"/>
        <w:rPr>
          <w:rFonts w:hAnsi="黑体" w:cs="黑体"/>
          <w:color w:val="000000" w:themeColor="text1"/>
          <w:sz w:val="32"/>
          <w:szCs w:val="32"/>
        </w:rPr>
      </w:pPr>
      <w:bookmarkStart w:id="95" w:name="_Toc466293870"/>
      <w:r>
        <w:rPr>
          <w:rFonts w:hAnsi="黑体" w:cs="黑体" w:hint="eastAsia"/>
          <w:color w:val="000000" w:themeColor="text1"/>
          <w:sz w:val="32"/>
          <w:szCs w:val="32"/>
        </w:rPr>
        <w:t>A.3.2.1</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考核要点</w:t>
      </w:r>
      <w:bookmarkEnd w:id="95"/>
    </w:p>
    <w:p>
      <w:pPr>
        <w:pStyle w:val="a3"/>
        <w:keepNext w:val="0"/>
        <w:keepLines w:val="0"/>
        <w:pageBreakBefore w:val="0"/>
        <w:widowControl w:val="0"/>
        <w:kinsoku/>
        <w:wordWrap/>
        <w:overflowPunct w:val="0"/>
        <w:topLinePunct w:val="0"/>
        <w:autoSpaceDE/>
        <w:autoSpaceDN/>
        <w:bidi w:val="0"/>
        <w:ind w:firstLine="838" w:firstLineChars="262"/>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主要考查考生对己搭设好高度3—5m的脚手架上或给定的脚手架图片资料中，让其正确找出所存在的安全隐患，并说明原因。</w:t>
      </w:r>
    </w:p>
    <w:p>
      <w:pPr>
        <w:pStyle w:val="a3"/>
        <w:keepNext w:val="0"/>
        <w:keepLines w:val="0"/>
        <w:pageBreakBefore w:val="0"/>
        <w:widowControl w:val="0"/>
        <w:kinsoku/>
        <w:wordWrap/>
        <w:overflowPunct w:val="0"/>
        <w:topLinePunct w:val="0"/>
        <w:autoSpaceDE/>
        <w:autoSpaceDN/>
        <w:bidi w:val="0"/>
        <w:ind w:firstLine="838" w:firstLineChars="262"/>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设置立杆间距大。</w:t>
      </w:r>
    </w:p>
    <w:p>
      <w:pPr>
        <w:pStyle w:val="a3"/>
        <w:keepNext w:val="0"/>
        <w:keepLines w:val="0"/>
        <w:pageBreakBefore w:val="0"/>
        <w:widowControl w:val="0"/>
        <w:kinsoku/>
        <w:wordWrap/>
        <w:overflowPunct w:val="0"/>
        <w:topLinePunct w:val="0"/>
        <w:autoSpaceDE/>
        <w:autoSpaceDN/>
        <w:bidi w:val="0"/>
        <w:ind w:firstLine="838" w:firstLineChars="262"/>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横向水平杆设置不规范。</w:t>
      </w:r>
    </w:p>
    <w:p>
      <w:pPr>
        <w:pStyle w:val="a3"/>
        <w:keepNext w:val="0"/>
        <w:keepLines w:val="0"/>
        <w:pageBreakBefore w:val="0"/>
        <w:widowControl w:val="0"/>
        <w:kinsoku/>
        <w:wordWrap/>
        <w:overflowPunct w:val="0"/>
        <w:topLinePunct w:val="0"/>
        <w:autoSpaceDE/>
        <w:autoSpaceDN/>
        <w:bidi w:val="0"/>
        <w:ind w:firstLine="838" w:firstLineChars="262"/>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杆件端头超出扣件的长度不规范。</w:t>
      </w:r>
    </w:p>
    <w:p>
      <w:pPr>
        <w:pStyle w:val="a3"/>
        <w:keepNext w:val="0"/>
        <w:keepLines w:val="0"/>
        <w:pageBreakBefore w:val="0"/>
        <w:widowControl w:val="0"/>
        <w:kinsoku/>
        <w:wordWrap/>
        <w:overflowPunct w:val="0"/>
        <w:topLinePunct w:val="0"/>
        <w:autoSpaceDE/>
        <w:autoSpaceDN/>
        <w:bidi w:val="0"/>
        <w:ind w:firstLine="838" w:firstLineChars="262"/>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剪刀撑设置不规范。</w:t>
      </w:r>
    </w:p>
    <w:p>
      <w:pPr>
        <w:pStyle w:val="a3"/>
        <w:keepNext w:val="0"/>
        <w:keepLines w:val="0"/>
        <w:pageBreakBefore w:val="0"/>
        <w:widowControl w:val="0"/>
        <w:kinsoku/>
        <w:wordWrap/>
        <w:overflowPunct w:val="0"/>
        <w:topLinePunct w:val="0"/>
        <w:autoSpaceDE/>
        <w:autoSpaceDN/>
        <w:bidi w:val="0"/>
        <w:ind w:firstLine="838" w:firstLineChars="262"/>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连墙件设置不规范。</w:t>
      </w:r>
    </w:p>
    <w:p>
      <w:pPr>
        <w:pStyle w:val="a3"/>
        <w:keepNext w:val="0"/>
        <w:keepLines w:val="0"/>
        <w:pageBreakBefore w:val="0"/>
        <w:widowControl w:val="0"/>
        <w:kinsoku/>
        <w:wordWrap/>
        <w:overflowPunct w:val="0"/>
        <w:topLinePunct w:val="0"/>
        <w:autoSpaceDE/>
        <w:autoSpaceDN/>
        <w:bidi w:val="0"/>
        <w:ind w:firstLine="838" w:firstLineChars="262"/>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脚手板端头过长或未采取固定措施等。</w:t>
      </w:r>
    </w:p>
    <w:p>
      <w:pPr>
        <w:pStyle w:val="a8"/>
        <w:keepNext w:val="0"/>
        <w:keepLines w:val="0"/>
        <w:pageBreakBefore w:val="0"/>
        <w:widowControl w:val="0"/>
        <w:numPr>
          <w:ilvl w:val="0"/>
          <w:numId w:val="0"/>
        </w:numPr>
        <w:kinsoku/>
        <w:wordWrap/>
        <w:overflowPunct w:val="0"/>
        <w:topLinePunct w:val="0"/>
        <w:autoSpaceDE/>
        <w:autoSpaceDN/>
        <w:bidi w:val="0"/>
        <w:ind w:left="550" w:firstLine="320" w:leftChars="262" w:firstLineChars="100"/>
        <w:rPr>
          <w:rFonts w:ascii="仿宋" w:eastAsia="仿宋" w:hAnsi="仿宋" w:cs="仿宋"/>
          <w:color w:val="000000" w:themeColor="text1"/>
          <w:sz w:val="36"/>
          <w:szCs w:val="36"/>
        </w:rPr>
      </w:pPr>
      <w:r>
        <w:rPr>
          <w:rFonts w:ascii="仿宋" w:eastAsia="仿宋" w:hAnsi="仿宋" w:cs="仿宋" w:hint="eastAsia"/>
          <w:color w:val="000000" w:themeColor="text1"/>
          <w:sz w:val="32"/>
          <w:szCs w:val="32"/>
        </w:rPr>
        <w:t>注：考试时考生至少找出4个安全隐患点并说明原因。</w:t>
      </w:r>
    </w:p>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838" w:firstLineChars="262"/>
        <w:rPr>
          <w:rFonts w:hAnsi="黑体" w:cs="黑体"/>
          <w:color w:val="000000" w:themeColor="text1"/>
          <w:sz w:val="32"/>
          <w:szCs w:val="32"/>
        </w:rPr>
        <w:sectPr>
          <w:footerReference w:type="default" r:id="rId25"/>
          <w:type w:val="nextPage"/>
          <w:pgSz w:w="11906" w:h="16838"/>
          <w:pgMar w:top="2098" w:right="1531" w:bottom="1984" w:left="1531" w:header="851" w:footer="1531" w:gutter="0"/>
          <w:pgNumType w:fmt="decimal" w:start="324"/>
          <w:cols w:num="1" w:space="425"/>
          <w:titlePg w:val="0"/>
          <w:docGrid w:type="lines" w:linePitch="312" w:charSpace="0"/>
        </w:sectPr>
      </w:pPr>
      <w:bookmarkStart w:id="96" w:name="_Toc466293871"/>
      <w:r>
        <w:rPr>
          <w:rFonts w:hAnsi="黑体" w:cs="黑体" w:hint="eastAsia"/>
          <w:color w:val="000000" w:themeColor="text1"/>
          <w:sz w:val="32"/>
          <w:szCs w:val="32"/>
        </w:rPr>
        <w:t>A.3.2.2</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评分标准</w:t>
      </w:r>
      <w:bookmarkEnd w:id="96"/>
    </w:p>
    <w:tbl>
      <w:tblPr>
        <w:tblStyle w:val="TableNormal"/>
        <w:tblpPr w:leftFromText="180" w:rightFromText="180" w:vertAnchor="text" w:horzAnchor="page" w:tblpXSpec="center" w:tblpY="204"/>
        <w:tblOverlap w:val="never"/>
        <w:tblW w:w="89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60"/>
        <w:gridCol w:w="2900"/>
        <w:gridCol w:w="1050"/>
        <w:gridCol w:w="3709"/>
      </w:tblGrid>
      <w:tr>
        <w:tblPrEx>
          <w:tblW w:w="89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62"/>
          <w:jc w:val="center"/>
        </w:trPr>
        <w:tc>
          <w:tcPr>
            <w:tcW w:w="1260"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bookmarkStart w:id="97" w:name="_Toc466293872"/>
            <w:r>
              <w:rPr>
                <w:rFonts w:ascii="黑体" w:eastAsia="黑体" w:hAnsi="黑体" w:cs="黑体" w:hint="eastAsia"/>
                <w:color w:val="000000" w:themeColor="text1"/>
                <w:kern w:val="0"/>
              </w:rPr>
              <w:t>项目</w:t>
            </w:r>
          </w:p>
        </w:tc>
        <w:tc>
          <w:tcPr>
            <w:tcW w:w="2900"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内容</w:t>
            </w:r>
          </w:p>
        </w:tc>
        <w:tc>
          <w:tcPr>
            <w:tcW w:w="1050"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分值</w:t>
            </w:r>
          </w:p>
        </w:tc>
        <w:tc>
          <w:tcPr>
            <w:tcW w:w="3709"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评 分 标 准</w:t>
            </w:r>
          </w:p>
        </w:tc>
      </w:tr>
      <w:tr>
        <w:tblPrEx>
          <w:tblW w:w="8919" w:type="dxa"/>
          <w:jc w:val="center"/>
          <w:tblLayout w:type="fixed"/>
          <w:tblCellMar>
            <w:top w:w="0" w:type="dxa"/>
            <w:left w:w="108" w:type="dxa"/>
            <w:bottom w:w="0" w:type="dxa"/>
            <w:right w:w="108" w:type="dxa"/>
          </w:tblCellMar>
        </w:tblPrEx>
        <w:trPr>
          <w:trHeight w:val="488"/>
          <w:jc w:val="center"/>
        </w:trPr>
        <w:tc>
          <w:tcPr>
            <w:tcW w:w="1260"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r>
              <w:rPr>
                <w:rFonts w:ascii="仿宋" w:eastAsia="仿宋" w:hAnsi="仿宋" w:cs="仿宋" w:hint="eastAsia"/>
              </w:rPr>
              <w:t>查找脚手架存在的安全隐患</w:t>
            </w:r>
          </w:p>
        </w:tc>
        <w:tc>
          <w:tcPr>
            <w:tcW w:w="2900"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rPr>
            </w:pPr>
            <w:r>
              <w:rPr>
                <w:rFonts w:ascii="仿宋" w:eastAsia="仿宋" w:hAnsi="仿宋" w:cs="仿宋" w:hint="eastAsia"/>
              </w:rPr>
              <w:t>在给定的脚手架实物或图片资料中</w:t>
            </w:r>
            <w:r>
              <w:rPr>
                <w:rFonts w:ascii="仿宋" w:eastAsia="仿宋" w:hAnsi="仿宋" w:cs="仿宋" w:hint="eastAsia"/>
                <w:lang w:val="zh-CN"/>
              </w:rPr>
              <w:t>查找</w:t>
            </w:r>
            <w:r>
              <w:rPr>
                <w:rFonts w:ascii="仿宋" w:eastAsia="仿宋" w:hAnsi="仿宋" w:cs="仿宋" w:hint="eastAsia"/>
              </w:rPr>
              <w:t>脚手架存在的安全隐患</w:t>
            </w:r>
          </w:p>
        </w:tc>
        <w:tc>
          <w:tcPr>
            <w:tcW w:w="1050"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lang w:val="zh-CN"/>
              </w:rPr>
            </w:pPr>
            <w:r>
              <w:rPr>
                <w:rFonts w:ascii="仿宋" w:eastAsia="仿宋" w:hAnsi="仿宋" w:cs="仿宋" w:hint="eastAsia"/>
                <w:lang w:val="zh-CN"/>
              </w:rPr>
              <w:t>60</w:t>
            </w:r>
          </w:p>
        </w:tc>
        <w:tc>
          <w:tcPr>
            <w:tcW w:w="3709" w:type="dxa"/>
            <w:vMerge w:val="restart"/>
            <w:vAlign w:val="center"/>
          </w:tcPr>
          <w:p>
            <w:pPr>
              <w:keepNext w:val="0"/>
              <w:keepLines w:val="0"/>
              <w:pageBreakBefore w:val="0"/>
              <w:widowControl w:val="0"/>
              <w:kinsoku/>
              <w:wordWrap/>
              <w:overflowPunct w:val="0"/>
              <w:topLinePunct w:val="0"/>
              <w:autoSpaceDE/>
              <w:autoSpaceDN/>
              <w:bidi w:val="0"/>
              <w:rPr>
                <w:rFonts w:ascii="仿宋" w:eastAsia="仿宋" w:hAnsi="仿宋" w:cs="仿宋"/>
              </w:rPr>
            </w:pPr>
            <w:r>
              <w:rPr>
                <w:rFonts w:ascii="仿宋" w:eastAsia="仿宋" w:hAnsi="仿宋" w:cs="仿宋" w:hint="eastAsia"/>
              </w:rPr>
              <w:t>通过观察现场实物或图片，至少找出4处安全隐患，找错或少找，每处扣15分。</w:t>
            </w:r>
          </w:p>
        </w:tc>
      </w:tr>
      <w:tr>
        <w:tblPrEx>
          <w:tblW w:w="8919" w:type="dxa"/>
          <w:jc w:val="center"/>
          <w:tblLayout w:type="fixed"/>
          <w:tblCellMar>
            <w:top w:w="0" w:type="dxa"/>
            <w:left w:w="108" w:type="dxa"/>
            <w:bottom w:w="0" w:type="dxa"/>
            <w:right w:w="108" w:type="dxa"/>
          </w:tblCellMar>
        </w:tblPrEx>
        <w:trPr>
          <w:trHeight w:val="488"/>
          <w:jc w:val="center"/>
        </w:trPr>
        <w:tc>
          <w:tcPr>
            <w:tcW w:w="1260"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p>
        </w:tc>
        <w:tc>
          <w:tcPr>
            <w:tcW w:w="2900"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p>
        </w:tc>
        <w:tc>
          <w:tcPr>
            <w:tcW w:w="1050"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lang w:val="zh-CN"/>
              </w:rPr>
            </w:pPr>
          </w:p>
        </w:tc>
        <w:tc>
          <w:tcPr>
            <w:tcW w:w="3709" w:type="dxa"/>
            <w:vMerge/>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p>
        </w:tc>
      </w:tr>
      <w:tr>
        <w:tblPrEx>
          <w:tblW w:w="8919" w:type="dxa"/>
          <w:jc w:val="center"/>
          <w:tblLayout w:type="fixed"/>
          <w:tblCellMar>
            <w:top w:w="0" w:type="dxa"/>
            <w:left w:w="108" w:type="dxa"/>
            <w:bottom w:w="0" w:type="dxa"/>
            <w:right w:w="108" w:type="dxa"/>
          </w:tblCellMar>
        </w:tblPrEx>
        <w:trPr>
          <w:trHeight w:val="488"/>
          <w:jc w:val="center"/>
        </w:trPr>
        <w:tc>
          <w:tcPr>
            <w:tcW w:w="1260"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p>
        </w:tc>
        <w:tc>
          <w:tcPr>
            <w:tcW w:w="2900"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p>
        </w:tc>
        <w:tc>
          <w:tcPr>
            <w:tcW w:w="1050"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lang w:val="zh-CN"/>
              </w:rPr>
            </w:pPr>
          </w:p>
        </w:tc>
        <w:tc>
          <w:tcPr>
            <w:tcW w:w="3709" w:type="dxa"/>
            <w:vMerge/>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p>
        </w:tc>
      </w:tr>
      <w:tr>
        <w:tblPrEx>
          <w:tblW w:w="8919" w:type="dxa"/>
          <w:jc w:val="center"/>
          <w:tblLayout w:type="fixed"/>
          <w:tblCellMar>
            <w:top w:w="0" w:type="dxa"/>
            <w:left w:w="108" w:type="dxa"/>
            <w:bottom w:w="0" w:type="dxa"/>
            <w:right w:w="108" w:type="dxa"/>
          </w:tblCellMar>
        </w:tblPrEx>
        <w:trPr>
          <w:trHeight w:val="312"/>
          <w:jc w:val="center"/>
        </w:trPr>
        <w:tc>
          <w:tcPr>
            <w:tcW w:w="1260"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p>
        </w:tc>
        <w:tc>
          <w:tcPr>
            <w:tcW w:w="2900"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p>
        </w:tc>
        <w:tc>
          <w:tcPr>
            <w:tcW w:w="1050"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lang w:val="zh-CN"/>
              </w:rPr>
            </w:pPr>
          </w:p>
        </w:tc>
        <w:tc>
          <w:tcPr>
            <w:tcW w:w="3709" w:type="dxa"/>
            <w:vMerge/>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p>
        </w:tc>
      </w:tr>
      <w:tr>
        <w:tblPrEx>
          <w:tblW w:w="8919" w:type="dxa"/>
          <w:jc w:val="center"/>
          <w:tblLayout w:type="fixed"/>
          <w:tblCellMar>
            <w:top w:w="0" w:type="dxa"/>
            <w:left w:w="108" w:type="dxa"/>
            <w:bottom w:w="0" w:type="dxa"/>
            <w:right w:w="108" w:type="dxa"/>
          </w:tblCellMar>
        </w:tblPrEx>
        <w:trPr>
          <w:trHeight w:val="488"/>
          <w:jc w:val="center"/>
        </w:trPr>
        <w:tc>
          <w:tcPr>
            <w:tcW w:w="1260"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p>
        </w:tc>
        <w:tc>
          <w:tcPr>
            <w:tcW w:w="2900"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lang w:val="zh-CN"/>
              </w:rPr>
            </w:pPr>
            <w:r>
              <w:rPr>
                <w:rFonts w:ascii="仿宋" w:eastAsia="仿宋" w:hAnsi="仿宋" w:cs="仿宋" w:hint="eastAsia"/>
              </w:rPr>
              <w:t>对找出的安全隐患进行</w:t>
            </w:r>
            <w:r>
              <w:rPr>
                <w:rFonts w:ascii="仿宋" w:eastAsia="仿宋" w:hAnsi="仿宋" w:cs="仿宋" w:hint="eastAsia"/>
                <w:lang w:val="zh-CN"/>
              </w:rPr>
              <w:t>原因分析</w:t>
            </w:r>
          </w:p>
        </w:tc>
        <w:tc>
          <w:tcPr>
            <w:tcW w:w="1050"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lang w:val="zh-CN"/>
              </w:rPr>
            </w:pPr>
            <w:r>
              <w:rPr>
                <w:rFonts w:ascii="仿宋" w:eastAsia="仿宋" w:hAnsi="仿宋" w:cs="仿宋" w:hint="eastAsia"/>
                <w:lang w:val="zh-CN"/>
              </w:rPr>
              <w:t>40</w:t>
            </w:r>
          </w:p>
        </w:tc>
        <w:tc>
          <w:tcPr>
            <w:tcW w:w="3709" w:type="dxa"/>
            <w:vMerge w:val="restart"/>
            <w:vAlign w:val="center"/>
          </w:tcPr>
          <w:p>
            <w:pPr>
              <w:keepNext w:val="0"/>
              <w:keepLines w:val="0"/>
              <w:pageBreakBefore w:val="0"/>
              <w:widowControl w:val="0"/>
              <w:kinsoku/>
              <w:wordWrap/>
              <w:overflowPunct w:val="0"/>
              <w:topLinePunct w:val="0"/>
              <w:autoSpaceDE/>
              <w:autoSpaceDN/>
              <w:bidi w:val="0"/>
              <w:rPr>
                <w:rFonts w:ascii="仿宋" w:eastAsia="仿宋" w:hAnsi="仿宋" w:cs="仿宋"/>
              </w:rPr>
            </w:pPr>
            <w:r>
              <w:rPr>
                <w:rFonts w:ascii="仿宋" w:eastAsia="仿宋" w:hAnsi="仿宋" w:cs="仿宋" w:hint="eastAsia"/>
              </w:rPr>
              <w:t>对找出的安全隐患进行原因分析，不能进行原因分析或原因分析不正确的，每处扣10分。</w:t>
            </w:r>
          </w:p>
        </w:tc>
      </w:tr>
      <w:tr>
        <w:tblPrEx>
          <w:tblW w:w="8919" w:type="dxa"/>
          <w:jc w:val="center"/>
          <w:tblLayout w:type="fixed"/>
          <w:tblCellMar>
            <w:top w:w="0" w:type="dxa"/>
            <w:left w:w="108" w:type="dxa"/>
            <w:bottom w:w="0" w:type="dxa"/>
            <w:right w:w="108" w:type="dxa"/>
          </w:tblCellMar>
        </w:tblPrEx>
        <w:trPr>
          <w:trHeight w:val="488"/>
          <w:jc w:val="center"/>
        </w:trPr>
        <w:tc>
          <w:tcPr>
            <w:tcW w:w="12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290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0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3709" w:type="dxa"/>
            <w:vMerge/>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p>
        </w:tc>
      </w:tr>
      <w:tr>
        <w:tblPrEx>
          <w:tblW w:w="8919" w:type="dxa"/>
          <w:jc w:val="center"/>
          <w:tblLayout w:type="fixed"/>
          <w:tblCellMar>
            <w:top w:w="0" w:type="dxa"/>
            <w:left w:w="108" w:type="dxa"/>
            <w:bottom w:w="0" w:type="dxa"/>
            <w:right w:w="108" w:type="dxa"/>
          </w:tblCellMar>
        </w:tblPrEx>
        <w:trPr>
          <w:trHeight w:val="488"/>
          <w:jc w:val="center"/>
        </w:trPr>
        <w:tc>
          <w:tcPr>
            <w:tcW w:w="12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290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0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3709" w:type="dxa"/>
            <w:vMerge/>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p>
        </w:tc>
      </w:tr>
      <w:tr>
        <w:tblPrEx>
          <w:tblW w:w="8919" w:type="dxa"/>
          <w:jc w:val="center"/>
          <w:tblLayout w:type="fixed"/>
          <w:tblCellMar>
            <w:top w:w="0" w:type="dxa"/>
            <w:left w:w="108" w:type="dxa"/>
            <w:bottom w:w="0" w:type="dxa"/>
            <w:right w:w="108" w:type="dxa"/>
          </w:tblCellMar>
        </w:tblPrEx>
        <w:trPr>
          <w:trHeight w:val="312"/>
          <w:jc w:val="center"/>
        </w:trPr>
        <w:tc>
          <w:tcPr>
            <w:tcW w:w="126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290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050" w:type="dxa"/>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3709" w:type="dxa"/>
            <w:vMerge/>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p>
        </w:tc>
      </w:tr>
      <w:tr>
        <w:tblPrEx>
          <w:tblW w:w="8919" w:type="dxa"/>
          <w:jc w:val="center"/>
          <w:tblLayout w:type="fixed"/>
          <w:tblCellMar>
            <w:top w:w="0" w:type="dxa"/>
            <w:left w:w="108" w:type="dxa"/>
            <w:bottom w:w="0" w:type="dxa"/>
            <w:right w:w="108" w:type="dxa"/>
          </w:tblCellMar>
        </w:tblPrEx>
        <w:trPr>
          <w:trHeight w:val="695"/>
          <w:jc w:val="center"/>
        </w:trPr>
        <w:tc>
          <w:tcPr>
            <w:tcW w:w="4160" w:type="dxa"/>
            <w:gridSpan w:val="2"/>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rPr>
            </w:pPr>
            <w:r>
              <w:rPr>
                <w:rFonts w:ascii="黑体" w:eastAsia="黑体" w:hAnsi="黑体" w:cs="黑体" w:hint="eastAsia"/>
                <w:color w:val="000000" w:themeColor="text1"/>
              </w:rPr>
              <w:t>合计</w:t>
            </w:r>
          </w:p>
        </w:tc>
        <w:tc>
          <w:tcPr>
            <w:tcW w:w="1050" w:type="dxa"/>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lang w:bidi="en-US"/>
              </w:rPr>
            </w:pPr>
            <w:r>
              <w:rPr>
                <w:rFonts w:ascii="黑体" w:eastAsia="黑体" w:hAnsi="黑体" w:cs="黑体" w:hint="eastAsia"/>
                <w:color w:val="000000" w:themeColor="text1"/>
                <w:lang w:bidi="en-US"/>
              </w:rPr>
              <w:t>100</w:t>
            </w:r>
          </w:p>
        </w:tc>
        <w:tc>
          <w:tcPr>
            <w:tcW w:w="3709" w:type="dxa"/>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黑体" w:eastAsia="黑体" w:hAnsi="黑体" w:cs="黑体"/>
                <w:color w:val="000000" w:themeColor="text1"/>
                <w:lang w:val="zh-CN"/>
              </w:rPr>
            </w:pPr>
          </w:p>
        </w:tc>
      </w:tr>
    </w:tbl>
    <w:p>
      <w:pPr>
        <w:pStyle w:val="a5"/>
        <w:keepNext w:val="0"/>
        <w:keepLines w:val="0"/>
        <w:pageBreakBefore w:val="0"/>
        <w:widowControl w:val="0"/>
        <w:numPr>
          <w:ilvl w:val="2"/>
          <w:numId w:val="0"/>
        </w:numPr>
        <w:kinsoku/>
        <w:wordWrap/>
        <w:overflowPunct w:val="0"/>
        <w:topLinePunct w:val="0"/>
        <w:autoSpaceDE/>
        <w:autoSpaceDN/>
        <w:bidi w:val="0"/>
        <w:spacing w:before="156" w:after="156"/>
        <w:ind w:left="420"/>
        <w:rPr>
          <w:rFonts w:hAnsi="黑体" w:cs="黑体"/>
          <w:color w:val="000000" w:themeColor="text1"/>
          <w:sz w:val="32"/>
          <w:szCs w:val="32"/>
        </w:rPr>
      </w:pPr>
      <w:r>
        <w:rPr>
          <w:rFonts w:hAnsi="黑体" w:cs="黑体" w:hint="eastAsia"/>
          <w:color w:val="000000" w:themeColor="text1"/>
          <w:sz w:val="32"/>
          <w:szCs w:val="32"/>
        </w:rPr>
        <w:t>A.3.2.3</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设备配备</w:t>
      </w:r>
      <w:bookmarkEnd w:id="97"/>
    </w:p>
    <w:tbl>
      <w:tblPr>
        <w:tblStyle w:val="TableNormal"/>
        <w:tblW w:w="8987" w:type="dxa"/>
        <w:jc w:val="center"/>
        <w:tblLayout w:type="fixed"/>
        <w:tblCellMar>
          <w:top w:w="15" w:type="dxa"/>
          <w:left w:w="15" w:type="dxa"/>
          <w:bottom w:w="15" w:type="dxa"/>
          <w:right w:w="15" w:type="dxa"/>
        </w:tblCellMar>
      </w:tblPr>
      <w:tblGrid>
        <w:gridCol w:w="810"/>
        <w:gridCol w:w="4119"/>
        <w:gridCol w:w="2127"/>
        <w:gridCol w:w="797"/>
        <w:gridCol w:w="1134"/>
      </w:tblGrid>
      <w:tr>
        <w:tblPrEx>
          <w:tblW w:w="8987" w:type="dxa"/>
          <w:jc w:val="center"/>
          <w:tblLayout w:type="fixed"/>
          <w:tblCellMar>
            <w:top w:w="15" w:type="dxa"/>
            <w:left w:w="15" w:type="dxa"/>
            <w:bottom w:w="15" w:type="dxa"/>
            <w:right w:w="15" w:type="dxa"/>
          </w:tblCellMar>
        </w:tblPrEx>
        <w:trPr>
          <w:trHeight w:val="800"/>
          <w:jc w:val="center"/>
        </w:trPr>
        <w:tc>
          <w:tcPr>
            <w:tcW w:w="8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黑体"/>
                <w:color w:val="000000" w:themeColor="text1"/>
                <w:kern w:val="0"/>
              </w:rPr>
            </w:pPr>
            <w:r>
              <w:rPr>
                <w:rFonts w:ascii="黑体" w:eastAsia="黑体" w:hAnsi="黑体" w:cs="黑体" w:hint="eastAsia"/>
                <w:color w:val="000000" w:themeColor="text1"/>
                <w:kern w:val="0"/>
              </w:rPr>
              <w:t>序号</w:t>
            </w:r>
          </w:p>
        </w:tc>
        <w:tc>
          <w:tcPr>
            <w:tcW w:w="411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黑体"/>
                <w:color w:val="000000" w:themeColor="text1"/>
                <w:kern w:val="0"/>
              </w:rPr>
            </w:pPr>
            <w:r>
              <w:rPr>
                <w:rFonts w:ascii="黑体" w:eastAsia="黑体" w:hAnsi="黑体" w:cs="黑体" w:hint="eastAsia"/>
                <w:color w:val="000000" w:themeColor="text1"/>
                <w:kern w:val="0"/>
              </w:rPr>
              <w:t>设　　备</w:t>
            </w:r>
          </w:p>
        </w:tc>
        <w:tc>
          <w:tcPr>
            <w:tcW w:w="212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黑体"/>
                <w:color w:val="000000" w:themeColor="text1"/>
                <w:kern w:val="0"/>
              </w:rPr>
            </w:pPr>
            <w:r>
              <w:rPr>
                <w:rFonts w:ascii="黑体" w:eastAsia="黑体" w:hAnsi="黑体" w:cs="黑体" w:hint="eastAsia"/>
                <w:color w:val="000000" w:themeColor="text1"/>
                <w:kern w:val="0"/>
              </w:rPr>
              <w:t>参考型号/规格</w:t>
            </w:r>
          </w:p>
        </w:tc>
        <w:tc>
          <w:tcPr>
            <w:tcW w:w="79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黑体"/>
                <w:color w:val="000000" w:themeColor="text1"/>
                <w:kern w:val="0"/>
              </w:rPr>
            </w:pPr>
            <w:r>
              <w:rPr>
                <w:rFonts w:ascii="黑体" w:eastAsia="黑体" w:hAnsi="黑体" w:cs="黑体" w:hint="eastAsia"/>
                <w:color w:val="000000" w:themeColor="text1"/>
                <w:kern w:val="0"/>
              </w:rPr>
              <w:t>数量</w:t>
            </w:r>
          </w:p>
        </w:tc>
        <w:tc>
          <w:tcPr>
            <w:tcW w:w="113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黑体"/>
                <w:color w:val="000000" w:themeColor="text1"/>
                <w:kern w:val="0"/>
              </w:rPr>
            </w:pPr>
            <w:r>
              <w:rPr>
                <w:rFonts w:ascii="黑体" w:eastAsia="黑体" w:hAnsi="黑体" w:cs="黑体" w:hint="eastAsia"/>
                <w:color w:val="000000" w:themeColor="text1"/>
                <w:kern w:val="0"/>
              </w:rPr>
              <w:t>备注</w:t>
            </w:r>
          </w:p>
        </w:tc>
      </w:tr>
      <w:tr>
        <w:tblPrEx>
          <w:tblW w:w="8987" w:type="dxa"/>
          <w:jc w:val="center"/>
          <w:tblLayout w:type="fixed"/>
          <w:tblCellMar>
            <w:top w:w="15" w:type="dxa"/>
            <w:left w:w="15" w:type="dxa"/>
            <w:bottom w:w="15" w:type="dxa"/>
            <w:right w:w="15" w:type="dxa"/>
          </w:tblCellMar>
        </w:tblPrEx>
        <w:trPr>
          <w:trHeight w:val="519"/>
          <w:jc w:val="center"/>
        </w:trPr>
        <w:tc>
          <w:tcPr>
            <w:tcW w:w="8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1</w:t>
            </w:r>
          </w:p>
        </w:tc>
        <w:tc>
          <w:tcPr>
            <w:tcW w:w="411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3—5m的脚手架</w:t>
            </w:r>
          </w:p>
        </w:tc>
        <w:tc>
          <w:tcPr>
            <w:tcW w:w="212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有6-8处安全隐患</w:t>
            </w:r>
          </w:p>
        </w:tc>
        <w:tc>
          <w:tcPr>
            <w:tcW w:w="79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1</w:t>
            </w:r>
          </w:p>
        </w:tc>
        <w:tc>
          <w:tcPr>
            <w:tcW w:w="113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实物考试用</w:t>
            </w:r>
          </w:p>
        </w:tc>
      </w:tr>
      <w:tr>
        <w:tblPrEx>
          <w:tblW w:w="8987" w:type="dxa"/>
          <w:jc w:val="center"/>
          <w:tblLayout w:type="fixed"/>
          <w:tblCellMar>
            <w:top w:w="15" w:type="dxa"/>
            <w:left w:w="15" w:type="dxa"/>
            <w:bottom w:w="15" w:type="dxa"/>
            <w:right w:w="15" w:type="dxa"/>
          </w:tblCellMar>
        </w:tblPrEx>
        <w:trPr>
          <w:trHeight w:val="544"/>
          <w:jc w:val="center"/>
        </w:trPr>
        <w:tc>
          <w:tcPr>
            <w:tcW w:w="8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2</w:t>
            </w:r>
          </w:p>
        </w:tc>
        <w:tc>
          <w:tcPr>
            <w:tcW w:w="411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lang w:val="zh-CN"/>
              </w:rPr>
              <w:t>计算机或投影设备（套）</w:t>
            </w:r>
          </w:p>
        </w:tc>
        <w:tc>
          <w:tcPr>
            <w:tcW w:w="212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kern w:val="0"/>
              </w:rPr>
              <w:t>符合考试要求</w:t>
            </w:r>
          </w:p>
        </w:tc>
        <w:tc>
          <w:tcPr>
            <w:tcW w:w="79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1</w:t>
            </w:r>
          </w:p>
        </w:tc>
        <w:tc>
          <w:tcPr>
            <w:tcW w:w="113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考试用</w:t>
            </w:r>
          </w:p>
        </w:tc>
      </w:tr>
      <w:tr>
        <w:tblPrEx>
          <w:tblW w:w="8987" w:type="dxa"/>
          <w:jc w:val="center"/>
          <w:tblLayout w:type="fixed"/>
          <w:tblCellMar>
            <w:top w:w="15" w:type="dxa"/>
            <w:left w:w="15" w:type="dxa"/>
            <w:bottom w:w="15" w:type="dxa"/>
            <w:right w:w="15" w:type="dxa"/>
          </w:tblCellMar>
        </w:tblPrEx>
        <w:trPr>
          <w:trHeight w:val="629"/>
          <w:jc w:val="center"/>
        </w:trPr>
        <w:tc>
          <w:tcPr>
            <w:tcW w:w="8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3</w:t>
            </w:r>
          </w:p>
        </w:tc>
        <w:tc>
          <w:tcPr>
            <w:tcW w:w="411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作业现场图片（一批）</w:t>
            </w:r>
          </w:p>
        </w:tc>
        <w:tc>
          <w:tcPr>
            <w:tcW w:w="212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符合考试要求</w:t>
            </w:r>
          </w:p>
        </w:tc>
        <w:tc>
          <w:tcPr>
            <w:tcW w:w="79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若干</w:t>
            </w:r>
          </w:p>
        </w:tc>
        <w:tc>
          <w:tcPr>
            <w:tcW w:w="113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kern w:val="0"/>
              </w:rPr>
              <w:t>必须配备</w:t>
            </w:r>
          </w:p>
        </w:tc>
      </w:tr>
    </w:tbl>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640" w:firstLineChars="200"/>
        <w:rPr>
          <w:rFonts w:hAnsi="黑体" w:cs="黑体"/>
          <w:color w:val="000000" w:themeColor="text1"/>
          <w:sz w:val="32"/>
          <w:szCs w:val="32"/>
        </w:rPr>
      </w:pPr>
      <w:bookmarkStart w:id="98" w:name="_Toc466293873"/>
      <w:r>
        <w:rPr>
          <w:rFonts w:hAnsi="黑体" w:cs="黑体" w:hint="eastAsia"/>
          <w:color w:val="000000" w:themeColor="text1"/>
          <w:sz w:val="32"/>
          <w:szCs w:val="32"/>
        </w:rPr>
        <w:t>A.3.3</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扣件式钢管脚手架部件的判废（K32）</w:t>
      </w:r>
      <w:bookmarkEnd w:id="98"/>
    </w:p>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640" w:firstLineChars="200"/>
        <w:rPr>
          <w:rFonts w:hAnsi="黑体" w:cs="黑体"/>
          <w:color w:val="000000" w:themeColor="text1"/>
          <w:sz w:val="32"/>
          <w:szCs w:val="32"/>
        </w:rPr>
      </w:pPr>
      <w:bookmarkStart w:id="99" w:name="_Toc466293874"/>
      <w:r>
        <w:rPr>
          <w:rFonts w:hAnsi="黑体" w:cs="黑体" w:hint="eastAsia"/>
          <w:color w:val="000000" w:themeColor="text1"/>
          <w:sz w:val="32"/>
          <w:szCs w:val="32"/>
        </w:rPr>
        <w:t>A.3.3.1</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考核要点</w:t>
      </w:r>
      <w:bookmarkEnd w:id="99"/>
    </w:p>
    <w:p>
      <w:pPr>
        <w:pStyle w:val="a3"/>
        <w:keepNext w:val="0"/>
        <w:keepLines w:val="0"/>
        <w:pageBreakBefore w:val="0"/>
        <w:widowControl w:val="0"/>
        <w:kinsoku/>
        <w:wordWrap/>
        <w:overflowPunct w:val="0"/>
        <w:topLinePunct w:val="0"/>
        <w:autoSpaceDE/>
        <w:autoSpaceDN/>
        <w:bidi w:val="0"/>
        <w:ind w:firstLine="640"/>
        <w:jc w:val="left"/>
        <w:rPr>
          <w:rFonts w:ascii="仿宋" w:eastAsia="仿宋" w:hAnsi="仿宋" w:cs="仿宋"/>
          <w:color w:val="000000" w:themeColor="text1"/>
          <w:sz w:val="32"/>
          <w:szCs w:val="32"/>
        </w:rPr>
        <w:sectPr>
          <w:footerReference w:type="default" r:id="rId26"/>
          <w:type w:val="nextPage"/>
          <w:pgSz w:w="11906" w:h="16838"/>
          <w:pgMar w:top="2098" w:right="1531" w:bottom="1984" w:left="1531" w:header="851" w:footer="1531" w:gutter="0"/>
          <w:pgNumType w:fmt="decimal" w:start="325"/>
          <w:cols w:num="1" w:space="425"/>
          <w:titlePg w:val="0"/>
          <w:docGrid w:type="lines" w:linePitch="312" w:charSpace="0"/>
        </w:sectPr>
      </w:pPr>
      <w:r>
        <w:rPr>
          <w:rFonts w:ascii="仿宋" w:eastAsia="仿宋" w:hAnsi="仿宋" w:cs="仿宋" w:hint="eastAsia"/>
          <w:color w:val="000000" w:themeColor="text1"/>
          <w:sz w:val="32"/>
          <w:szCs w:val="32"/>
        </w:rPr>
        <w:t>主要考查考生对给定的登高架设作业中的扣件式钢管脚手架部件实物、图片或视频，判断是否存在缺陷或达到报废标准，并说明原因。</w:t>
      </w:r>
    </w:p>
    <w:p>
      <w:pPr>
        <w:pStyle w:val="a3"/>
        <w:keepNext w:val="0"/>
        <w:keepLines w:val="0"/>
        <w:pageBreakBefore w:val="0"/>
        <w:widowControl w:val="0"/>
        <w:kinsoku/>
        <w:wordWrap/>
        <w:overflowPunct w:val="0"/>
        <w:topLinePunct w:val="0"/>
        <w:autoSpaceDE/>
        <w:autoSpaceDN/>
        <w:bidi w:val="0"/>
        <w:ind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钢管的判废。主要考查考生根据钢管的弯曲、裂纹、压扁等问题，判断其是否存在缺陷或达到报废标准，并说明原因。</w:t>
      </w:r>
    </w:p>
    <w:p>
      <w:pPr>
        <w:pStyle w:val="a3"/>
        <w:keepNext w:val="0"/>
        <w:keepLines w:val="0"/>
        <w:pageBreakBefore w:val="0"/>
        <w:widowControl w:val="0"/>
        <w:kinsoku/>
        <w:wordWrap/>
        <w:overflowPunct w:val="0"/>
        <w:topLinePunct w:val="0"/>
        <w:autoSpaceDE/>
        <w:autoSpaceDN/>
        <w:bidi w:val="0"/>
        <w:ind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扣件的判废。主要考查考生根据扣件裂纹、扣件丝杆滑丝等问题，判断其是否存在缺陷或达到报废标准，并说明原因。</w:t>
      </w:r>
    </w:p>
    <w:p>
      <w:pPr>
        <w:pStyle w:val="a3"/>
        <w:keepNext w:val="0"/>
        <w:keepLines w:val="0"/>
        <w:pageBreakBefore w:val="0"/>
        <w:widowControl w:val="0"/>
        <w:kinsoku/>
        <w:wordWrap/>
        <w:overflowPunct w:val="0"/>
        <w:topLinePunct w:val="0"/>
        <w:autoSpaceDE/>
        <w:autoSpaceDN/>
        <w:bidi w:val="0"/>
        <w:ind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注：考试时考生随机抽取2件（张）进行考试。</w:t>
      </w:r>
    </w:p>
    <w:p>
      <w:pPr>
        <w:pStyle w:val="a5"/>
        <w:keepNext w:val="0"/>
        <w:keepLines w:val="0"/>
        <w:pageBreakBefore w:val="0"/>
        <w:widowControl w:val="0"/>
        <w:numPr>
          <w:ilvl w:val="2"/>
          <w:numId w:val="0"/>
        </w:numPr>
        <w:kinsoku/>
        <w:wordWrap/>
        <w:overflowPunct w:val="0"/>
        <w:topLinePunct w:val="0"/>
        <w:autoSpaceDE/>
        <w:autoSpaceDN/>
        <w:bidi w:val="0"/>
        <w:spacing w:before="156" w:after="156"/>
        <w:rPr>
          <w:rFonts w:hAnsi="黑体" w:cs="黑体"/>
          <w:color w:val="000000" w:themeColor="text1"/>
          <w:sz w:val="32"/>
          <w:szCs w:val="32"/>
        </w:rPr>
      </w:pPr>
      <w:bookmarkStart w:id="100" w:name="_Toc466293875"/>
      <w:r>
        <w:rPr>
          <w:rFonts w:hAnsi="黑体" w:cs="黑体" w:hint="eastAsia"/>
          <w:color w:val="000000" w:themeColor="text1"/>
          <w:sz w:val="32"/>
          <w:szCs w:val="32"/>
        </w:rPr>
        <w:t>　　A.3.3.2评分标准</w:t>
      </w:r>
      <w:bookmarkEnd w:id="100"/>
    </w:p>
    <w:tbl>
      <w:tblPr>
        <w:tblStyle w:val="TableNormal"/>
        <w:tblpPr w:leftFromText="180" w:rightFromText="180" w:vertAnchor="text" w:horzAnchor="page" w:tblpXSpec="center" w:tblpY="204"/>
        <w:tblOverlap w:val="neve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79"/>
        <w:gridCol w:w="2042"/>
        <w:gridCol w:w="821"/>
        <w:gridCol w:w="4914"/>
      </w:tblGrid>
      <w:tr>
        <w:tblPrEx>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97"/>
          <w:jc w:val="center"/>
        </w:trPr>
        <w:tc>
          <w:tcPr>
            <w:tcW w:w="706" w:type="pct"/>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bookmarkStart w:id="101" w:name="_Toc466293876"/>
            <w:r>
              <w:rPr>
                <w:rFonts w:ascii="黑体" w:eastAsia="黑体" w:hAnsi="黑体" w:cs="黑体" w:hint="eastAsia"/>
                <w:color w:val="000000" w:themeColor="text1"/>
                <w:kern w:val="0"/>
              </w:rPr>
              <w:t>项目</w:t>
            </w:r>
          </w:p>
        </w:tc>
        <w:tc>
          <w:tcPr>
            <w:tcW w:w="1127" w:type="pct"/>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内容</w:t>
            </w:r>
          </w:p>
        </w:tc>
        <w:tc>
          <w:tcPr>
            <w:tcW w:w="453" w:type="pct"/>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分值</w:t>
            </w:r>
          </w:p>
        </w:tc>
        <w:tc>
          <w:tcPr>
            <w:tcW w:w="2712" w:type="pct"/>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adjustRightInd/>
              <w:spacing w:line="240" w:lineRule="auto"/>
              <w:jc w:val="center"/>
              <w:rPr>
                <w:rFonts w:ascii="黑体" w:eastAsia="黑体" w:hAnsi="黑体" w:cs="黑体"/>
                <w:color w:val="000000" w:themeColor="text1"/>
                <w:kern w:val="0"/>
              </w:rPr>
            </w:pPr>
            <w:r>
              <w:rPr>
                <w:rFonts w:ascii="黑体" w:eastAsia="黑体" w:hAnsi="黑体" w:cs="黑体" w:hint="eastAsia"/>
                <w:color w:val="000000" w:themeColor="text1"/>
                <w:kern w:val="0"/>
              </w:rPr>
              <w:t>评 分 标 准</w:t>
            </w:r>
          </w:p>
        </w:tc>
      </w:tr>
      <w:tr>
        <w:tblPrEx>
          <w:tblW w:w="4998" w:type="pct"/>
          <w:jc w:val="center"/>
          <w:tblCellMar>
            <w:top w:w="0" w:type="dxa"/>
            <w:left w:w="108" w:type="dxa"/>
            <w:bottom w:w="0" w:type="dxa"/>
            <w:right w:w="108" w:type="dxa"/>
          </w:tblCellMar>
        </w:tblPrEx>
        <w:trPr>
          <w:trHeight w:val="480"/>
          <w:jc w:val="center"/>
        </w:trPr>
        <w:tc>
          <w:tcPr>
            <w:tcW w:w="706" w:type="pct"/>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r>
              <w:rPr>
                <w:rFonts w:ascii="仿宋" w:eastAsia="仿宋" w:hAnsi="仿宋" w:cs="仿宋" w:hint="eastAsia"/>
                <w:color w:val="000000" w:themeColor="text1"/>
              </w:rPr>
              <w:t>扣件式钢管脚手架部件的判废</w:t>
            </w:r>
          </w:p>
        </w:tc>
        <w:tc>
          <w:tcPr>
            <w:tcW w:w="1127" w:type="pct"/>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r>
              <w:rPr>
                <w:rFonts w:ascii="仿宋" w:eastAsia="仿宋" w:hAnsi="仿宋" w:cs="仿宋" w:hint="eastAsia"/>
                <w:color w:val="000000" w:themeColor="text1"/>
              </w:rPr>
              <w:t>从给定的扣件式钢管脚手架部件实物、图片或视频，正确判断是否存在缺陷或达到报废标准</w:t>
            </w:r>
          </w:p>
        </w:tc>
        <w:tc>
          <w:tcPr>
            <w:tcW w:w="453" w:type="pct"/>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60</w:t>
            </w:r>
          </w:p>
        </w:tc>
        <w:tc>
          <w:tcPr>
            <w:tcW w:w="2712" w:type="pct"/>
            <w:vMerge w:val="restart"/>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观察作业现场或2张图片或视频，</w:t>
            </w:r>
            <w:r>
              <w:rPr>
                <w:rFonts w:ascii="仿宋" w:eastAsia="仿宋" w:hAnsi="仿宋" w:cs="仿宋" w:hint="eastAsia"/>
                <w:color w:val="000000" w:themeColor="text1"/>
                <w:lang w:val="zh-CN"/>
              </w:rPr>
              <w:t>未</w:t>
            </w:r>
            <w:r>
              <w:rPr>
                <w:rFonts w:ascii="仿宋" w:eastAsia="仿宋" w:hAnsi="仿宋" w:cs="仿宋" w:hint="eastAsia"/>
                <w:color w:val="000000" w:themeColor="text1"/>
              </w:rPr>
              <w:t>能</w:t>
            </w:r>
            <w:r>
              <w:rPr>
                <w:rFonts w:ascii="仿宋" w:eastAsia="仿宋" w:hAnsi="仿宋" w:cs="仿宋" w:hint="eastAsia"/>
                <w:color w:val="000000" w:themeColor="text1"/>
                <w:lang w:val="zh-CN"/>
              </w:rPr>
              <w:t>正确判断存在缺陷或达到报废标准</w:t>
            </w:r>
            <w:r>
              <w:rPr>
                <w:rFonts w:ascii="仿宋" w:eastAsia="仿宋" w:hAnsi="仿宋" w:cs="仿宋" w:hint="eastAsia"/>
                <w:color w:val="000000" w:themeColor="text1"/>
              </w:rPr>
              <w:t>及判断错误的，每一项扣30分</w:t>
            </w:r>
          </w:p>
        </w:tc>
      </w:tr>
      <w:tr>
        <w:tblPrEx>
          <w:tblW w:w="4998" w:type="pct"/>
          <w:jc w:val="center"/>
          <w:tblCellMar>
            <w:top w:w="0" w:type="dxa"/>
            <w:left w:w="108" w:type="dxa"/>
            <w:bottom w:w="0" w:type="dxa"/>
            <w:right w:w="108" w:type="dxa"/>
          </w:tblCellMar>
        </w:tblPrEx>
        <w:trPr>
          <w:trHeight w:val="1260"/>
          <w:jc w:val="center"/>
        </w:trPr>
        <w:tc>
          <w:tcPr>
            <w:tcW w:w="706" w:type="pct"/>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127" w:type="pct"/>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p>
        </w:tc>
        <w:tc>
          <w:tcPr>
            <w:tcW w:w="453" w:type="pct"/>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2712" w:type="pct"/>
            <w:vMerge/>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p>
        </w:tc>
      </w:tr>
      <w:tr>
        <w:tblPrEx>
          <w:tblW w:w="4998" w:type="pct"/>
          <w:jc w:val="center"/>
          <w:tblCellMar>
            <w:top w:w="0" w:type="dxa"/>
            <w:left w:w="108" w:type="dxa"/>
            <w:bottom w:w="0" w:type="dxa"/>
            <w:right w:w="108" w:type="dxa"/>
          </w:tblCellMar>
        </w:tblPrEx>
        <w:trPr>
          <w:trHeight w:val="480"/>
          <w:jc w:val="center"/>
        </w:trPr>
        <w:tc>
          <w:tcPr>
            <w:tcW w:w="706" w:type="pct"/>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127" w:type="pct"/>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r>
              <w:rPr>
                <w:rFonts w:ascii="仿宋" w:eastAsia="仿宋" w:hAnsi="仿宋" w:cs="仿宋" w:hint="eastAsia"/>
                <w:color w:val="000000" w:themeColor="text1"/>
              </w:rPr>
              <w:t>对存在的缺陷或达到报废标准进行</w:t>
            </w:r>
            <w:r>
              <w:rPr>
                <w:rFonts w:ascii="仿宋" w:eastAsia="仿宋" w:hAnsi="仿宋" w:cs="仿宋" w:hint="eastAsia"/>
                <w:color w:val="000000" w:themeColor="text1"/>
                <w:lang w:val="zh-CN"/>
              </w:rPr>
              <w:t>原因分析</w:t>
            </w:r>
          </w:p>
        </w:tc>
        <w:tc>
          <w:tcPr>
            <w:tcW w:w="453" w:type="pct"/>
            <w:vMerge w:val="restar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40</w:t>
            </w:r>
          </w:p>
        </w:tc>
        <w:tc>
          <w:tcPr>
            <w:tcW w:w="2712" w:type="pct"/>
            <w:vMerge w:val="restart"/>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r>
              <w:rPr>
                <w:rFonts w:ascii="仿宋" w:eastAsia="仿宋" w:hAnsi="仿宋" w:cs="仿宋" w:hint="eastAsia"/>
                <w:color w:val="000000" w:themeColor="text1"/>
                <w:lang w:val="zh-CN"/>
              </w:rPr>
              <w:t>未能说明</w:t>
            </w:r>
            <w:r>
              <w:rPr>
                <w:rFonts w:ascii="仿宋" w:eastAsia="仿宋" w:hAnsi="仿宋" w:cs="仿宋" w:hint="eastAsia"/>
                <w:color w:val="000000" w:themeColor="text1"/>
              </w:rPr>
              <w:t>存在缺陷或达到报废标准</w:t>
            </w:r>
            <w:r>
              <w:rPr>
                <w:rFonts w:ascii="仿宋" w:eastAsia="仿宋" w:hAnsi="仿宋" w:cs="仿宋" w:hint="eastAsia"/>
                <w:color w:val="000000" w:themeColor="text1"/>
                <w:lang w:val="zh-CN"/>
              </w:rPr>
              <w:t>的原因</w:t>
            </w:r>
            <w:r>
              <w:rPr>
                <w:rFonts w:ascii="仿宋" w:eastAsia="仿宋" w:hAnsi="仿宋" w:cs="仿宋" w:hint="eastAsia"/>
                <w:color w:val="000000" w:themeColor="text1"/>
              </w:rPr>
              <w:t>或原因回答不正确的，每处扣20分</w:t>
            </w:r>
          </w:p>
        </w:tc>
      </w:tr>
      <w:tr>
        <w:tblPrEx>
          <w:tblW w:w="4998" w:type="pct"/>
          <w:jc w:val="center"/>
          <w:tblCellMar>
            <w:top w:w="0" w:type="dxa"/>
            <w:left w:w="108" w:type="dxa"/>
            <w:bottom w:w="0" w:type="dxa"/>
            <w:right w:w="108" w:type="dxa"/>
          </w:tblCellMar>
        </w:tblPrEx>
        <w:trPr>
          <w:trHeight w:val="685"/>
          <w:jc w:val="center"/>
        </w:trPr>
        <w:tc>
          <w:tcPr>
            <w:tcW w:w="706" w:type="pct"/>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1127" w:type="pct"/>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rPr>
            </w:pPr>
          </w:p>
        </w:tc>
        <w:tc>
          <w:tcPr>
            <w:tcW w:w="453" w:type="pct"/>
            <w:vMerge/>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themeColor="text1"/>
                <w:lang w:val="zh-CN" w:bidi="en-US"/>
              </w:rPr>
            </w:pPr>
          </w:p>
        </w:tc>
        <w:tc>
          <w:tcPr>
            <w:tcW w:w="2712" w:type="pct"/>
            <w:vMerge/>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lang w:val="zh-CN"/>
              </w:rPr>
            </w:pPr>
          </w:p>
        </w:tc>
      </w:tr>
      <w:tr>
        <w:tblPrEx>
          <w:tblW w:w="4998" w:type="pct"/>
          <w:jc w:val="center"/>
          <w:tblCellMar>
            <w:top w:w="0" w:type="dxa"/>
            <w:left w:w="108" w:type="dxa"/>
            <w:bottom w:w="0" w:type="dxa"/>
            <w:right w:w="108" w:type="dxa"/>
          </w:tblCellMar>
        </w:tblPrEx>
        <w:trPr>
          <w:trHeight w:val="680"/>
          <w:jc w:val="center"/>
        </w:trPr>
        <w:tc>
          <w:tcPr>
            <w:tcW w:w="1833" w:type="pct"/>
            <w:gridSpan w:val="2"/>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rPr>
            </w:pPr>
            <w:r>
              <w:rPr>
                <w:rFonts w:ascii="黑体" w:eastAsia="黑体" w:hAnsi="黑体" w:cs="黑体" w:hint="eastAsia"/>
                <w:color w:val="000000" w:themeColor="text1"/>
                <w:lang w:val="zh-CN"/>
              </w:rPr>
              <w:t>合计</w:t>
            </w:r>
          </w:p>
        </w:tc>
        <w:tc>
          <w:tcPr>
            <w:tcW w:w="453" w:type="pc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rPr>
            </w:pPr>
            <w:r>
              <w:rPr>
                <w:rFonts w:ascii="黑体" w:eastAsia="黑体" w:hAnsi="黑体" w:cs="黑体" w:hint="eastAsia"/>
                <w:color w:val="000000" w:themeColor="text1"/>
              </w:rPr>
              <w:t>100</w:t>
            </w:r>
          </w:p>
        </w:tc>
        <w:tc>
          <w:tcPr>
            <w:tcW w:w="2712" w:type="pct"/>
            <w:shd w:val="clear" w:color="auto" w:fill="auto"/>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themeColor="text1"/>
                <w:lang w:val="zh-CN"/>
              </w:rPr>
            </w:pPr>
          </w:p>
        </w:tc>
      </w:tr>
    </w:tbl>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640" w:firstLineChars="200"/>
        <w:rPr>
          <w:color w:val="000000" w:themeColor="text1"/>
          <w:sz w:val="32"/>
          <w:szCs w:val="32"/>
        </w:rPr>
      </w:pPr>
      <w:r>
        <w:rPr>
          <w:rFonts w:hint="eastAsia"/>
          <w:color w:val="000000" w:themeColor="text1"/>
          <w:sz w:val="32"/>
          <w:szCs w:val="32"/>
        </w:rPr>
        <w:t>A.3.3.3</w:t>
      </w:r>
      <w:r>
        <w:rPr>
          <w:rFonts w:hint="eastAsia"/>
          <w:color w:val="000000" w:themeColor="text1"/>
          <w:sz w:val="32"/>
          <w:szCs w:val="32"/>
          <w:lang w:val="en-US" w:eastAsia="zh-CN"/>
        </w:rPr>
        <w:t xml:space="preserve">  </w:t>
      </w:r>
      <w:r>
        <w:rPr>
          <w:rFonts w:hint="eastAsia"/>
          <w:color w:val="000000" w:themeColor="text1"/>
          <w:sz w:val="32"/>
          <w:szCs w:val="32"/>
        </w:rPr>
        <w:t>设备配备</w:t>
      </w:r>
    </w:p>
    <w:tbl>
      <w:tblPr>
        <w:tblStyle w:val="TableNormal"/>
        <w:tblW w:w="4998" w:type="pct"/>
        <w:jc w:val="center"/>
        <w:tblCellMar>
          <w:top w:w="15" w:type="dxa"/>
          <w:left w:w="15" w:type="dxa"/>
          <w:bottom w:w="15" w:type="dxa"/>
          <w:right w:w="15" w:type="dxa"/>
        </w:tblCellMar>
      </w:tblPr>
      <w:tblGrid>
        <w:gridCol w:w="667"/>
        <w:gridCol w:w="3844"/>
        <w:gridCol w:w="2355"/>
        <w:gridCol w:w="790"/>
        <w:gridCol w:w="1214"/>
      </w:tblGrid>
      <w:tr>
        <w:tblPrEx>
          <w:tblW w:w="4998" w:type="pct"/>
          <w:jc w:val="center"/>
          <w:tblCellMar>
            <w:top w:w="15" w:type="dxa"/>
            <w:left w:w="15" w:type="dxa"/>
            <w:bottom w:w="15" w:type="dxa"/>
            <w:right w:w="15" w:type="dxa"/>
          </w:tblCellMar>
        </w:tblPrEx>
        <w:trPr>
          <w:trHeight w:val="800"/>
          <w:tblHeader/>
          <w:jc w:val="center"/>
        </w:trPr>
        <w:tc>
          <w:tcPr>
            <w:tcW w:w="37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宋体"/>
                <w:color w:val="000000" w:themeColor="text1"/>
                <w:kern w:val="0"/>
              </w:rPr>
            </w:pPr>
            <w:bookmarkEnd w:id="101"/>
            <w:r>
              <w:rPr>
                <w:rFonts w:ascii="黑体" w:eastAsia="黑体" w:hAnsi="黑体" w:cs="宋体" w:hint="eastAsia"/>
                <w:color w:val="000000" w:themeColor="text1"/>
                <w:kern w:val="0"/>
              </w:rPr>
              <w:t>序号</w:t>
            </w:r>
          </w:p>
        </w:tc>
        <w:tc>
          <w:tcPr>
            <w:tcW w:w="216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宋体"/>
                <w:color w:val="000000" w:themeColor="text1"/>
                <w:kern w:val="0"/>
              </w:rPr>
            </w:pPr>
            <w:r>
              <w:rPr>
                <w:rFonts w:ascii="黑体" w:eastAsia="黑体" w:hAnsi="黑体" w:cs="宋体" w:hint="eastAsia"/>
                <w:color w:val="000000" w:themeColor="text1"/>
                <w:kern w:val="0"/>
              </w:rPr>
              <w:t>设备</w:t>
            </w:r>
          </w:p>
        </w:tc>
        <w:tc>
          <w:tcPr>
            <w:tcW w:w="1327"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宋体"/>
                <w:color w:val="000000" w:themeColor="text1"/>
                <w:kern w:val="0"/>
              </w:rPr>
            </w:pPr>
            <w:r>
              <w:rPr>
                <w:rFonts w:ascii="黑体" w:eastAsia="黑体" w:hAnsi="黑体" w:cs="宋体" w:hint="eastAsia"/>
                <w:color w:val="000000" w:themeColor="text1"/>
                <w:kern w:val="0"/>
              </w:rPr>
              <w:t>参考型号</w:t>
            </w:r>
            <w:r>
              <w:rPr>
                <w:rFonts w:ascii="黑体" w:eastAsia="黑体" w:hAnsi="黑体" w:cs="宋体"/>
                <w:color w:val="000000" w:themeColor="text1"/>
                <w:kern w:val="0"/>
              </w:rPr>
              <w:t>/</w:t>
            </w:r>
            <w:r>
              <w:rPr>
                <w:rFonts w:ascii="黑体" w:eastAsia="黑体" w:hAnsi="黑体" w:cs="宋体" w:hint="eastAsia"/>
                <w:color w:val="000000" w:themeColor="text1"/>
                <w:kern w:val="0"/>
              </w:rPr>
              <w:t>规格</w:t>
            </w:r>
          </w:p>
        </w:tc>
        <w:tc>
          <w:tcPr>
            <w:tcW w:w="445"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宋体"/>
                <w:color w:val="000000" w:themeColor="text1"/>
                <w:kern w:val="0"/>
              </w:rPr>
            </w:pPr>
            <w:r>
              <w:rPr>
                <w:rFonts w:ascii="黑体" w:eastAsia="黑体" w:hAnsi="黑体" w:cs="宋体" w:hint="eastAsia"/>
                <w:color w:val="000000" w:themeColor="text1"/>
                <w:kern w:val="0"/>
              </w:rPr>
              <w:t>数量</w:t>
            </w:r>
          </w:p>
        </w:tc>
        <w:tc>
          <w:tcPr>
            <w:tcW w:w="684"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宋体"/>
                <w:color w:val="000000" w:themeColor="text1"/>
                <w:kern w:val="0"/>
              </w:rPr>
            </w:pPr>
            <w:r>
              <w:rPr>
                <w:rFonts w:ascii="黑体" w:eastAsia="黑体" w:hAnsi="黑体" w:cs="宋体" w:hint="eastAsia"/>
                <w:color w:val="000000" w:themeColor="text1"/>
                <w:kern w:val="0"/>
              </w:rPr>
              <w:t>备注</w:t>
            </w:r>
          </w:p>
        </w:tc>
      </w:tr>
      <w:tr>
        <w:tblPrEx>
          <w:tblW w:w="4998" w:type="pct"/>
          <w:jc w:val="center"/>
          <w:tblCellMar>
            <w:top w:w="15" w:type="dxa"/>
            <w:left w:w="15" w:type="dxa"/>
            <w:bottom w:w="15" w:type="dxa"/>
            <w:right w:w="15" w:type="dxa"/>
          </w:tblCellMar>
        </w:tblPrEx>
        <w:trPr>
          <w:trHeight w:val="424"/>
          <w:jc w:val="center"/>
        </w:trPr>
        <w:tc>
          <w:tcPr>
            <w:tcW w:w="37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1</w:t>
            </w:r>
          </w:p>
        </w:tc>
        <w:tc>
          <w:tcPr>
            <w:tcW w:w="216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钢管</w:t>
            </w:r>
          </w:p>
        </w:tc>
        <w:tc>
          <w:tcPr>
            <w:tcW w:w="1327"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报废脚手架钢管</w:t>
            </w:r>
          </w:p>
        </w:tc>
        <w:tc>
          <w:tcPr>
            <w:tcW w:w="445"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5</w:t>
            </w:r>
          </w:p>
        </w:tc>
        <w:tc>
          <w:tcPr>
            <w:tcW w:w="684" w:type="pct"/>
            <w:tcBorders>
              <w:top w:val="single" w:sz="4" w:space="0" w:color="000000"/>
              <w:left w:val="single" w:sz="4" w:space="0" w:color="000000"/>
              <w:bottom w:val="single" w:sz="4" w:space="0" w:color="000000"/>
              <w:right w:val="single" w:sz="4" w:space="0" w:color="000000"/>
            </w:tcBorders>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4998" w:type="pct"/>
          <w:jc w:val="center"/>
          <w:tblCellMar>
            <w:top w:w="15" w:type="dxa"/>
            <w:left w:w="15" w:type="dxa"/>
            <w:bottom w:w="15" w:type="dxa"/>
            <w:right w:w="15" w:type="dxa"/>
          </w:tblCellMar>
        </w:tblPrEx>
        <w:trPr>
          <w:trHeight w:val="424"/>
          <w:jc w:val="center"/>
        </w:trPr>
        <w:tc>
          <w:tcPr>
            <w:tcW w:w="37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216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脚手架扣件</w:t>
            </w:r>
          </w:p>
        </w:tc>
        <w:tc>
          <w:tcPr>
            <w:tcW w:w="1327"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报废脚手架扣件</w:t>
            </w:r>
          </w:p>
        </w:tc>
        <w:tc>
          <w:tcPr>
            <w:tcW w:w="445"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5</w:t>
            </w:r>
          </w:p>
        </w:tc>
        <w:tc>
          <w:tcPr>
            <w:tcW w:w="684" w:type="pct"/>
            <w:tcBorders>
              <w:top w:val="single" w:sz="4" w:space="0" w:color="000000"/>
              <w:left w:val="single" w:sz="4" w:space="0" w:color="000000"/>
              <w:bottom w:val="single" w:sz="4" w:space="0" w:color="000000"/>
              <w:right w:val="single" w:sz="4" w:space="0" w:color="000000"/>
            </w:tcBorders>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4998" w:type="pct"/>
          <w:jc w:val="center"/>
          <w:tblCellMar>
            <w:top w:w="15" w:type="dxa"/>
            <w:left w:w="15" w:type="dxa"/>
            <w:bottom w:w="15" w:type="dxa"/>
            <w:right w:w="15" w:type="dxa"/>
          </w:tblCellMar>
        </w:tblPrEx>
        <w:trPr>
          <w:trHeight w:val="424"/>
          <w:jc w:val="center"/>
        </w:trPr>
        <w:tc>
          <w:tcPr>
            <w:tcW w:w="37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3</w:t>
            </w:r>
          </w:p>
        </w:tc>
        <w:tc>
          <w:tcPr>
            <w:tcW w:w="216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安全网</w:t>
            </w:r>
          </w:p>
        </w:tc>
        <w:tc>
          <w:tcPr>
            <w:tcW w:w="1327"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报废安全网</w:t>
            </w:r>
          </w:p>
        </w:tc>
        <w:tc>
          <w:tcPr>
            <w:tcW w:w="445"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684" w:type="pct"/>
            <w:tcBorders>
              <w:top w:val="single" w:sz="4" w:space="0" w:color="000000"/>
              <w:left w:val="single" w:sz="4" w:space="0" w:color="000000"/>
              <w:bottom w:val="single" w:sz="4" w:space="0" w:color="000000"/>
              <w:right w:val="single" w:sz="4" w:space="0" w:color="000000"/>
            </w:tcBorders>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4998" w:type="pct"/>
          <w:jc w:val="center"/>
          <w:tblCellMar>
            <w:top w:w="15" w:type="dxa"/>
            <w:left w:w="15" w:type="dxa"/>
            <w:bottom w:w="15" w:type="dxa"/>
            <w:right w:w="15" w:type="dxa"/>
          </w:tblCellMar>
        </w:tblPrEx>
        <w:trPr>
          <w:trHeight w:val="424"/>
          <w:jc w:val="center"/>
        </w:trPr>
        <w:tc>
          <w:tcPr>
            <w:tcW w:w="37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4</w:t>
            </w:r>
          </w:p>
        </w:tc>
        <w:tc>
          <w:tcPr>
            <w:tcW w:w="216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金属垫板</w:t>
            </w:r>
          </w:p>
        </w:tc>
        <w:tc>
          <w:tcPr>
            <w:tcW w:w="1327"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报废脚手架金属垫板</w:t>
            </w:r>
          </w:p>
        </w:tc>
        <w:tc>
          <w:tcPr>
            <w:tcW w:w="445"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684" w:type="pct"/>
            <w:tcBorders>
              <w:top w:val="single" w:sz="4" w:space="0" w:color="000000"/>
              <w:left w:val="single" w:sz="4" w:space="0" w:color="000000"/>
              <w:bottom w:val="single" w:sz="4" w:space="0" w:color="000000"/>
              <w:right w:val="single" w:sz="4" w:space="0" w:color="000000"/>
            </w:tcBorders>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4998" w:type="pct"/>
          <w:jc w:val="center"/>
          <w:tblCellMar>
            <w:top w:w="15" w:type="dxa"/>
            <w:left w:w="15" w:type="dxa"/>
            <w:bottom w:w="15" w:type="dxa"/>
            <w:right w:w="15" w:type="dxa"/>
          </w:tblCellMar>
        </w:tblPrEx>
        <w:trPr>
          <w:trHeight w:val="424"/>
          <w:jc w:val="center"/>
        </w:trPr>
        <w:tc>
          <w:tcPr>
            <w:tcW w:w="37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5</w:t>
            </w:r>
          </w:p>
        </w:tc>
        <w:tc>
          <w:tcPr>
            <w:tcW w:w="216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钢丝绳</w:t>
            </w:r>
          </w:p>
        </w:tc>
        <w:tc>
          <w:tcPr>
            <w:tcW w:w="1327"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报废钢丝绳</w:t>
            </w:r>
          </w:p>
        </w:tc>
        <w:tc>
          <w:tcPr>
            <w:tcW w:w="445"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5</w:t>
            </w:r>
          </w:p>
        </w:tc>
        <w:tc>
          <w:tcPr>
            <w:tcW w:w="684" w:type="pct"/>
            <w:tcBorders>
              <w:top w:val="single" w:sz="4" w:space="0" w:color="000000"/>
              <w:left w:val="single" w:sz="4" w:space="0" w:color="000000"/>
              <w:bottom w:val="single" w:sz="4" w:space="0" w:color="000000"/>
              <w:right w:val="single" w:sz="4" w:space="0" w:color="000000"/>
            </w:tcBorders>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bl>
    <w:p>
      <w:pPr>
        <w:sectPr>
          <w:footerReference w:type="default" r:id="rId27"/>
          <w:type w:val="nextPage"/>
          <w:pgSz w:w="11906" w:h="16838"/>
          <w:pgMar w:top="2098" w:right="1531" w:bottom="1984" w:left="1531" w:header="851" w:footer="1531" w:gutter="0"/>
          <w:pgNumType w:fmt="decimal" w:start="326"/>
          <w:cols w:num="1" w:space="425"/>
          <w:titlePg w:val="0"/>
          <w:docGrid w:type="lines" w:linePitch="312" w:charSpace="0"/>
        </w:sectPr>
      </w:pPr>
    </w:p>
    <w:tbl>
      <w:tblPr>
        <w:tblStyle w:val="TableNormal"/>
        <w:tblW w:w="4998" w:type="pct"/>
        <w:jc w:val="center"/>
        <w:tblCellMar>
          <w:top w:w="15" w:type="dxa"/>
          <w:left w:w="15" w:type="dxa"/>
          <w:bottom w:w="15" w:type="dxa"/>
          <w:right w:w="15" w:type="dxa"/>
        </w:tblCellMar>
      </w:tblPr>
      <w:tblGrid>
        <w:gridCol w:w="667"/>
        <w:gridCol w:w="3844"/>
        <w:gridCol w:w="2355"/>
        <w:gridCol w:w="790"/>
        <w:gridCol w:w="1214"/>
      </w:tblGrid>
      <w:tr>
        <w:tblPrEx>
          <w:tblW w:w="4998" w:type="pct"/>
          <w:jc w:val="center"/>
          <w:tblCellMar>
            <w:top w:w="15" w:type="dxa"/>
            <w:left w:w="15" w:type="dxa"/>
            <w:bottom w:w="15" w:type="dxa"/>
            <w:right w:w="15" w:type="dxa"/>
          </w:tblCellMar>
        </w:tblPrEx>
        <w:trPr>
          <w:trHeight w:val="424"/>
          <w:jc w:val="center"/>
        </w:trPr>
        <w:tc>
          <w:tcPr>
            <w:tcW w:w="37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6</w:t>
            </w:r>
          </w:p>
        </w:tc>
        <w:tc>
          <w:tcPr>
            <w:tcW w:w="216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脚手板</w:t>
            </w:r>
          </w:p>
        </w:tc>
        <w:tc>
          <w:tcPr>
            <w:tcW w:w="1327"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报废脚手板</w:t>
            </w:r>
          </w:p>
        </w:tc>
        <w:tc>
          <w:tcPr>
            <w:tcW w:w="445"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684" w:type="pct"/>
            <w:tcBorders>
              <w:top w:val="single" w:sz="4" w:space="0" w:color="000000"/>
              <w:left w:val="single" w:sz="4" w:space="0" w:color="000000"/>
              <w:bottom w:val="single" w:sz="4" w:space="0" w:color="000000"/>
              <w:right w:val="single" w:sz="4" w:space="0" w:color="000000"/>
            </w:tcBorders>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4998" w:type="pct"/>
          <w:jc w:val="center"/>
          <w:tblCellMar>
            <w:top w:w="15" w:type="dxa"/>
            <w:left w:w="15" w:type="dxa"/>
            <w:bottom w:w="15" w:type="dxa"/>
            <w:right w:w="15" w:type="dxa"/>
          </w:tblCellMar>
        </w:tblPrEx>
        <w:trPr>
          <w:trHeight w:val="424"/>
          <w:jc w:val="center"/>
        </w:trPr>
        <w:tc>
          <w:tcPr>
            <w:tcW w:w="37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7</w:t>
            </w:r>
          </w:p>
        </w:tc>
        <w:tc>
          <w:tcPr>
            <w:tcW w:w="216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计算机或投影设备（套）</w:t>
            </w:r>
          </w:p>
        </w:tc>
        <w:tc>
          <w:tcPr>
            <w:tcW w:w="1327"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kern w:val="0"/>
              </w:rPr>
              <w:t>符合考试要求</w:t>
            </w:r>
          </w:p>
        </w:tc>
        <w:tc>
          <w:tcPr>
            <w:tcW w:w="445"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1</w:t>
            </w:r>
          </w:p>
        </w:tc>
        <w:tc>
          <w:tcPr>
            <w:tcW w:w="684"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考试用</w:t>
            </w:r>
          </w:p>
        </w:tc>
      </w:tr>
      <w:tr>
        <w:tblPrEx>
          <w:tblW w:w="4998" w:type="pct"/>
          <w:jc w:val="center"/>
          <w:tblCellMar>
            <w:top w:w="15" w:type="dxa"/>
            <w:left w:w="15" w:type="dxa"/>
            <w:bottom w:w="15" w:type="dxa"/>
            <w:right w:w="15" w:type="dxa"/>
          </w:tblCellMar>
        </w:tblPrEx>
        <w:trPr>
          <w:trHeight w:val="424"/>
          <w:jc w:val="center"/>
        </w:trPr>
        <w:tc>
          <w:tcPr>
            <w:tcW w:w="37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8</w:t>
            </w:r>
          </w:p>
        </w:tc>
        <w:tc>
          <w:tcPr>
            <w:tcW w:w="2166"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作业现场图片（一批）</w:t>
            </w:r>
          </w:p>
        </w:tc>
        <w:tc>
          <w:tcPr>
            <w:tcW w:w="1327"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符合考试要求</w:t>
            </w:r>
          </w:p>
        </w:tc>
        <w:tc>
          <w:tcPr>
            <w:tcW w:w="445"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684"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bl>
    <w:p>
      <w:pPr>
        <w:pStyle w:val="a1"/>
        <w:keepNext w:val="0"/>
        <w:keepLines w:val="0"/>
        <w:pageBreakBefore w:val="0"/>
        <w:widowControl w:val="0"/>
        <w:numPr>
          <w:ilvl w:val="2"/>
          <w:numId w:val="0"/>
        </w:numPr>
        <w:kinsoku/>
        <w:wordWrap/>
        <w:overflowPunct w:val="0"/>
        <w:topLinePunct w:val="0"/>
        <w:autoSpaceDE/>
        <w:autoSpaceDN/>
        <w:bidi w:val="0"/>
        <w:spacing w:before="156" w:after="156"/>
        <w:ind w:firstLine="640" w:firstLineChars="200"/>
        <w:jc w:val="left"/>
        <w:rPr>
          <w:rFonts w:hAnsi="黑体" w:cs="黑体"/>
          <w:sz w:val="32"/>
          <w:szCs w:val="32"/>
        </w:rPr>
      </w:pPr>
      <w:bookmarkStart w:id="102" w:name="_Toc17331"/>
      <w:bookmarkStart w:id="103" w:name="_Toc466293886"/>
      <w:r>
        <w:rPr>
          <w:rFonts w:hAnsi="黑体" w:cs="黑体" w:hint="eastAsia"/>
          <w:sz w:val="32"/>
          <w:szCs w:val="32"/>
        </w:rPr>
        <w:t>A.4</w:t>
      </w:r>
      <w:r>
        <w:rPr>
          <w:rFonts w:hAnsi="黑体" w:cs="黑体" w:hint="eastAsia"/>
          <w:sz w:val="32"/>
          <w:szCs w:val="32"/>
          <w:lang w:val="en-US" w:eastAsia="zh-CN"/>
        </w:rPr>
        <w:t xml:space="preserve">  </w:t>
      </w:r>
      <w:r>
        <w:rPr>
          <w:rFonts w:hAnsi="黑体" w:cs="黑体" w:hint="eastAsia"/>
          <w:sz w:val="32"/>
          <w:szCs w:val="32"/>
        </w:rPr>
        <w:t>作业现场应急处置(K4)</w:t>
      </w:r>
      <w:bookmarkEnd w:id="102"/>
    </w:p>
    <w:p>
      <w:pPr>
        <w:pStyle w:val="a10"/>
        <w:keepNext w:val="0"/>
        <w:keepLines w:val="0"/>
        <w:pageBreakBefore w:val="0"/>
        <w:widowControl w:val="0"/>
        <w:numPr>
          <w:ilvl w:val="4"/>
          <w:numId w:val="0"/>
        </w:numPr>
        <w:kinsoku/>
        <w:wordWrap/>
        <w:overflowPunct w:val="0"/>
        <w:topLinePunct w:val="0"/>
        <w:autoSpaceDE/>
        <w:autoSpaceDN/>
        <w:bidi w:val="0"/>
        <w:spacing w:before="156" w:after="156"/>
        <w:ind w:firstLine="640" w:firstLineChars="200"/>
        <w:jc w:val="left"/>
        <w:rPr>
          <w:rFonts w:hAnsi="黑体" w:cs="黑体"/>
          <w:sz w:val="32"/>
          <w:szCs w:val="32"/>
        </w:rPr>
      </w:pPr>
      <w:bookmarkStart w:id="104" w:name="_Toc466293878"/>
      <w:r>
        <w:rPr>
          <w:rFonts w:hAnsi="黑体" w:cs="黑体" w:hint="eastAsia"/>
          <w:sz w:val="32"/>
          <w:szCs w:val="32"/>
        </w:rPr>
        <w:t>A.4.1</w:t>
      </w:r>
      <w:r>
        <w:rPr>
          <w:rFonts w:hAnsi="黑体" w:cs="黑体" w:hint="eastAsia"/>
          <w:sz w:val="32"/>
          <w:szCs w:val="32"/>
          <w:lang w:val="en-US" w:eastAsia="zh-CN"/>
        </w:rPr>
        <w:t xml:space="preserve">  </w:t>
      </w:r>
      <w:r>
        <w:rPr>
          <w:rFonts w:hAnsi="黑体" w:cs="黑体" w:hint="eastAsia"/>
          <w:sz w:val="32"/>
          <w:szCs w:val="32"/>
        </w:rPr>
        <w:t>考试项目</w:t>
      </w:r>
      <w:bookmarkEnd w:id="104"/>
    </w:p>
    <w:p>
      <w:pPr>
        <w:keepNext w:val="0"/>
        <w:keepLines w:val="0"/>
        <w:pageBreakBefore w:val="0"/>
        <w:widowControl w:val="0"/>
        <w:kinsoku/>
        <w:wordWrap/>
        <w:overflowPunct w:val="0"/>
        <w:topLinePunct w:val="0"/>
        <w:autoSpaceDE/>
        <w:autoSpaceDN/>
        <w:bidi w:val="0"/>
        <w:spacing w:line="360" w:lineRule="auto"/>
        <w:ind w:firstLine="640" w:firstLineChars="200"/>
        <w:jc w:val="left"/>
        <w:rPr>
          <w:rFonts w:ascii="仿宋" w:eastAsia="仿宋" w:hAnsi="仿宋" w:cs="仿宋"/>
          <w:sz w:val="32"/>
          <w:szCs w:val="32"/>
        </w:rPr>
      </w:pPr>
      <w:r>
        <w:rPr>
          <w:rFonts w:ascii="仿宋" w:eastAsia="仿宋" w:hAnsi="仿宋" w:cs="仿宋" w:hint="eastAsia"/>
          <w:sz w:val="32"/>
          <w:szCs w:val="32"/>
        </w:rPr>
        <w:t>包括两个独立的考试项目：单人徒手心肺复苏操作（K41）、创伤包扎（K42）。</w:t>
      </w:r>
    </w:p>
    <w:p>
      <w:pPr>
        <w:pStyle w:val="a8"/>
        <w:keepNext w:val="0"/>
        <w:keepLines w:val="0"/>
        <w:pageBreakBefore w:val="0"/>
        <w:widowControl w:val="0"/>
        <w:numPr>
          <w:ilvl w:val="0"/>
          <w:numId w:val="0"/>
        </w:numPr>
        <w:kinsoku/>
        <w:wordWrap/>
        <w:overflowPunct w:val="0"/>
        <w:topLinePunct w:val="0"/>
        <w:autoSpaceDE/>
        <w:autoSpaceDN/>
        <w:bidi w:val="0"/>
        <w:ind w:firstLine="640" w:firstLineChars="200"/>
        <w:jc w:val="left"/>
        <w:rPr>
          <w:rFonts w:ascii="仿宋" w:eastAsia="仿宋" w:hAnsi="仿宋" w:cs="仿宋"/>
          <w:sz w:val="32"/>
          <w:szCs w:val="32"/>
        </w:rPr>
      </w:pPr>
      <w:r>
        <w:rPr>
          <w:rFonts w:ascii="仿宋" w:eastAsia="仿宋" w:hAnsi="仿宋" w:cs="仿宋" w:hint="eastAsia"/>
          <w:sz w:val="32"/>
          <w:szCs w:val="32"/>
        </w:rPr>
        <w:t>注：考试时考生随机抽取一个考试项目进行考试。推荐使用实物和实物电子化方式进行考核。</w:t>
      </w:r>
    </w:p>
    <w:p>
      <w:pPr>
        <w:pStyle w:val="a10"/>
        <w:keepNext w:val="0"/>
        <w:keepLines w:val="0"/>
        <w:pageBreakBefore w:val="0"/>
        <w:widowControl w:val="0"/>
        <w:numPr>
          <w:ilvl w:val="4"/>
          <w:numId w:val="0"/>
        </w:numPr>
        <w:kinsoku/>
        <w:wordWrap/>
        <w:overflowPunct w:val="0"/>
        <w:topLinePunct w:val="0"/>
        <w:autoSpaceDE/>
        <w:autoSpaceDN/>
        <w:bidi w:val="0"/>
        <w:spacing w:before="156" w:after="156"/>
        <w:ind w:firstLine="640" w:firstLineChars="200"/>
        <w:jc w:val="left"/>
        <w:rPr>
          <w:rFonts w:hAnsi="黑体" w:cs="黑体"/>
          <w:sz w:val="32"/>
          <w:szCs w:val="32"/>
        </w:rPr>
      </w:pPr>
      <w:r>
        <w:rPr>
          <w:rFonts w:hAnsi="黑体" w:cs="黑体" w:hint="eastAsia"/>
          <w:sz w:val="32"/>
          <w:szCs w:val="32"/>
        </w:rPr>
        <w:t>A.4.2</w:t>
      </w:r>
      <w:r>
        <w:rPr>
          <w:rFonts w:hAnsi="黑体" w:cs="黑体" w:hint="eastAsia"/>
          <w:sz w:val="32"/>
          <w:szCs w:val="32"/>
          <w:lang w:val="en-US" w:eastAsia="zh-CN"/>
        </w:rPr>
        <w:t xml:space="preserve">  </w:t>
      </w:r>
      <w:r>
        <w:rPr>
          <w:rFonts w:hAnsi="黑体" w:cs="黑体" w:hint="eastAsia"/>
          <w:sz w:val="32"/>
          <w:szCs w:val="32"/>
        </w:rPr>
        <w:t>单人徒手心肺复苏操作（K41）</w:t>
      </w:r>
    </w:p>
    <w:p>
      <w:pPr>
        <w:pStyle w:val="a10"/>
        <w:keepNext w:val="0"/>
        <w:keepLines w:val="0"/>
        <w:pageBreakBefore w:val="0"/>
        <w:widowControl w:val="0"/>
        <w:numPr>
          <w:ilvl w:val="4"/>
          <w:numId w:val="0"/>
        </w:numPr>
        <w:kinsoku/>
        <w:wordWrap/>
        <w:overflowPunct w:val="0"/>
        <w:topLinePunct w:val="0"/>
        <w:autoSpaceDE/>
        <w:autoSpaceDN/>
        <w:bidi w:val="0"/>
        <w:spacing w:before="156" w:after="156"/>
        <w:ind w:firstLine="640" w:firstLineChars="200"/>
        <w:jc w:val="left"/>
        <w:rPr>
          <w:rFonts w:hAnsi="黑体" w:cs="黑体"/>
          <w:sz w:val="32"/>
          <w:szCs w:val="32"/>
        </w:rPr>
      </w:pPr>
      <w:r>
        <w:rPr>
          <w:rFonts w:hAnsi="黑体" w:cs="黑体" w:hint="eastAsia"/>
          <w:sz w:val="32"/>
          <w:szCs w:val="32"/>
        </w:rPr>
        <w:t>A.4.2.1</w:t>
      </w:r>
      <w:r>
        <w:rPr>
          <w:rFonts w:hAnsi="黑体" w:cs="黑体" w:hint="eastAsia"/>
          <w:sz w:val="32"/>
          <w:szCs w:val="32"/>
          <w:lang w:val="en-US" w:eastAsia="zh-CN"/>
        </w:rPr>
        <w:t xml:space="preserve">  </w:t>
      </w:r>
      <w:r>
        <w:rPr>
          <w:rFonts w:hAnsi="黑体" w:cs="黑体" w:hint="eastAsia"/>
          <w:sz w:val="32"/>
          <w:szCs w:val="32"/>
        </w:rPr>
        <w:t>考核要点</w:t>
      </w:r>
    </w:p>
    <w:p>
      <w:pPr>
        <w:pStyle w:val="a12"/>
        <w:keepNext w:val="0"/>
        <w:keepLines w:val="0"/>
        <w:pageBreakBefore w:val="0"/>
        <w:widowControl w:val="0"/>
        <w:numPr>
          <w:ilvl w:val="5"/>
          <w:numId w:val="0"/>
        </w:numPr>
        <w:kinsoku/>
        <w:wordWrap/>
        <w:overflowPunct w:val="0"/>
        <w:topLinePunct w:val="0"/>
        <w:autoSpaceDE/>
        <w:autoSpaceDN/>
        <w:bidi w:val="0"/>
        <w:spacing w:before="156" w:after="156"/>
        <w:ind w:firstLine="640" w:firstLineChars="200"/>
        <w:jc w:val="left"/>
        <w:rPr>
          <w:rFonts w:ascii="仿宋" w:eastAsia="仿宋" w:hAnsi="仿宋" w:cs="仿宋"/>
          <w:kern w:val="2"/>
          <w:sz w:val="32"/>
          <w:szCs w:val="32"/>
        </w:rPr>
      </w:pPr>
      <w:r>
        <w:rPr>
          <w:rFonts w:ascii="仿宋" w:eastAsia="仿宋" w:hAnsi="仿宋" w:cs="仿宋" w:hint="eastAsia"/>
          <w:kern w:val="2"/>
          <w:sz w:val="32"/>
          <w:szCs w:val="32"/>
        </w:rPr>
        <w:t>主要考查考生对给定的实物模拟人型进行正确的心肺复苏操作：</w:t>
      </w:r>
    </w:p>
    <w:p>
      <w:pPr>
        <w:pStyle w:val="a2"/>
        <w:keepNext w:val="0"/>
        <w:keepLines w:val="0"/>
        <w:pageBreakBefore w:val="0"/>
        <w:widowControl w:val="0"/>
        <w:numPr>
          <w:ilvl w:val="0"/>
          <w:numId w:val="0"/>
        </w:numPr>
        <w:kinsoku/>
        <w:wordWrap/>
        <w:overflowPunct w:val="0"/>
        <w:topLinePunct w:val="0"/>
        <w:autoSpaceDE/>
        <w:autoSpaceDN/>
        <w:bidi w:val="0"/>
        <w:ind w:firstLine="640" w:firstLineChars="200"/>
        <w:rPr>
          <w:rFonts w:ascii="仿宋" w:eastAsia="仿宋" w:hAnsi="仿宋" w:cs="仿宋"/>
          <w:sz w:val="32"/>
          <w:szCs w:val="32"/>
        </w:rPr>
      </w:pPr>
      <w:r>
        <w:rPr>
          <w:rFonts w:ascii="仿宋" w:eastAsia="仿宋" w:hAnsi="仿宋" w:cs="仿宋" w:hint="eastAsia"/>
          <w:sz w:val="32"/>
          <w:szCs w:val="32"/>
        </w:rPr>
        <w:t>抢救程序是否符合要求。主要考查考生是否正确掌握心肺复苏标准操作流程的程序。</w:t>
      </w:r>
    </w:p>
    <w:p>
      <w:pPr>
        <w:pStyle w:val="a2"/>
        <w:keepNext w:val="0"/>
        <w:keepLines w:val="0"/>
        <w:pageBreakBefore w:val="0"/>
        <w:widowControl w:val="0"/>
        <w:numPr>
          <w:ilvl w:val="0"/>
          <w:numId w:val="0"/>
        </w:numPr>
        <w:kinsoku/>
        <w:wordWrap/>
        <w:overflowPunct w:val="0"/>
        <w:topLinePunct w:val="0"/>
        <w:autoSpaceDE/>
        <w:autoSpaceDN/>
        <w:bidi w:val="0"/>
        <w:ind w:firstLine="640" w:firstLineChars="200"/>
        <w:rPr>
          <w:rFonts w:ascii="仿宋" w:eastAsia="仿宋" w:hAnsi="仿宋" w:cs="仿宋"/>
          <w:sz w:val="32"/>
          <w:szCs w:val="32"/>
        </w:rPr>
        <w:sectPr>
          <w:footerReference w:type="default" r:id="rId28"/>
          <w:type w:val="nextPage"/>
          <w:pgSz w:w="11906" w:h="16838"/>
          <w:pgMar w:top="2098" w:right="1531" w:bottom="1984" w:left="1531" w:header="851" w:footer="1531" w:gutter="0"/>
          <w:pgNumType w:fmt="decimal" w:start="327"/>
          <w:cols w:num="1" w:space="425"/>
          <w:titlePg w:val="0"/>
          <w:docGrid w:type="lines" w:linePitch="312" w:charSpace="0"/>
        </w:sectPr>
      </w:pPr>
    </w:p>
    <w:p>
      <w:pPr>
        <w:pStyle w:val="a2"/>
        <w:keepNext w:val="0"/>
        <w:keepLines w:val="0"/>
        <w:pageBreakBefore w:val="0"/>
        <w:widowControl w:val="0"/>
        <w:numPr>
          <w:ilvl w:val="0"/>
          <w:numId w:val="0"/>
        </w:numPr>
        <w:kinsoku/>
        <w:wordWrap/>
        <w:overflowPunct w:val="0"/>
        <w:topLinePunct w:val="0"/>
        <w:autoSpaceDE/>
        <w:autoSpaceDN/>
        <w:bidi w:val="0"/>
        <w:ind w:firstLine="640" w:firstLineChars="200"/>
        <w:rPr>
          <w:rFonts w:ascii="仿宋" w:eastAsia="仿宋" w:hAnsi="仿宋" w:cs="仿宋"/>
          <w:sz w:val="32"/>
          <w:szCs w:val="32"/>
        </w:rPr>
      </w:pPr>
      <w:r>
        <w:rPr>
          <w:rFonts w:ascii="仿宋" w:eastAsia="仿宋" w:hAnsi="仿宋" w:cs="仿宋" w:hint="eastAsia"/>
          <w:sz w:val="32"/>
          <w:szCs w:val="32"/>
        </w:rPr>
        <w:t>心肺复苏操作的技术要点是否正确。主要考查考生是否掌握正确的通畅气道、口对口呼吸方法、胸外按压方法（包括位置、姿势、力度和频率）以及单人徒手心肺复苏操作的按压与呼吸的互换。</w:t>
      </w:r>
    </w:p>
    <w:p>
      <w:pPr>
        <w:pStyle w:val="a10"/>
        <w:keepNext w:val="0"/>
        <w:keepLines w:val="0"/>
        <w:pageBreakBefore w:val="0"/>
        <w:widowControl w:val="0"/>
        <w:numPr>
          <w:ilvl w:val="4"/>
          <w:numId w:val="0"/>
        </w:numPr>
        <w:kinsoku/>
        <w:wordWrap/>
        <w:overflowPunct w:val="0"/>
        <w:topLinePunct w:val="0"/>
        <w:autoSpaceDE/>
        <w:autoSpaceDN/>
        <w:bidi w:val="0"/>
        <w:spacing w:before="156" w:after="156"/>
        <w:ind w:firstLine="640" w:firstLineChars="200"/>
        <w:jc w:val="left"/>
        <w:rPr>
          <w:rFonts w:hAnsi="黑体" w:cs="黑体"/>
          <w:sz w:val="32"/>
          <w:szCs w:val="32"/>
        </w:rPr>
      </w:pPr>
      <w:r>
        <w:rPr>
          <w:rFonts w:hAnsi="黑体" w:cs="黑体" w:hint="eastAsia"/>
          <w:sz w:val="32"/>
          <w:szCs w:val="32"/>
        </w:rPr>
        <w:t>A.4.2.2</w:t>
      </w:r>
      <w:r>
        <w:rPr>
          <w:rFonts w:hAnsi="黑体" w:cs="黑体" w:hint="eastAsia"/>
          <w:sz w:val="32"/>
          <w:szCs w:val="32"/>
          <w:lang w:val="en-US" w:eastAsia="zh-CN"/>
        </w:rPr>
        <w:t xml:space="preserve">  </w:t>
      </w:r>
      <w:r>
        <w:rPr>
          <w:rFonts w:hAnsi="黑体" w:cs="黑体" w:hint="eastAsia"/>
          <w:sz w:val="32"/>
          <w:szCs w:val="32"/>
        </w:rPr>
        <w:t>评分标准</w:t>
      </w:r>
    </w:p>
    <w:tbl>
      <w:tblPr>
        <w:tblStyle w:val="TableNormal"/>
        <w:tblW w:w="8932"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73"/>
        <w:gridCol w:w="3436"/>
        <w:gridCol w:w="764"/>
        <w:gridCol w:w="3559"/>
      </w:tblGrid>
      <w:tr>
        <w:tblPrEx>
          <w:tblW w:w="8932"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86"/>
          <w:tblHeader/>
        </w:trPr>
        <w:tc>
          <w:tcPr>
            <w:tcW w:w="1173" w:type="dxa"/>
            <w:shd w:val="clear" w:color="auto" w:fill="auto"/>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szCs w:val="21"/>
              </w:rPr>
            </w:pPr>
            <w:r>
              <w:rPr>
                <w:rFonts w:ascii="黑体" w:eastAsia="黑体" w:hAnsi="黑体" w:cs="黑体" w:hint="eastAsia"/>
                <w:color w:val="000000" w:themeColor="text1"/>
                <w:szCs w:val="21"/>
              </w:rPr>
              <w:t>项目</w:t>
            </w:r>
          </w:p>
        </w:tc>
        <w:tc>
          <w:tcPr>
            <w:tcW w:w="3436" w:type="dxa"/>
            <w:shd w:val="clear" w:color="auto" w:fill="auto"/>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szCs w:val="21"/>
              </w:rPr>
            </w:pPr>
            <w:r>
              <w:rPr>
                <w:rFonts w:ascii="黑体" w:eastAsia="黑体" w:hAnsi="黑体" w:cs="黑体" w:hint="eastAsia"/>
                <w:color w:val="000000" w:themeColor="text1"/>
                <w:szCs w:val="21"/>
              </w:rPr>
              <w:t>内容</w:t>
            </w:r>
          </w:p>
        </w:tc>
        <w:tc>
          <w:tcPr>
            <w:tcW w:w="764" w:type="dxa"/>
            <w:shd w:val="clear" w:color="auto" w:fill="auto"/>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szCs w:val="21"/>
              </w:rPr>
            </w:pPr>
            <w:r>
              <w:rPr>
                <w:rFonts w:ascii="黑体" w:eastAsia="黑体" w:hAnsi="黑体" w:cs="黑体" w:hint="eastAsia"/>
                <w:color w:val="000000" w:themeColor="text1"/>
                <w:szCs w:val="21"/>
              </w:rPr>
              <w:t>分值</w:t>
            </w:r>
          </w:p>
        </w:tc>
        <w:tc>
          <w:tcPr>
            <w:tcW w:w="3559" w:type="dxa"/>
            <w:shd w:val="clear" w:color="auto" w:fill="auto"/>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szCs w:val="21"/>
              </w:rPr>
            </w:pPr>
            <w:r>
              <w:rPr>
                <w:rFonts w:ascii="黑体" w:eastAsia="黑体" w:hAnsi="黑体" w:cs="黑体" w:hint="eastAsia"/>
                <w:color w:val="000000" w:themeColor="text1"/>
                <w:szCs w:val="21"/>
              </w:rPr>
              <w:t>评分标准</w:t>
            </w:r>
          </w:p>
        </w:tc>
      </w:tr>
      <w:tr>
        <w:tblPrEx>
          <w:tblW w:w="8932" w:type="dxa"/>
          <w:tblInd w:w="-42" w:type="dxa"/>
          <w:tblLayout w:type="fixed"/>
          <w:tblCellMar>
            <w:top w:w="0" w:type="dxa"/>
            <w:left w:w="108" w:type="dxa"/>
            <w:bottom w:w="0" w:type="dxa"/>
            <w:right w:w="108" w:type="dxa"/>
          </w:tblCellMar>
        </w:tblPrEx>
        <w:tc>
          <w:tcPr>
            <w:tcW w:w="1173"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环境评估</w:t>
            </w:r>
          </w:p>
        </w:tc>
        <w:tc>
          <w:tcPr>
            <w:tcW w:w="3436"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操作者用眼光环顾四周，判断周围环境是否安全</w:t>
            </w:r>
          </w:p>
        </w:tc>
        <w:tc>
          <w:tcPr>
            <w:tcW w:w="764"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2</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未判断周围环境是否安全的，扣2分</w:t>
            </w:r>
          </w:p>
        </w:tc>
      </w:tr>
      <w:tr>
        <w:tblPrEx>
          <w:tblW w:w="8932" w:type="dxa"/>
          <w:tblInd w:w="-42" w:type="dxa"/>
          <w:tblLayout w:type="fixed"/>
          <w:tblCellMar>
            <w:top w:w="0" w:type="dxa"/>
            <w:left w:w="108" w:type="dxa"/>
            <w:bottom w:w="0" w:type="dxa"/>
            <w:right w:w="108" w:type="dxa"/>
          </w:tblCellMar>
        </w:tblPrEx>
        <w:trPr>
          <w:trHeight w:val="430"/>
        </w:trPr>
        <w:tc>
          <w:tcPr>
            <w:tcW w:w="1173"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意识判断和呼救</w:t>
            </w: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操作者双膝跪于伤者右侧，左膝平伤者肩部（操作者双膝与双肩同宽）</w:t>
            </w:r>
          </w:p>
        </w:tc>
        <w:tc>
          <w:tcPr>
            <w:tcW w:w="76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2</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1.跪姿不正确的，扣1分</w:t>
            </w:r>
          </w:p>
        </w:tc>
      </w:tr>
      <w:tr>
        <w:tblPrEx>
          <w:tblW w:w="8932" w:type="dxa"/>
          <w:tblInd w:w="-42" w:type="dxa"/>
          <w:tblLayout w:type="fixed"/>
          <w:tblCellMar>
            <w:top w:w="0" w:type="dxa"/>
            <w:left w:w="108" w:type="dxa"/>
            <w:bottom w:w="0" w:type="dxa"/>
            <w:right w:w="108" w:type="dxa"/>
          </w:tblCellMar>
        </w:tblPrEx>
        <w:trPr>
          <w:trHeight w:val="429"/>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2.双膝与双肩不同宽的，扣1分</w:t>
            </w:r>
          </w:p>
        </w:tc>
      </w:tr>
      <w:tr>
        <w:tblPrEx>
          <w:tblW w:w="8932" w:type="dxa"/>
          <w:tblInd w:w="-42" w:type="dxa"/>
          <w:tblLayout w:type="fixed"/>
          <w:tblCellMar>
            <w:top w:w="0" w:type="dxa"/>
            <w:left w:w="108" w:type="dxa"/>
            <w:bottom w:w="0" w:type="dxa"/>
            <w:right w:w="108" w:type="dxa"/>
          </w:tblCellMar>
        </w:tblPrEx>
        <w:trPr>
          <w:trHeight w:val="469"/>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双手轻拍伤者双肩，并大声呼叫“您好，怎么啦？请醒醒”。</w:t>
            </w:r>
          </w:p>
        </w:tc>
        <w:tc>
          <w:tcPr>
            <w:tcW w:w="76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2</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1.未用双手轻拍伤者双肩的，扣1分</w:t>
            </w:r>
          </w:p>
        </w:tc>
      </w:tr>
      <w:tr>
        <w:tblPrEx>
          <w:tblW w:w="8932" w:type="dxa"/>
          <w:tblInd w:w="-42" w:type="dxa"/>
          <w:tblLayout w:type="fixed"/>
          <w:tblCellMar>
            <w:top w:w="0" w:type="dxa"/>
            <w:left w:w="108" w:type="dxa"/>
            <w:bottom w:w="0" w:type="dxa"/>
            <w:right w:w="108" w:type="dxa"/>
          </w:tblCellMar>
        </w:tblPrEx>
        <w:trPr>
          <w:trHeight w:val="442"/>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2.未大声呼叫伤者的，扣1分</w:t>
            </w:r>
          </w:p>
        </w:tc>
      </w:tr>
      <w:tr>
        <w:tblPrEx>
          <w:tblW w:w="8932" w:type="dxa"/>
          <w:tblInd w:w="-42" w:type="dxa"/>
          <w:tblLayout w:type="fixed"/>
          <w:tblCellMar>
            <w:top w:w="0" w:type="dxa"/>
            <w:left w:w="108" w:type="dxa"/>
            <w:bottom w:w="0" w:type="dxa"/>
            <w:right w:w="108" w:type="dxa"/>
          </w:tblCellMar>
        </w:tblPrEx>
        <w:trPr>
          <w:trHeight w:val="503"/>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观察伤者无意识，环顾四周，请求协助，大声呼救“伤者无意识，快来人帮忙，拨打120”。</w:t>
            </w:r>
          </w:p>
        </w:tc>
        <w:tc>
          <w:tcPr>
            <w:tcW w:w="76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5</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1.未请求协助的，扣2分</w:t>
            </w:r>
          </w:p>
        </w:tc>
      </w:tr>
      <w:tr>
        <w:tblPrEx>
          <w:tblW w:w="8932" w:type="dxa"/>
          <w:tblInd w:w="-42" w:type="dxa"/>
          <w:tblLayout w:type="fixed"/>
          <w:tblCellMar>
            <w:top w:w="0" w:type="dxa"/>
            <w:left w:w="108" w:type="dxa"/>
            <w:bottom w:w="0" w:type="dxa"/>
            <w:right w:w="108" w:type="dxa"/>
          </w:tblCellMar>
        </w:tblPrEx>
        <w:trPr>
          <w:trHeight w:val="603"/>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2.未大声呼救说明“伤者无意识”的，扣3分</w:t>
            </w:r>
          </w:p>
        </w:tc>
      </w:tr>
      <w:tr>
        <w:tblPrEx>
          <w:tblW w:w="8932" w:type="dxa"/>
          <w:tblInd w:w="-42" w:type="dxa"/>
          <w:tblLayout w:type="fixed"/>
          <w:tblCellMar>
            <w:top w:w="0" w:type="dxa"/>
            <w:left w:w="108" w:type="dxa"/>
            <w:bottom w:w="0" w:type="dxa"/>
            <w:right w:w="108" w:type="dxa"/>
          </w:tblCellMar>
        </w:tblPrEx>
        <w:trPr>
          <w:trHeight w:val="497"/>
        </w:trPr>
        <w:tc>
          <w:tcPr>
            <w:tcW w:w="1173"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检查呼吸</w:t>
            </w: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一看（胸部有无起伏）、二听（耳朵贴近伤者面部，听呼吸音），三感觉（有无气流冲击面部），三步骤同时进行，无反应表示呼吸停止，大声说“伤者无呼吸”。</w:t>
            </w:r>
          </w:p>
        </w:tc>
        <w:tc>
          <w:tcPr>
            <w:tcW w:w="76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8</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1.未观察胸部有无起伏的，扣2分</w:t>
            </w:r>
          </w:p>
        </w:tc>
      </w:tr>
      <w:tr>
        <w:tblPrEx>
          <w:tblW w:w="8932" w:type="dxa"/>
          <w:tblInd w:w="-42" w:type="dxa"/>
          <w:tblLayout w:type="fixed"/>
          <w:tblCellMar>
            <w:top w:w="0" w:type="dxa"/>
            <w:left w:w="108" w:type="dxa"/>
            <w:bottom w:w="0" w:type="dxa"/>
            <w:right w:w="108" w:type="dxa"/>
          </w:tblCellMar>
        </w:tblPrEx>
        <w:trPr>
          <w:trHeight w:val="497"/>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2.未将耳朵贴近伤者面部听呼吸音的，扣2分</w:t>
            </w:r>
          </w:p>
        </w:tc>
      </w:tr>
      <w:tr>
        <w:tblPrEx>
          <w:tblW w:w="8932" w:type="dxa"/>
          <w:tblInd w:w="-42" w:type="dxa"/>
          <w:tblLayout w:type="fixed"/>
          <w:tblCellMar>
            <w:top w:w="0" w:type="dxa"/>
            <w:left w:w="108" w:type="dxa"/>
            <w:bottom w:w="0" w:type="dxa"/>
            <w:right w:w="108" w:type="dxa"/>
          </w:tblCellMar>
        </w:tblPrEx>
        <w:trPr>
          <w:trHeight w:val="497"/>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3.未感觉有无气流冲击面部的，扣2分</w:t>
            </w:r>
          </w:p>
        </w:tc>
      </w:tr>
      <w:tr>
        <w:tblPrEx>
          <w:tblW w:w="8932" w:type="dxa"/>
          <w:tblInd w:w="-42" w:type="dxa"/>
          <w:tblLayout w:type="fixed"/>
          <w:tblCellMar>
            <w:top w:w="0" w:type="dxa"/>
            <w:left w:w="108" w:type="dxa"/>
            <w:bottom w:w="0" w:type="dxa"/>
            <w:right w:w="108" w:type="dxa"/>
          </w:tblCellMar>
        </w:tblPrEx>
        <w:trPr>
          <w:trHeight w:val="497"/>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4.未大声说：“伤者无呼吸”的，扣2分</w:t>
            </w:r>
          </w:p>
        </w:tc>
      </w:tr>
      <w:tr>
        <w:tblPrEx>
          <w:tblW w:w="8932" w:type="dxa"/>
          <w:tblInd w:w="-42" w:type="dxa"/>
          <w:tblLayout w:type="fixed"/>
          <w:tblCellMar>
            <w:top w:w="0" w:type="dxa"/>
            <w:left w:w="108" w:type="dxa"/>
            <w:bottom w:w="0" w:type="dxa"/>
            <w:right w:w="108" w:type="dxa"/>
          </w:tblCellMar>
        </w:tblPrEx>
        <w:trPr>
          <w:trHeight w:val="550"/>
        </w:trPr>
        <w:tc>
          <w:tcPr>
            <w:tcW w:w="1173"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检查脉搏</w:t>
            </w: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操作者右手食指和中指指腹沿伤者下颌正中滑至气管喉结部位，再平移向对侧滑动2-3cm，至胸锁乳突肌中段内侧处，判断颈动脉搏动，判断时间大于5秒，小于10秒。未感知颈动脉搏动，大声说“颈动脉无搏动”。</w:t>
            </w:r>
          </w:p>
        </w:tc>
        <w:tc>
          <w:tcPr>
            <w:tcW w:w="76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8</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1.判断手法不正确的，扣2分</w:t>
            </w:r>
          </w:p>
        </w:tc>
      </w:tr>
      <w:tr>
        <w:tblPrEx>
          <w:tblW w:w="8932" w:type="dxa"/>
          <w:tblInd w:w="-42" w:type="dxa"/>
          <w:tblLayout w:type="fixed"/>
          <w:tblCellMar>
            <w:top w:w="0" w:type="dxa"/>
            <w:left w:w="108" w:type="dxa"/>
            <w:bottom w:w="0" w:type="dxa"/>
            <w:right w:w="108" w:type="dxa"/>
          </w:tblCellMar>
        </w:tblPrEx>
        <w:trPr>
          <w:trHeight w:val="640"/>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2.判断位置不正确的，扣2分</w:t>
            </w:r>
          </w:p>
        </w:tc>
      </w:tr>
      <w:tr>
        <w:tblPrEx>
          <w:tblW w:w="8932" w:type="dxa"/>
          <w:tblInd w:w="-42" w:type="dxa"/>
          <w:tblLayout w:type="fixed"/>
          <w:tblCellMar>
            <w:top w:w="0" w:type="dxa"/>
            <w:left w:w="108" w:type="dxa"/>
            <w:bottom w:w="0" w:type="dxa"/>
            <w:right w:w="108" w:type="dxa"/>
          </w:tblCellMar>
        </w:tblPrEx>
        <w:trPr>
          <w:trHeight w:val="609"/>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3.判断时间小于5秒，大于10秒的，扣2分</w:t>
            </w:r>
          </w:p>
        </w:tc>
      </w:tr>
      <w:tr>
        <w:tblPrEx>
          <w:tblW w:w="8932" w:type="dxa"/>
          <w:tblInd w:w="-42" w:type="dxa"/>
          <w:tblLayout w:type="fixed"/>
          <w:tblCellMar>
            <w:top w:w="0" w:type="dxa"/>
            <w:left w:w="108" w:type="dxa"/>
            <w:bottom w:w="0" w:type="dxa"/>
            <w:right w:w="108" w:type="dxa"/>
          </w:tblCellMar>
        </w:tblPrEx>
        <w:trPr>
          <w:trHeight w:val="712"/>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4.未大声说“颈动脉无搏动”的，扣2分</w:t>
            </w:r>
          </w:p>
        </w:tc>
      </w:tr>
    </w:tbl>
    <w:p>
      <w:pPr>
        <w:sectPr>
          <w:footerReference w:type="default" r:id="rId29"/>
          <w:type w:val="nextPage"/>
          <w:pgSz w:w="11906" w:h="16838"/>
          <w:pgMar w:top="2098" w:right="1531" w:bottom="1984" w:left="1531" w:header="851" w:footer="1531" w:gutter="0"/>
          <w:pgNumType w:fmt="decimal" w:start="328"/>
          <w:cols w:num="1" w:space="425"/>
          <w:titlePg w:val="0"/>
          <w:docGrid w:type="lines" w:linePitch="312" w:charSpace="0"/>
        </w:sectPr>
      </w:pPr>
    </w:p>
    <w:tbl>
      <w:tblPr>
        <w:tblStyle w:val="TableNormal"/>
        <w:tblW w:w="8932"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73"/>
        <w:gridCol w:w="3436"/>
        <w:gridCol w:w="764"/>
        <w:gridCol w:w="3559"/>
      </w:tblGrid>
      <w:tr>
        <w:tblPrEx>
          <w:tblW w:w="8932"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55"/>
        </w:trPr>
        <w:tc>
          <w:tcPr>
            <w:tcW w:w="1173"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摆放体位</w:t>
            </w:r>
          </w:p>
        </w:tc>
        <w:tc>
          <w:tcPr>
            <w:tcW w:w="3436"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操作者摆放伤者体位，理顺伤者肢体“解开上衣、松腰带，暴露胸部”。</w:t>
            </w:r>
          </w:p>
        </w:tc>
        <w:tc>
          <w:tcPr>
            <w:tcW w:w="764"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4</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未理顺伤者肢体“解开上衣、松腰带，暴露胸部”，每处扣2分。扣完为止</w:t>
            </w:r>
          </w:p>
        </w:tc>
      </w:tr>
      <w:tr>
        <w:tblPrEx>
          <w:tblW w:w="8932" w:type="dxa"/>
          <w:tblInd w:w="-42" w:type="dxa"/>
          <w:tblLayout w:type="fixed"/>
          <w:tblCellMar>
            <w:top w:w="0" w:type="dxa"/>
            <w:left w:w="108" w:type="dxa"/>
            <w:bottom w:w="0" w:type="dxa"/>
            <w:right w:w="108" w:type="dxa"/>
          </w:tblCellMar>
        </w:tblPrEx>
        <w:trPr>
          <w:trHeight w:val="1345"/>
        </w:trPr>
        <w:tc>
          <w:tcPr>
            <w:tcW w:w="1173"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胸外心脏按压</w:t>
            </w: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确定按压部位：（男性可用两乳头连线中点定位，女性可用1点2指3掌根法定位）右手中指食指并拢，沿肋缘滑至剑突上两横指，（胸骨中下1/3处）左手掌根放胸骨上，右手掌根放左手背上，右手五指扣住左手，左手五指上翘，双臂位于伤者胸骨的正上方，双肘关节伸直。</w:t>
            </w:r>
          </w:p>
        </w:tc>
        <w:tc>
          <w:tcPr>
            <w:tcW w:w="76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10</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1.按压部位不正确的，扣5分</w:t>
            </w:r>
          </w:p>
        </w:tc>
      </w:tr>
      <w:tr>
        <w:tblPrEx>
          <w:tblW w:w="8932" w:type="dxa"/>
          <w:tblInd w:w="-42" w:type="dxa"/>
          <w:tblLayout w:type="fixed"/>
          <w:tblCellMar>
            <w:top w:w="0" w:type="dxa"/>
            <w:left w:w="108" w:type="dxa"/>
            <w:bottom w:w="0" w:type="dxa"/>
            <w:right w:w="108" w:type="dxa"/>
          </w:tblCellMar>
        </w:tblPrEx>
        <w:trPr>
          <w:trHeight w:val="1098"/>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2.按压方法不正确的，扣5分</w:t>
            </w:r>
          </w:p>
        </w:tc>
      </w:tr>
      <w:tr>
        <w:tblPrEx>
          <w:tblW w:w="8932" w:type="dxa"/>
          <w:tblInd w:w="-42" w:type="dxa"/>
          <w:tblLayout w:type="fixed"/>
          <w:tblCellMar>
            <w:top w:w="0" w:type="dxa"/>
            <w:left w:w="108" w:type="dxa"/>
            <w:bottom w:w="0" w:type="dxa"/>
            <w:right w:w="108" w:type="dxa"/>
          </w:tblCellMar>
        </w:tblPrEx>
        <w:trPr>
          <w:trHeight w:val="475"/>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利用上身重量垂直下压，胸骨下陷5cm，迅速放松，掌根不离开胸骨，按压与放松时间大致相同，按压频率100次/分以上。每按压30次为一组，反复进行。按压的同时小声数数，“1组，1—24”，大声数“25、26、27、28、29、30”，同时观察面色、口唇有无变化。</w:t>
            </w:r>
          </w:p>
        </w:tc>
        <w:tc>
          <w:tcPr>
            <w:tcW w:w="76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15</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1.未垂直下压胸骨下陷5cm的，扣5分</w:t>
            </w:r>
          </w:p>
        </w:tc>
      </w:tr>
      <w:tr>
        <w:tblPrEx>
          <w:tblW w:w="8932" w:type="dxa"/>
          <w:tblInd w:w="-42" w:type="dxa"/>
          <w:tblLayout w:type="fixed"/>
          <w:tblCellMar>
            <w:top w:w="0" w:type="dxa"/>
            <w:left w:w="108" w:type="dxa"/>
            <w:bottom w:w="0" w:type="dxa"/>
            <w:right w:w="108" w:type="dxa"/>
          </w:tblCellMar>
        </w:tblPrEx>
        <w:trPr>
          <w:trHeight w:val="575"/>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2.未放松，掌根离开胸骨的，扣2分</w:t>
            </w:r>
          </w:p>
        </w:tc>
      </w:tr>
      <w:tr>
        <w:tblPrEx>
          <w:tblW w:w="8932" w:type="dxa"/>
          <w:tblInd w:w="-42" w:type="dxa"/>
          <w:tblLayout w:type="fixed"/>
          <w:tblCellMar>
            <w:top w:w="0" w:type="dxa"/>
            <w:left w:w="108" w:type="dxa"/>
            <w:bottom w:w="0" w:type="dxa"/>
            <w:right w:w="108" w:type="dxa"/>
          </w:tblCellMar>
        </w:tblPrEx>
        <w:trPr>
          <w:trHeight w:val="687"/>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3.按压频率小于100次/分的，扣5分</w:t>
            </w:r>
          </w:p>
        </w:tc>
      </w:tr>
      <w:tr>
        <w:tblPrEx>
          <w:tblW w:w="8932" w:type="dxa"/>
          <w:tblInd w:w="-42" w:type="dxa"/>
          <w:tblLayout w:type="fixed"/>
          <w:tblCellMar>
            <w:top w:w="0" w:type="dxa"/>
            <w:left w:w="108" w:type="dxa"/>
            <w:bottom w:w="0" w:type="dxa"/>
            <w:right w:w="108" w:type="dxa"/>
          </w:tblCellMar>
        </w:tblPrEx>
        <w:trPr>
          <w:trHeight w:val="449"/>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4.按压节律不均匀的，扣3分</w:t>
            </w:r>
          </w:p>
        </w:tc>
      </w:tr>
      <w:tr>
        <w:tblPrEx>
          <w:tblW w:w="8932" w:type="dxa"/>
          <w:tblInd w:w="-42" w:type="dxa"/>
          <w:tblLayout w:type="fixed"/>
          <w:tblCellMar>
            <w:top w:w="0" w:type="dxa"/>
            <w:left w:w="108" w:type="dxa"/>
            <w:bottom w:w="0" w:type="dxa"/>
            <w:right w:w="108" w:type="dxa"/>
          </w:tblCellMar>
        </w:tblPrEx>
        <w:trPr>
          <w:trHeight w:val="565"/>
        </w:trPr>
        <w:tc>
          <w:tcPr>
            <w:tcW w:w="1173"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打开气道</w:t>
            </w: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将伤者面部侧向一侧，检查口腔，报告“口腔无异物，无活动性义齿”。</w:t>
            </w:r>
          </w:p>
        </w:tc>
        <w:tc>
          <w:tcPr>
            <w:tcW w:w="76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2</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1.未将伤者面部侧向一侧检查口腔的，扣1分</w:t>
            </w:r>
          </w:p>
        </w:tc>
      </w:tr>
      <w:tr>
        <w:tblPrEx>
          <w:tblW w:w="8932" w:type="dxa"/>
          <w:tblInd w:w="-42" w:type="dxa"/>
          <w:tblLayout w:type="fixed"/>
          <w:tblCellMar>
            <w:top w:w="0" w:type="dxa"/>
            <w:left w:w="108" w:type="dxa"/>
            <w:bottom w:w="0" w:type="dxa"/>
            <w:right w:w="108" w:type="dxa"/>
          </w:tblCellMar>
        </w:tblPrEx>
        <w:trPr>
          <w:trHeight w:val="90"/>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2.未报告“口腔无异物，无活动性义齿”的，扣1分</w:t>
            </w:r>
          </w:p>
        </w:tc>
      </w:tr>
      <w:tr>
        <w:tblPrEx>
          <w:tblW w:w="8932" w:type="dxa"/>
          <w:tblInd w:w="-42" w:type="dxa"/>
          <w:tblLayout w:type="fixed"/>
          <w:tblCellMar>
            <w:top w:w="0" w:type="dxa"/>
            <w:left w:w="108" w:type="dxa"/>
            <w:bottom w:w="0" w:type="dxa"/>
            <w:right w:w="108" w:type="dxa"/>
          </w:tblCellMar>
        </w:tblPrEx>
        <w:trPr>
          <w:trHeight w:val="515"/>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压额抬颌，打开气道，下颌角与耳垂的连线与地面垂直。</w:t>
            </w:r>
          </w:p>
        </w:tc>
        <w:tc>
          <w:tcPr>
            <w:tcW w:w="76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8</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1.未压额抬颌，打开气道的，扣4分</w:t>
            </w:r>
          </w:p>
        </w:tc>
      </w:tr>
      <w:tr>
        <w:tblPrEx>
          <w:tblW w:w="8932" w:type="dxa"/>
          <w:tblInd w:w="-42" w:type="dxa"/>
          <w:tblLayout w:type="fixed"/>
          <w:tblCellMar>
            <w:top w:w="0" w:type="dxa"/>
            <w:left w:w="108" w:type="dxa"/>
            <w:bottom w:w="0" w:type="dxa"/>
            <w:right w:w="108" w:type="dxa"/>
          </w:tblCellMar>
        </w:tblPrEx>
        <w:trPr>
          <w:trHeight w:val="395"/>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2.未将伤者下颌角与耳垂的连线与地面垂直的，扣4分</w:t>
            </w:r>
          </w:p>
        </w:tc>
      </w:tr>
      <w:tr>
        <w:tblPrEx>
          <w:tblW w:w="8932" w:type="dxa"/>
          <w:tblInd w:w="-42" w:type="dxa"/>
          <w:tblLayout w:type="fixed"/>
          <w:tblCellMar>
            <w:top w:w="0" w:type="dxa"/>
            <w:left w:w="108" w:type="dxa"/>
            <w:bottom w:w="0" w:type="dxa"/>
            <w:right w:w="108" w:type="dxa"/>
          </w:tblCellMar>
        </w:tblPrEx>
        <w:trPr>
          <w:trHeight w:val="687"/>
        </w:trPr>
        <w:tc>
          <w:tcPr>
            <w:tcW w:w="1173" w:type="dxa"/>
            <w:shd w:val="clear" w:color="auto" w:fill="auto"/>
            <w:vAlign w:val="center"/>
          </w:tcPr>
          <w:p>
            <w:pPr>
              <w:keepNext w:val="0"/>
              <w:keepLines w:val="0"/>
              <w:pageBreakBefore w:val="0"/>
              <w:widowControl w:val="0"/>
              <w:kinsoku/>
              <w:wordWrap/>
              <w:overflowPunct w:val="0"/>
              <w:topLinePunct w:val="0"/>
              <w:autoSpaceDE/>
              <w:autoSpaceDN/>
              <w:bidi w:val="0"/>
              <w:spacing w:after="0"/>
              <w:jc w:val="center"/>
              <w:rPr>
                <w:rFonts w:ascii="仿宋" w:eastAsia="仿宋" w:hAnsi="仿宋" w:cs="仿宋"/>
                <w:color w:val="000000" w:themeColor="text1"/>
              </w:rPr>
            </w:pPr>
          </w:p>
        </w:tc>
        <w:tc>
          <w:tcPr>
            <w:tcW w:w="3436" w:type="dxa"/>
            <w:shd w:val="clear" w:color="auto" w:fill="auto"/>
            <w:vAlign w:val="center"/>
          </w:tcPr>
          <w:p>
            <w:pPr>
              <w:keepNext w:val="0"/>
              <w:keepLines w:val="0"/>
              <w:pageBreakBefore w:val="0"/>
              <w:widowControl w:val="0"/>
              <w:kinsoku/>
              <w:wordWrap/>
              <w:overflowPunct w:val="0"/>
              <w:topLinePunct w:val="0"/>
              <w:autoSpaceDE/>
              <w:autoSpaceDN/>
              <w:bidi w:val="0"/>
              <w:spacing w:after="0"/>
              <w:rPr>
                <w:rFonts w:ascii="仿宋" w:eastAsia="仿宋" w:hAnsi="仿宋" w:cs="仿宋"/>
                <w:color w:val="000000" w:themeColor="text1"/>
              </w:rPr>
            </w:pPr>
          </w:p>
        </w:tc>
        <w:tc>
          <w:tcPr>
            <w:tcW w:w="764"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20</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1.未正确打开伤者口部的，扣8分</w:t>
            </w:r>
          </w:p>
        </w:tc>
      </w:tr>
    </w:tbl>
    <w:p>
      <w:pPr>
        <w:sectPr>
          <w:footerReference w:type="default" r:id="rId30"/>
          <w:type w:val="nextPage"/>
          <w:pgSz w:w="11906" w:h="16838"/>
          <w:pgMar w:top="2098" w:right="1531" w:bottom="1984" w:left="1531" w:header="851" w:footer="1531" w:gutter="0"/>
          <w:pgNumType w:fmt="decimal" w:start="329"/>
          <w:cols w:num="1" w:space="425"/>
          <w:titlePg w:val="0"/>
          <w:docGrid w:type="lines" w:linePitch="312" w:charSpace="0"/>
        </w:sectPr>
      </w:pPr>
    </w:p>
    <w:tbl>
      <w:tblPr>
        <w:tblStyle w:val="TableNormal"/>
        <w:tblW w:w="8932"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73"/>
        <w:gridCol w:w="3436"/>
        <w:gridCol w:w="764"/>
        <w:gridCol w:w="3559"/>
      </w:tblGrid>
      <w:tr>
        <w:tblPrEx>
          <w:tblW w:w="8932"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7"/>
        </w:trPr>
        <w:tc>
          <w:tcPr>
            <w:tcW w:w="1173" w:type="dxa"/>
            <w:vMerge w:val="restart"/>
            <w:shd w:val="clear" w:color="auto" w:fill="auto"/>
            <w:vAlign w:val="center"/>
          </w:tcPr>
          <w:p>
            <w:pPr>
              <w:keepNext w:val="0"/>
              <w:keepLines w:val="0"/>
              <w:pageBreakBefore w:val="0"/>
              <w:widowControl w:val="0"/>
              <w:kinsoku/>
              <w:wordWrap/>
              <w:overflowPunct w:val="0"/>
              <w:topLinePunct w:val="0"/>
              <w:autoSpaceDE/>
              <w:autoSpaceDN/>
              <w:bidi w:val="0"/>
              <w:spacing w:before="0"/>
              <w:jc w:val="center"/>
              <w:rPr>
                <w:rFonts w:ascii="仿宋" w:eastAsia="仿宋" w:hAnsi="仿宋" w:cs="仿宋"/>
                <w:color w:val="000000" w:themeColor="text1"/>
              </w:rPr>
            </w:pPr>
            <w:r>
              <w:rPr>
                <w:rFonts w:ascii="仿宋" w:eastAsia="仿宋" w:hAnsi="仿宋" w:cs="仿宋" w:hint="eastAsia"/>
                <w:color w:val="000000" w:themeColor="text1"/>
              </w:rPr>
              <w:t>口对口人工呼吸</w:t>
            </w: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spacing w:before="0"/>
              <w:rPr>
                <w:rFonts w:ascii="仿宋" w:eastAsia="仿宋" w:hAnsi="仿宋" w:cs="仿宋"/>
                <w:color w:val="000000" w:themeColor="text1"/>
              </w:rPr>
            </w:pPr>
            <w:r>
              <w:rPr>
                <w:rFonts w:ascii="仿宋" w:eastAsia="仿宋" w:hAnsi="仿宋" w:cs="仿宋" w:hint="eastAsia"/>
                <w:color w:val="000000" w:themeColor="text1"/>
              </w:rPr>
              <w:t>将纱布盖在伤者嘴上，左手捏紧伤者鼻腔，右手拇指、食指捏住伤者下颌略</w:t>
            </w:r>
            <w:r>
              <w:rPr>
                <w:rFonts w:ascii="仿宋" w:eastAsia="仿宋" w:hAnsi="仿宋" w:cs="仿宋" w:hint="eastAsia"/>
                <w:color w:val="000000" w:themeColor="text1"/>
                <w:spacing w:val="-3"/>
              </w:rPr>
              <w:t>向下拉，打开口。深吸一口气，包住伤者嘴，吹气至胸廓隆起，（吹气同时要观察胸廓）立即松开左手，让胸廓自然回弹。（吹气</w:t>
            </w:r>
            <w:r>
              <w:rPr>
                <w:rFonts w:ascii="仿宋" w:eastAsia="仿宋" w:hAnsi="仿宋" w:cs="仿宋" w:hint="eastAsia"/>
                <w:color w:val="000000" w:themeColor="text1"/>
              </w:rPr>
              <w:t>2次）</w:t>
            </w:r>
          </w:p>
        </w:tc>
        <w:tc>
          <w:tcPr>
            <w:tcW w:w="764" w:type="dxa"/>
            <w:vMerge w:val="restart"/>
            <w:shd w:val="clear" w:color="auto" w:fill="auto"/>
            <w:vAlign w:val="center"/>
          </w:tcPr>
          <w:p/>
        </w:tc>
        <w:tc>
          <w:tcPr>
            <w:tcW w:w="3559" w:type="dxa"/>
            <w:shd w:val="clear" w:color="auto" w:fill="auto"/>
            <w:vAlign w:val="center"/>
          </w:tcPr>
          <w:p/>
        </w:tc>
      </w:tr>
      <w:tr>
        <w:tblPrEx>
          <w:tblW w:w="8932" w:type="dxa"/>
          <w:tblInd w:w="-42" w:type="dxa"/>
          <w:tblLayout w:type="fixed"/>
          <w:tblCellMar>
            <w:top w:w="0" w:type="dxa"/>
            <w:left w:w="108" w:type="dxa"/>
            <w:bottom w:w="0" w:type="dxa"/>
            <w:right w:w="108" w:type="dxa"/>
          </w:tblCellMar>
        </w:tblPrEx>
        <w:trPr>
          <w:trHeight w:val="930"/>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2.未正确进行吹气的，扣8分</w:t>
            </w:r>
          </w:p>
        </w:tc>
      </w:tr>
      <w:tr>
        <w:tblPrEx>
          <w:tblW w:w="8932" w:type="dxa"/>
          <w:tblInd w:w="-42" w:type="dxa"/>
          <w:tblLayout w:type="fixed"/>
          <w:tblCellMar>
            <w:top w:w="0" w:type="dxa"/>
            <w:left w:w="108" w:type="dxa"/>
            <w:bottom w:w="0" w:type="dxa"/>
            <w:right w:w="108" w:type="dxa"/>
          </w:tblCellMar>
        </w:tblPrEx>
        <w:trPr>
          <w:trHeight w:val="695"/>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3.两次吹气间未松开伤者鼻腔的，扣4分</w:t>
            </w:r>
          </w:p>
        </w:tc>
      </w:tr>
      <w:tr>
        <w:tblPrEx>
          <w:tblW w:w="8932" w:type="dxa"/>
          <w:tblInd w:w="-42" w:type="dxa"/>
          <w:tblLayout w:type="fixed"/>
          <w:tblCellMar>
            <w:top w:w="0" w:type="dxa"/>
            <w:left w:w="108" w:type="dxa"/>
            <w:bottom w:w="0" w:type="dxa"/>
            <w:right w:w="108" w:type="dxa"/>
          </w:tblCellMar>
        </w:tblPrEx>
        <w:trPr>
          <w:trHeight w:val="795"/>
        </w:trPr>
        <w:tc>
          <w:tcPr>
            <w:tcW w:w="1173"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循环操作</w:t>
            </w: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口述说明：需要重复上述胸外心脏按压与人工呼吸操作，完成5个循环，胸外心脏按压与人工呼吸次数比例为30:2。</w:t>
            </w:r>
          </w:p>
        </w:tc>
        <w:tc>
          <w:tcPr>
            <w:tcW w:w="76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10</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1.未说明需要完成胸外心脏按压与人工呼吸操作5个循环的，扣5分</w:t>
            </w:r>
          </w:p>
        </w:tc>
      </w:tr>
      <w:tr>
        <w:tblPrEx>
          <w:tblW w:w="8932" w:type="dxa"/>
          <w:tblInd w:w="-42" w:type="dxa"/>
          <w:tblLayout w:type="fixed"/>
          <w:tblCellMar>
            <w:top w:w="0" w:type="dxa"/>
            <w:left w:w="108" w:type="dxa"/>
            <w:bottom w:w="0" w:type="dxa"/>
            <w:right w:w="108" w:type="dxa"/>
          </w:tblCellMar>
        </w:tblPrEx>
        <w:trPr>
          <w:trHeight w:val="795"/>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2.未说明胸外心脏按压与人工呼吸次数比例为30:2的，扣5分</w:t>
            </w:r>
          </w:p>
        </w:tc>
      </w:tr>
      <w:tr>
        <w:tblPrEx>
          <w:tblW w:w="8932" w:type="dxa"/>
          <w:tblInd w:w="-42" w:type="dxa"/>
          <w:tblLayout w:type="fixed"/>
          <w:tblCellMar>
            <w:top w:w="0" w:type="dxa"/>
            <w:left w:w="108" w:type="dxa"/>
            <w:bottom w:w="0" w:type="dxa"/>
            <w:right w:w="108" w:type="dxa"/>
          </w:tblCellMar>
        </w:tblPrEx>
        <w:trPr>
          <w:trHeight w:val="263"/>
        </w:trPr>
        <w:tc>
          <w:tcPr>
            <w:tcW w:w="1173"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再次判断</w:t>
            </w:r>
          </w:p>
        </w:tc>
        <w:tc>
          <w:tcPr>
            <w:tcW w:w="3436" w:type="dxa"/>
            <w:vMerge w:val="restart"/>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全部操作完成后，再次判断伤者呼吸及颈动脉搏动（判断方法及要求同前）。并大声说“伤者呼吸、心跳恢复，心肺复苏成功”。</w:t>
            </w:r>
          </w:p>
        </w:tc>
        <w:tc>
          <w:tcPr>
            <w:tcW w:w="76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4</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1.未再次判断伤者呼吸及颈动脉搏动的，扣2分</w:t>
            </w:r>
          </w:p>
        </w:tc>
      </w:tr>
      <w:tr>
        <w:tblPrEx>
          <w:tblW w:w="8932" w:type="dxa"/>
          <w:tblInd w:w="-42" w:type="dxa"/>
          <w:tblLayout w:type="fixed"/>
          <w:tblCellMar>
            <w:top w:w="0" w:type="dxa"/>
            <w:left w:w="108" w:type="dxa"/>
            <w:bottom w:w="0" w:type="dxa"/>
            <w:right w:w="108" w:type="dxa"/>
          </w:tblCellMar>
        </w:tblPrEx>
        <w:trPr>
          <w:trHeight w:val="263"/>
        </w:trPr>
        <w:tc>
          <w:tcPr>
            <w:tcW w:w="1173"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3436" w:type="dxa"/>
            <w:vMerge/>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c>
          <w:tcPr>
            <w:tcW w:w="76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r>
              <w:rPr>
                <w:rFonts w:ascii="仿宋" w:eastAsia="仿宋" w:hAnsi="仿宋" w:cs="仿宋" w:hint="eastAsia"/>
                <w:color w:val="000000" w:themeColor="text1"/>
              </w:rPr>
              <w:t>2.未说明“伤者呼吸、心跳恢复，心肺复苏成功”的，扣2分</w:t>
            </w:r>
          </w:p>
        </w:tc>
      </w:tr>
      <w:tr>
        <w:tblPrEx>
          <w:tblW w:w="8932" w:type="dxa"/>
          <w:tblInd w:w="-42" w:type="dxa"/>
          <w:tblLayout w:type="fixed"/>
          <w:tblCellMar>
            <w:top w:w="0" w:type="dxa"/>
            <w:left w:w="108" w:type="dxa"/>
            <w:bottom w:w="0" w:type="dxa"/>
            <w:right w:w="108" w:type="dxa"/>
          </w:tblCellMar>
        </w:tblPrEx>
        <w:trPr>
          <w:trHeight w:val="640"/>
        </w:trPr>
        <w:tc>
          <w:tcPr>
            <w:tcW w:w="4609" w:type="dxa"/>
            <w:gridSpan w:val="2"/>
            <w:shd w:val="clear" w:color="auto" w:fill="auto"/>
            <w:vAlign w:val="center"/>
          </w:tcPr>
          <w:p>
            <w:pPr>
              <w:keepNext w:val="0"/>
              <w:keepLines w:val="0"/>
              <w:pageBreakBefore w:val="0"/>
              <w:widowControl w:val="0"/>
              <w:tabs>
                <w:tab w:val="left" w:pos="3042"/>
              </w:tabs>
              <w:kinsoku/>
              <w:wordWrap/>
              <w:overflowPunct w:val="0"/>
              <w:topLinePunct w:val="0"/>
              <w:autoSpaceDE/>
              <w:autoSpaceDN/>
              <w:bidi w:val="0"/>
              <w:jc w:val="center"/>
              <w:rPr>
                <w:rFonts w:ascii="黑体" w:eastAsia="黑体" w:hAnsi="黑体" w:cs="黑体"/>
                <w:color w:val="000000" w:themeColor="text1"/>
              </w:rPr>
            </w:pPr>
            <w:r>
              <w:rPr>
                <w:rFonts w:ascii="黑体" w:eastAsia="黑体" w:hAnsi="黑体" w:cs="黑体" w:hint="eastAsia"/>
                <w:color w:val="000000" w:themeColor="text1"/>
              </w:rPr>
              <w:t>合　计</w:t>
            </w:r>
          </w:p>
        </w:tc>
        <w:tc>
          <w:tcPr>
            <w:tcW w:w="764"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黑体" w:eastAsia="黑体" w:hAnsi="黑体" w:cs="黑体"/>
                <w:color w:val="000000" w:themeColor="text1"/>
              </w:rPr>
            </w:pPr>
            <w:r>
              <w:rPr>
                <w:rFonts w:ascii="黑体" w:eastAsia="黑体" w:hAnsi="黑体" w:cs="黑体" w:hint="eastAsia"/>
                <w:color w:val="000000" w:themeColor="text1"/>
              </w:rPr>
              <w:t>100</w:t>
            </w:r>
          </w:p>
        </w:tc>
        <w:tc>
          <w:tcPr>
            <w:tcW w:w="3559" w:type="dxa"/>
            <w:shd w:val="clear" w:color="auto" w:fill="auto"/>
            <w:vAlign w:val="center"/>
          </w:tcPr>
          <w:p>
            <w:pPr>
              <w:keepNext w:val="0"/>
              <w:keepLines w:val="0"/>
              <w:pageBreakBefore w:val="0"/>
              <w:widowControl w:val="0"/>
              <w:kinsoku/>
              <w:wordWrap/>
              <w:overflowPunct w:val="0"/>
              <w:topLinePunct w:val="0"/>
              <w:autoSpaceDE/>
              <w:autoSpaceDN/>
              <w:bidi w:val="0"/>
              <w:rPr>
                <w:rFonts w:ascii="仿宋" w:eastAsia="仿宋" w:hAnsi="仿宋" w:cs="仿宋"/>
                <w:color w:val="000000" w:themeColor="text1"/>
              </w:rPr>
            </w:pPr>
          </w:p>
        </w:tc>
      </w:tr>
    </w:tbl>
    <w:p>
      <w:pPr>
        <w:pStyle w:val="a10"/>
        <w:keepNext w:val="0"/>
        <w:keepLines w:val="0"/>
        <w:pageBreakBefore w:val="0"/>
        <w:widowControl w:val="0"/>
        <w:numPr>
          <w:ilvl w:val="4"/>
          <w:numId w:val="0"/>
        </w:numPr>
        <w:kinsoku/>
        <w:wordWrap/>
        <w:overflowPunct w:val="0"/>
        <w:topLinePunct w:val="0"/>
        <w:autoSpaceDE/>
        <w:autoSpaceDN/>
        <w:bidi w:val="0"/>
        <w:spacing w:before="156" w:after="156"/>
        <w:ind w:firstLine="640" w:firstLineChars="200"/>
        <w:rPr>
          <w:sz w:val="32"/>
          <w:szCs w:val="32"/>
        </w:rPr>
      </w:pPr>
      <w:r>
        <w:rPr>
          <w:rFonts w:hint="eastAsia"/>
          <w:sz w:val="32"/>
          <w:szCs w:val="32"/>
        </w:rPr>
        <w:t>A.4.2.3</w:t>
      </w:r>
      <w:r>
        <w:rPr>
          <w:rFonts w:hint="eastAsia"/>
          <w:sz w:val="32"/>
          <w:szCs w:val="32"/>
          <w:lang w:val="en-US" w:eastAsia="zh-CN"/>
        </w:rPr>
        <w:t xml:space="preserve">  </w:t>
      </w:r>
      <w:r>
        <w:rPr>
          <w:rFonts w:hint="eastAsia"/>
          <w:sz w:val="32"/>
          <w:szCs w:val="32"/>
        </w:rPr>
        <w:t>设备配备</w:t>
      </w:r>
    </w:p>
    <w:tbl>
      <w:tblPr>
        <w:tblStyle w:val="TableNormal"/>
        <w:tblW w:w="87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0" w:type="dxa"/>
          <w:bottom w:w="15" w:type="dxa"/>
          <w:right w:w="0" w:type="dxa"/>
        </w:tblCellMar>
      </w:tblPr>
      <w:tblGrid>
        <w:gridCol w:w="1546"/>
        <w:gridCol w:w="1800"/>
        <w:gridCol w:w="2287"/>
        <w:gridCol w:w="807"/>
        <w:gridCol w:w="2346"/>
      </w:tblGrid>
      <w:tr>
        <w:tblPrEx>
          <w:tblW w:w="87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0" w:type="dxa"/>
            <w:bottom w:w="15" w:type="dxa"/>
            <w:right w:w="0" w:type="dxa"/>
          </w:tblCellMar>
        </w:tblPrEx>
        <w:trPr>
          <w:trHeight w:val="532"/>
          <w:tblHeader/>
        </w:trPr>
        <w:tc>
          <w:tcPr>
            <w:tcW w:w="1546" w:type="dxa"/>
            <w:shd w:val="clear" w:color="auto" w:fill="auto"/>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szCs w:val="21"/>
              </w:rPr>
            </w:pPr>
            <w:r>
              <w:rPr>
                <w:rFonts w:ascii="黑体" w:eastAsia="黑体" w:hAnsi="黑体" w:hint="eastAsia"/>
                <w:szCs w:val="21"/>
              </w:rPr>
              <w:t>序号</w:t>
            </w:r>
          </w:p>
        </w:tc>
        <w:tc>
          <w:tcPr>
            <w:tcW w:w="1800" w:type="dxa"/>
            <w:shd w:val="clear" w:color="auto" w:fill="auto"/>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szCs w:val="21"/>
              </w:rPr>
            </w:pPr>
            <w:r>
              <w:rPr>
                <w:rFonts w:ascii="黑体" w:eastAsia="黑体" w:hAnsi="黑体" w:hint="eastAsia"/>
                <w:szCs w:val="21"/>
              </w:rPr>
              <w:t>设备</w:t>
            </w:r>
          </w:p>
        </w:tc>
        <w:tc>
          <w:tcPr>
            <w:tcW w:w="2287" w:type="dxa"/>
            <w:shd w:val="clear" w:color="auto" w:fill="auto"/>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szCs w:val="21"/>
              </w:rPr>
            </w:pPr>
            <w:r>
              <w:rPr>
                <w:rFonts w:ascii="黑体" w:eastAsia="黑体" w:hAnsi="黑体" w:hint="eastAsia"/>
                <w:szCs w:val="21"/>
              </w:rPr>
              <w:t>参考型号/规格</w:t>
            </w:r>
          </w:p>
        </w:tc>
        <w:tc>
          <w:tcPr>
            <w:tcW w:w="807" w:type="dxa"/>
            <w:shd w:val="clear" w:color="auto" w:fill="auto"/>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szCs w:val="21"/>
              </w:rPr>
            </w:pPr>
            <w:r>
              <w:rPr>
                <w:rFonts w:ascii="黑体" w:eastAsia="黑体" w:hAnsi="黑体" w:hint="eastAsia"/>
                <w:szCs w:val="21"/>
              </w:rPr>
              <w:t>数量</w:t>
            </w:r>
          </w:p>
        </w:tc>
        <w:tc>
          <w:tcPr>
            <w:tcW w:w="2346" w:type="dxa"/>
            <w:shd w:val="clear" w:color="auto" w:fill="auto"/>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szCs w:val="21"/>
              </w:rPr>
            </w:pPr>
            <w:r>
              <w:rPr>
                <w:rFonts w:ascii="黑体" w:eastAsia="黑体" w:hAnsi="黑体" w:hint="eastAsia"/>
                <w:szCs w:val="21"/>
              </w:rPr>
              <w:t>备注</w:t>
            </w:r>
          </w:p>
        </w:tc>
      </w:tr>
      <w:tr>
        <w:tblPrEx>
          <w:tblW w:w="8786" w:type="dxa"/>
          <w:tblInd w:w="0" w:type="dxa"/>
          <w:tblLayout w:type="fixed"/>
          <w:tblCellMar>
            <w:top w:w="15" w:type="dxa"/>
            <w:left w:w="0" w:type="dxa"/>
            <w:bottom w:w="15" w:type="dxa"/>
            <w:right w:w="0" w:type="dxa"/>
          </w:tblCellMar>
        </w:tblPrEx>
        <w:trPr>
          <w:trHeight w:val="434"/>
        </w:trPr>
        <w:tc>
          <w:tcPr>
            <w:tcW w:w="1546"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1</w:t>
            </w:r>
          </w:p>
        </w:tc>
        <w:tc>
          <w:tcPr>
            <w:tcW w:w="1800"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心肺复苏模拟人</w:t>
            </w:r>
          </w:p>
        </w:tc>
        <w:tc>
          <w:tcPr>
            <w:tcW w:w="2287"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符合考试要求</w:t>
            </w:r>
          </w:p>
        </w:tc>
        <w:tc>
          <w:tcPr>
            <w:tcW w:w="807"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1</w:t>
            </w:r>
          </w:p>
        </w:tc>
        <w:tc>
          <w:tcPr>
            <w:tcW w:w="2346"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必须配备（或电子化改造）</w:t>
            </w:r>
          </w:p>
        </w:tc>
      </w:tr>
      <w:tr>
        <w:tblPrEx>
          <w:tblW w:w="8786" w:type="dxa"/>
          <w:tblInd w:w="0" w:type="dxa"/>
          <w:tblLayout w:type="fixed"/>
          <w:tblCellMar>
            <w:top w:w="15" w:type="dxa"/>
            <w:left w:w="0" w:type="dxa"/>
            <w:bottom w:w="15" w:type="dxa"/>
            <w:right w:w="0" w:type="dxa"/>
          </w:tblCellMar>
        </w:tblPrEx>
        <w:trPr>
          <w:trHeight w:val="434"/>
        </w:trPr>
        <w:tc>
          <w:tcPr>
            <w:tcW w:w="1546"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2</w:t>
            </w:r>
          </w:p>
        </w:tc>
        <w:tc>
          <w:tcPr>
            <w:tcW w:w="1800"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急救箱</w:t>
            </w:r>
          </w:p>
        </w:tc>
        <w:tc>
          <w:tcPr>
            <w:tcW w:w="2287"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符合相关标准</w:t>
            </w:r>
          </w:p>
        </w:tc>
        <w:tc>
          <w:tcPr>
            <w:tcW w:w="807"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1</w:t>
            </w:r>
          </w:p>
        </w:tc>
        <w:tc>
          <w:tcPr>
            <w:tcW w:w="2346"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必须配备</w:t>
            </w:r>
          </w:p>
        </w:tc>
      </w:tr>
      <w:tr>
        <w:tblPrEx>
          <w:tblW w:w="8786" w:type="dxa"/>
          <w:tblInd w:w="0" w:type="dxa"/>
          <w:tblLayout w:type="fixed"/>
          <w:tblCellMar>
            <w:top w:w="15" w:type="dxa"/>
            <w:left w:w="0" w:type="dxa"/>
            <w:bottom w:w="15" w:type="dxa"/>
            <w:right w:w="0" w:type="dxa"/>
          </w:tblCellMar>
        </w:tblPrEx>
        <w:trPr>
          <w:trHeight w:val="450"/>
        </w:trPr>
        <w:tc>
          <w:tcPr>
            <w:tcW w:w="1546"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3</w:t>
            </w:r>
          </w:p>
        </w:tc>
        <w:tc>
          <w:tcPr>
            <w:tcW w:w="1800"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一次性纱布</w:t>
            </w:r>
          </w:p>
        </w:tc>
        <w:tc>
          <w:tcPr>
            <w:tcW w:w="2287"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符合相关标准</w:t>
            </w:r>
          </w:p>
        </w:tc>
        <w:tc>
          <w:tcPr>
            <w:tcW w:w="807"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若干</w:t>
            </w:r>
          </w:p>
        </w:tc>
        <w:tc>
          <w:tcPr>
            <w:tcW w:w="2346"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必须配备</w:t>
            </w:r>
          </w:p>
        </w:tc>
      </w:tr>
      <w:tr>
        <w:tblPrEx>
          <w:tblW w:w="8786" w:type="dxa"/>
          <w:tblInd w:w="0" w:type="dxa"/>
          <w:tblLayout w:type="fixed"/>
          <w:tblCellMar>
            <w:top w:w="15" w:type="dxa"/>
            <w:left w:w="0" w:type="dxa"/>
            <w:bottom w:w="15" w:type="dxa"/>
            <w:right w:w="0" w:type="dxa"/>
          </w:tblCellMar>
        </w:tblPrEx>
        <w:trPr>
          <w:trHeight w:val="434"/>
        </w:trPr>
        <w:tc>
          <w:tcPr>
            <w:tcW w:w="1546"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4</w:t>
            </w:r>
          </w:p>
        </w:tc>
        <w:tc>
          <w:tcPr>
            <w:tcW w:w="1800"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酒精</w:t>
            </w:r>
          </w:p>
        </w:tc>
        <w:tc>
          <w:tcPr>
            <w:tcW w:w="2287"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符合相关标准</w:t>
            </w:r>
          </w:p>
        </w:tc>
        <w:tc>
          <w:tcPr>
            <w:tcW w:w="807"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若干</w:t>
            </w:r>
          </w:p>
        </w:tc>
        <w:tc>
          <w:tcPr>
            <w:tcW w:w="2346"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必须配备</w:t>
            </w:r>
          </w:p>
        </w:tc>
      </w:tr>
      <w:tr>
        <w:tblPrEx>
          <w:tblW w:w="8786" w:type="dxa"/>
          <w:tblInd w:w="0" w:type="dxa"/>
          <w:tblLayout w:type="fixed"/>
          <w:tblCellMar>
            <w:top w:w="15" w:type="dxa"/>
            <w:left w:w="0" w:type="dxa"/>
            <w:bottom w:w="15" w:type="dxa"/>
            <w:right w:w="0" w:type="dxa"/>
          </w:tblCellMar>
        </w:tblPrEx>
        <w:trPr>
          <w:trHeight w:val="445"/>
        </w:trPr>
        <w:tc>
          <w:tcPr>
            <w:tcW w:w="1546"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5</w:t>
            </w:r>
          </w:p>
        </w:tc>
        <w:tc>
          <w:tcPr>
            <w:tcW w:w="1800"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棉签</w:t>
            </w:r>
          </w:p>
        </w:tc>
        <w:tc>
          <w:tcPr>
            <w:tcW w:w="2287"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符合相关标准</w:t>
            </w:r>
          </w:p>
        </w:tc>
        <w:tc>
          <w:tcPr>
            <w:tcW w:w="807"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若干</w:t>
            </w:r>
          </w:p>
        </w:tc>
        <w:tc>
          <w:tcPr>
            <w:tcW w:w="2346" w:type="dxa"/>
            <w:shd w:val="clear" w:color="auto" w:fill="auto"/>
            <w:vAlign w:val="center"/>
          </w:tcPr>
          <w:p>
            <w:pPr>
              <w:keepNext w:val="0"/>
              <w:keepLines w:val="0"/>
              <w:pageBreakBefore w:val="0"/>
              <w:widowControl w:val="0"/>
              <w:kinsoku/>
              <w:wordWrap/>
              <w:overflowPunct w:val="0"/>
              <w:topLinePunct w:val="0"/>
              <w:autoSpaceDE/>
              <w:autoSpaceDN/>
              <w:bidi w:val="0"/>
              <w:spacing w:line="240" w:lineRule="auto"/>
              <w:jc w:val="center"/>
              <w:rPr>
                <w:rFonts w:ascii="仿宋" w:eastAsia="仿宋" w:hAnsi="仿宋" w:cs="仿宋"/>
              </w:rPr>
            </w:pPr>
            <w:r>
              <w:rPr>
                <w:rFonts w:ascii="仿宋" w:eastAsia="仿宋" w:hAnsi="仿宋" w:cs="仿宋" w:hint="eastAsia"/>
              </w:rPr>
              <w:t>必须配备</w:t>
            </w:r>
          </w:p>
        </w:tc>
      </w:tr>
    </w:tbl>
    <w:p>
      <w:pPr>
        <w:pStyle w:val="a3"/>
        <w:keepNext w:val="0"/>
        <w:keepLines w:val="0"/>
        <w:pageBreakBefore w:val="0"/>
        <w:widowControl w:val="0"/>
        <w:kinsoku/>
        <w:wordWrap/>
        <w:overflowPunct w:val="0"/>
        <w:topLinePunct w:val="0"/>
        <w:autoSpaceDE/>
        <w:autoSpaceDN/>
        <w:bidi w:val="0"/>
        <w:ind w:firstLine="422"/>
        <w:rPr>
          <w:rFonts w:hAnsi="宋体"/>
          <w:b/>
          <w:bCs/>
          <w:color w:val="000000" w:themeColor="text1"/>
        </w:rPr>
      </w:pPr>
      <w:r>
        <w:rPr>
          <w:rFonts w:ascii="仿宋" w:eastAsia="仿宋" w:hAnsi="仿宋" w:cs="仿宋" w:hint="eastAsia"/>
          <w:b/>
          <w:bCs/>
          <w:kern w:val="2"/>
          <w:szCs w:val="21"/>
        </w:rPr>
        <w:t>注：此配备数量为每个考试工位配备标准。</w:t>
      </w:r>
    </w:p>
    <w:bookmarkEnd w:id="103"/>
    <w:p>
      <w:pPr>
        <w:pStyle w:val="a5"/>
        <w:keepNext w:val="0"/>
        <w:keepLines w:val="0"/>
        <w:pageBreakBefore w:val="0"/>
        <w:widowControl w:val="0"/>
        <w:numPr>
          <w:ilvl w:val="2"/>
          <w:numId w:val="0"/>
        </w:numPr>
        <w:kinsoku/>
        <w:wordWrap/>
        <w:overflowPunct w:val="0"/>
        <w:topLinePunct w:val="0"/>
        <w:autoSpaceDE/>
        <w:autoSpaceDN/>
        <w:bidi w:val="0"/>
        <w:adjustRightInd/>
        <w:snapToGrid/>
        <w:spacing w:beforeLines="0" w:afterLines="0"/>
        <w:ind w:firstLine="640" w:firstLineChars="200"/>
        <w:textAlignment w:val="auto"/>
        <w:rPr>
          <w:rFonts w:hAnsi="黑体" w:cs="黑体"/>
          <w:color w:val="000000" w:themeColor="text1"/>
          <w:sz w:val="32"/>
          <w:szCs w:val="32"/>
        </w:rPr>
      </w:pPr>
      <w:bookmarkStart w:id="105" w:name="_Toc466293887"/>
      <w:r>
        <w:rPr>
          <w:rFonts w:hAnsi="黑体" w:cs="黑体" w:hint="eastAsia"/>
          <w:color w:val="000000" w:themeColor="text1"/>
          <w:sz w:val="32"/>
          <w:szCs w:val="32"/>
        </w:rPr>
        <w:t>A.4.3</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创伤包扎（K42）</w:t>
      </w:r>
      <w:bookmarkEnd w:id="105"/>
    </w:p>
    <w:p>
      <w:pPr>
        <w:pStyle w:val="a5"/>
        <w:keepNext w:val="0"/>
        <w:keepLines w:val="0"/>
        <w:pageBreakBefore w:val="0"/>
        <w:widowControl w:val="0"/>
        <w:numPr>
          <w:ilvl w:val="2"/>
          <w:numId w:val="0"/>
        </w:numPr>
        <w:kinsoku/>
        <w:wordWrap/>
        <w:overflowPunct w:val="0"/>
        <w:topLinePunct w:val="0"/>
        <w:autoSpaceDE/>
        <w:autoSpaceDN/>
        <w:bidi w:val="0"/>
        <w:adjustRightInd/>
        <w:snapToGrid/>
        <w:spacing w:beforeLines="0" w:afterLines="0"/>
        <w:ind w:firstLine="640" w:firstLineChars="200"/>
        <w:textAlignment w:val="auto"/>
        <w:rPr>
          <w:rFonts w:hAnsi="黑体" w:cs="黑体"/>
          <w:color w:val="000000" w:themeColor="text1"/>
          <w:sz w:val="32"/>
          <w:szCs w:val="32"/>
        </w:rPr>
      </w:pPr>
      <w:bookmarkStart w:id="106" w:name="_Toc466293888"/>
      <w:r>
        <w:rPr>
          <w:rFonts w:hAnsi="黑体" w:cs="黑体" w:hint="eastAsia"/>
          <w:color w:val="000000" w:themeColor="text1"/>
          <w:sz w:val="32"/>
          <w:szCs w:val="32"/>
        </w:rPr>
        <w:t>A.4.3.1</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考核要点</w:t>
      </w:r>
      <w:bookmarkEnd w:id="106"/>
    </w:p>
    <w:p>
      <w:pPr>
        <w:pStyle w:val="a3"/>
        <w:keepNext w:val="0"/>
        <w:keepLines w:val="0"/>
        <w:pageBreakBefore w:val="0"/>
        <w:widowControl w:val="0"/>
        <w:kinsoku/>
        <w:wordWrap/>
        <w:overflowPunct w:val="0"/>
        <w:topLinePunct w:val="0"/>
        <w:autoSpaceDE/>
        <w:autoSpaceDN/>
        <w:bidi w:val="0"/>
        <w:adjustRightInd/>
        <w:snapToGrid/>
        <w:ind w:firstLine="640"/>
        <w:jc w:val="left"/>
        <w:textAlignment w:val="auto"/>
        <w:rPr>
          <w:rFonts w:ascii="仿宋" w:eastAsia="仿宋" w:hAnsi="仿宋" w:cs="仿宋"/>
          <w:color w:val="000000" w:themeColor="text1"/>
          <w:sz w:val="32"/>
          <w:szCs w:val="32"/>
        </w:rPr>
        <w:sectPr>
          <w:footerReference w:type="default" r:id="rId31"/>
          <w:type w:val="nextPage"/>
          <w:pgSz w:w="11906" w:h="16838"/>
          <w:pgMar w:top="2098" w:right="1531" w:bottom="1984" w:left="1531" w:header="851" w:footer="1531" w:gutter="0"/>
          <w:pgNumType w:fmt="decimal" w:start="330"/>
          <w:cols w:num="1" w:space="425"/>
          <w:titlePg w:val="0"/>
          <w:docGrid w:type="lines" w:linePitch="312" w:charSpace="0"/>
        </w:sectPr>
      </w:pPr>
    </w:p>
    <w:p>
      <w:pPr>
        <w:pStyle w:val="a3"/>
        <w:keepNext w:val="0"/>
        <w:keepLines w:val="0"/>
        <w:pageBreakBefore w:val="0"/>
        <w:widowControl w:val="0"/>
        <w:kinsoku/>
        <w:wordWrap/>
        <w:overflowPunct w:val="0"/>
        <w:topLinePunct w:val="0"/>
        <w:autoSpaceDE/>
        <w:autoSpaceDN/>
        <w:bidi w:val="0"/>
        <w:adjustRightInd/>
        <w:snapToGrid/>
        <w:ind w:firstLine="640"/>
        <w:jc w:val="left"/>
        <w:textAlignment w:val="auto"/>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主要考查考生是否掌握创伤包扎的操作技能，及时对受创伤人员的创伤部位进行正确的包扎处理。</w:t>
      </w:r>
    </w:p>
    <w:p>
      <w:pPr>
        <w:pStyle w:val="a3"/>
        <w:keepNext w:val="0"/>
        <w:keepLines w:val="0"/>
        <w:pageBreakBefore w:val="0"/>
        <w:widowControl w:val="0"/>
        <w:kinsoku/>
        <w:wordWrap/>
        <w:overflowPunct w:val="0"/>
        <w:topLinePunct w:val="0"/>
        <w:autoSpaceDE/>
        <w:autoSpaceDN/>
        <w:bidi w:val="0"/>
        <w:ind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操作前的准备。主要考查考生对伤情的判断。</w:t>
      </w:r>
    </w:p>
    <w:p>
      <w:pPr>
        <w:pStyle w:val="a3"/>
        <w:keepNext w:val="0"/>
        <w:keepLines w:val="0"/>
        <w:pageBreakBefore w:val="0"/>
        <w:widowControl w:val="0"/>
        <w:kinsoku/>
        <w:wordWrap/>
        <w:overflowPunct w:val="0"/>
        <w:topLinePunct w:val="0"/>
        <w:autoSpaceDE/>
        <w:autoSpaceDN/>
        <w:bidi w:val="0"/>
        <w:ind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创口止血包扎。主要考查考生是否有创口止血技能。</w:t>
      </w:r>
    </w:p>
    <w:p>
      <w:pPr>
        <w:pStyle w:val="a3"/>
        <w:keepNext w:val="0"/>
        <w:keepLines w:val="0"/>
        <w:pageBreakBefore w:val="0"/>
        <w:widowControl w:val="0"/>
        <w:kinsoku/>
        <w:wordWrap/>
        <w:overflowPunct w:val="0"/>
        <w:topLinePunct w:val="0"/>
        <w:autoSpaceDE/>
        <w:autoSpaceDN/>
        <w:bidi w:val="0"/>
        <w:ind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固定和搬运。主要考查考生是否有固定和搬运技能。</w:t>
      </w:r>
    </w:p>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640" w:firstLineChars="200"/>
        <w:rPr>
          <w:rFonts w:hAnsi="黑体" w:cs="黑体"/>
          <w:color w:val="000000" w:themeColor="text1"/>
          <w:sz w:val="32"/>
          <w:szCs w:val="32"/>
        </w:rPr>
      </w:pPr>
      <w:bookmarkStart w:id="107" w:name="_Toc466293889"/>
      <w:r>
        <w:rPr>
          <w:rFonts w:hAnsi="黑体" w:cs="黑体" w:hint="eastAsia"/>
          <w:color w:val="000000" w:themeColor="text1"/>
          <w:sz w:val="32"/>
          <w:szCs w:val="32"/>
        </w:rPr>
        <w:t>A.4.3.2</w:t>
      </w:r>
      <w:r>
        <w:rPr>
          <w:rFonts w:hAnsi="黑体" w:cs="黑体" w:hint="eastAsia"/>
          <w:color w:val="000000" w:themeColor="text1"/>
          <w:sz w:val="32"/>
          <w:szCs w:val="32"/>
          <w:lang w:val="en-US" w:eastAsia="zh-CN"/>
        </w:rPr>
        <w:t xml:space="preserve">  </w:t>
      </w:r>
      <w:r>
        <w:rPr>
          <w:rFonts w:hAnsi="黑体" w:cs="黑体" w:hint="eastAsia"/>
          <w:color w:val="000000" w:themeColor="text1"/>
          <w:sz w:val="32"/>
          <w:szCs w:val="32"/>
        </w:rPr>
        <w:t>评分标准</w:t>
      </w:r>
    </w:p>
    <w:tbl>
      <w:tblPr>
        <w:tblStyle w:val="TableNormal"/>
        <w:tblW w:w="8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63"/>
        <w:gridCol w:w="3127"/>
        <w:gridCol w:w="791"/>
        <w:gridCol w:w="3832"/>
      </w:tblGrid>
      <w:tr>
        <w:tblPrEx>
          <w:tblW w:w="8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34"/>
          <w:tblHeader/>
          <w:jc w:val="center"/>
        </w:trPr>
        <w:tc>
          <w:tcPr>
            <w:tcW w:w="1063" w:type="dxa"/>
            <w:noWrap/>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snapToGrid w:val="0"/>
                <w:color w:val="000000"/>
                <w:kern w:val="0"/>
                <w:lang w:eastAsia="en-US"/>
              </w:rPr>
            </w:pPr>
            <w:bookmarkEnd w:id="107"/>
            <w:bookmarkStart w:id="108" w:name="_Toc466293890"/>
            <w:r>
              <w:rPr>
                <w:rFonts w:ascii="黑体" w:eastAsia="黑体" w:hAnsi="黑体" w:cs="黑体" w:hint="eastAsia"/>
                <w:color w:val="000000"/>
                <w:kern w:val="0"/>
              </w:rPr>
              <w:t>项目</w:t>
            </w:r>
          </w:p>
        </w:tc>
        <w:tc>
          <w:tcPr>
            <w:tcW w:w="3127" w:type="dxa"/>
            <w:noWrap/>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snapToGrid w:val="0"/>
                <w:color w:val="000000"/>
                <w:kern w:val="0"/>
                <w:lang w:eastAsia="en-US"/>
              </w:rPr>
            </w:pPr>
            <w:r>
              <w:rPr>
                <w:rFonts w:ascii="黑体" w:eastAsia="黑体" w:hAnsi="黑体" w:cs="黑体" w:hint="eastAsia"/>
                <w:color w:val="000000"/>
                <w:kern w:val="0"/>
              </w:rPr>
              <w:t>内容</w:t>
            </w:r>
          </w:p>
        </w:tc>
        <w:tc>
          <w:tcPr>
            <w:tcW w:w="791" w:type="dxa"/>
            <w:noWrap/>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snapToGrid w:val="0"/>
                <w:color w:val="000000"/>
                <w:kern w:val="0"/>
                <w:lang w:eastAsia="en-US"/>
              </w:rPr>
            </w:pPr>
            <w:r>
              <w:rPr>
                <w:rFonts w:ascii="黑体" w:eastAsia="黑体" w:hAnsi="黑体" w:cs="黑体" w:hint="eastAsia"/>
                <w:color w:val="000000"/>
                <w:kern w:val="0"/>
              </w:rPr>
              <w:t>分值</w:t>
            </w:r>
          </w:p>
        </w:tc>
        <w:tc>
          <w:tcPr>
            <w:tcW w:w="3832" w:type="dxa"/>
            <w:noWrap/>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snapToGrid w:val="0"/>
                <w:color w:val="000000"/>
                <w:kern w:val="0"/>
                <w:lang w:eastAsia="en-US"/>
              </w:rPr>
            </w:pPr>
            <w:r>
              <w:rPr>
                <w:rFonts w:ascii="黑体" w:eastAsia="黑体" w:hAnsi="黑体" w:cs="黑体" w:hint="eastAsia"/>
                <w:color w:val="000000"/>
                <w:kern w:val="0"/>
              </w:rPr>
              <w:t>评 分 标 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r>
              <w:rPr>
                <w:rFonts w:ascii="仿宋" w:eastAsia="仿宋" w:hAnsi="仿宋" w:cs="仿宋" w:hint="eastAsia"/>
                <w:color w:val="000000"/>
                <w:lang w:val="zh-CN"/>
              </w:rPr>
              <w:t>操作前准备</w:t>
            </w:r>
          </w:p>
        </w:tc>
        <w:tc>
          <w:tcPr>
            <w:tcW w:w="3127"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rPr>
              <w:t>向伤者表明身份；安慰伤者，告知伤者不能随意活动，告知伤者配合检查；检查伤者头面部、胸腹部及四肢；报告：描述清楚伤者伤情；根据所选题目选择所需物品</w:t>
            </w:r>
          </w:p>
        </w:tc>
        <w:tc>
          <w:tcPr>
            <w:tcW w:w="791"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r>
              <w:rPr>
                <w:rFonts w:ascii="仿宋" w:eastAsia="仿宋" w:hAnsi="仿宋" w:cs="仿宋" w:hint="eastAsia"/>
                <w:color w:val="000000"/>
                <w:lang w:bidi="en-US"/>
              </w:rPr>
              <w:t>15</w:t>
            </w: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1.未向伤者表明身份</w:t>
            </w:r>
            <w:r>
              <w:rPr>
                <w:rFonts w:ascii="仿宋" w:eastAsia="仿宋" w:hAnsi="仿宋" w:cs="仿宋" w:hint="eastAsia"/>
                <w:color w:val="000000"/>
              </w:rPr>
              <w:t>的，扣2分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2.未</w:t>
            </w:r>
            <w:r>
              <w:rPr>
                <w:rFonts w:ascii="仿宋" w:eastAsia="仿宋" w:hAnsi="仿宋" w:cs="仿宋" w:hint="eastAsia"/>
                <w:color w:val="000000"/>
              </w:rPr>
              <w:t>安慰伤者，告知伤者不能随意活动，配合检查的，每项扣1分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3.未检查伤者头面部、胸腹部及四肢，每项</w:t>
            </w:r>
            <w:r>
              <w:rPr>
                <w:rFonts w:ascii="仿宋" w:eastAsia="仿宋" w:hAnsi="仿宋" w:cs="仿宋" w:hint="eastAsia"/>
                <w:color w:val="000000"/>
              </w:rPr>
              <w:t>扣1分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4.未</w:t>
            </w:r>
            <w:r>
              <w:rPr>
                <w:rFonts w:ascii="仿宋" w:eastAsia="仿宋" w:hAnsi="仿宋" w:cs="仿宋" w:hint="eastAsia"/>
                <w:color w:val="000000"/>
              </w:rPr>
              <w:t>描述清楚</w:t>
            </w:r>
            <w:r>
              <w:rPr>
                <w:rFonts w:ascii="仿宋" w:eastAsia="仿宋" w:hAnsi="仿宋" w:cs="仿宋" w:hint="eastAsia"/>
                <w:color w:val="000000"/>
                <w:lang w:val="zh-CN"/>
              </w:rPr>
              <w:t>伤情</w:t>
            </w:r>
            <w:r>
              <w:rPr>
                <w:rFonts w:ascii="仿宋" w:eastAsia="仿宋" w:hAnsi="仿宋" w:cs="仿宋" w:hint="eastAsia"/>
                <w:color w:val="000000"/>
              </w:rPr>
              <w:t>的，扣2分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5.未正确选择所需物品的</w:t>
            </w:r>
            <w:r>
              <w:rPr>
                <w:rFonts w:ascii="仿宋" w:eastAsia="仿宋" w:hAnsi="仿宋" w:cs="仿宋" w:hint="eastAsia"/>
                <w:color w:val="000000"/>
              </w:rPr>
              <w:t>，扣5分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r>
              <w:rPr>
                <w:rFonts w:ascii="仿宋" w:eastAsia="仿宋" w:hAnsi="仿宋" w:cs="仿宋" w:hint="eastAsia"/>
                <w:color w:val="000000"/>
                <w:lang w:val="zh-CN"/>
              </w:rPr>
              <w:t>创口处理</w:t>
            </w:r>
          </w:p>
        </w:tc>
        <w:tc>
          <w:tcPr>
            <w:tcW w:w="3127"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rPr>
              <w:t>伤口冲洗、消毒与清创处理；</w:t>
            </w:r>
            <w:r>
              <w:rPr>
                <w:rFonts w:ascii="仿宋" w:eastAsia="仿宋" w:hAnsi="仿宋" w:cs="仿宋" w:hint="eastAsia"/>
                <w:color w:val="000000"/>
                <w:lang w:val="zh-CN"/>
              </w:rPr>
              <w:t>使用无菌纱布覆盖伤口；</w:t>
            </w:r>
            <w:r>
              <w:rPr>
                <w:rFonts w:ascii="仿宋" w:eastAsia="仿宋" w:hAnsi="仿宋" w:cs="仿宋" w:hint="eastAsia"/>
                <w:color w:val="000000"/>
                <w:lang w:bidi="en-US"/>
              </w:rPr>
              <w:t>纱布、绷带固定方法正确；</w:t>
            </w:r>
            <w:r>
              <w:rPr>
                <w:rFonts w:ascii="仿宋" w:eastAsia="仿宋" w:hAnsi="仿宋" w:cs="仿宋" w:hint="eastAsia"/>
                <w:color w:val="000000"/>
              </w:rPr>
              <w:t>包扎时纱布压迫位置正确；螺旋反折手法或8字型包扎方法正确；包扎纱布打结方法正确</w:t>
            </w:r>
          </w:p>
        </w:tc>
        <w:tc>
          <w:tcPr>
            <w:tcW w:w="791"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r>
              <w:rPr>
                <w:rFonts w:ascii="仿宋" w:eastAsia="仿宋" w:hAnsi="仿宋" w:cs="仿宋" w:hint="eastAsia"/>
                <w:color w:val="000000"/>
                <w:lang w:bidi="en-US"/>
              </w:rPr>
              <w:t>49</w:t>
            </w: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1.未进行冲洗消毒清创处理</w:t>
            </w:r>
            <w:r>
              <w:rPr>
                <w:rFonts w:ascii="仿宋" w:eastAsia="仿宋" w:hAnsi="仿宋" w:cs="仿宋" w:hint="eastAsia"/>
                <w:color w:val="000000"/>
              </w:rPr>
              <w:t>的，扣9分</w:t>
            </w:r>
          </w:p>
        </w:tc>
      </w:tr>
      <w:tr>
        <w:tblPrEx>
          <w:tblW w:w="8813" w:type="dxa"/>
          <w:jc w:val="center"/>
          <w:tblLayout w:type="fixed"/>
          <w:tblCellMar>
            <w:top w:w="0" w:type="dxa"/>
            <w:left w:w="108" w:type="dxa"/>
            <w:bottom w:w="0" w:type="dxa"/>
            <w:right w:w="108" w:type="dxa"/>
          </w:tblCellMar>
        </w:tblPrEx>
        <w:trPr>
          <w:trHeight w:val="440"/>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lang w:val="zh-CN"/>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2.未使用无菌纱布覆盖伤口</w:t>
            </w:r>
            <w:r>
              <w:rPr>
                <w:rFonts w:ascii="仿宋" w:eastAsia="仿宋" w:hAnsi="仿宋" w:cs="仿宋" w:hint="eastAsia"/>
                <w:color w:val="000000"/>
              </w:rPr>
              <w:t>的，扣8分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lang w:bidi="en-US"/>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lang w:val="zh-CN"/>
              </w:rPr>
              <w:t>3.纱布覆盖伤口位置不正确</w:t>
            </w:r>
            <w:r>
              <w:rPr>
                <w:rFonts w:ascii="仿宋" w:eastAsia="仿宋" w:hAnsi="仿宋" w:cs="仿宋" w:hint="eastAsia"/>
                <w:color w:val="000000" w:themeColor="text1"/>
              </w:rPr>
              <w:t>的，扣8分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lang w:bidi="en-US"/>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.纱布</w:t>
            </w:r>
            <w:r>
              <w:rPr>
                <w:rFonts w:ascii="仿宋" w:eastAsia="仿宋" w:hAnsi="仿宋" w:cs="仿宋" w:hint="eastAsia"/>
                <w:color w:val="000000" w:themeColor="text1"/>
              </w:rPr>
              <w:t>压迫位置</w:t>
            </w:r>
            <w:r>
              <w:rPr>
                <w:rFonts w:ascii="仿宋" w:eastAsia="仿宋" w:hAnsi="仿宋" w:cs="仿宋" w:hint="eastAsia"/>
                <w:color w:val="000000" w:themeColor="text1"/>
                <w:lang w:val="zh-CN"/>
              </w:rPr>
              <w:t>不正确</w:t>
            </w:r>
            <w:r>
              <w:rPr>
                <w:rFonts w:ascii="仿宋" w:eastAsia="仿宋" w:hAnsi="仿宋" w:cs="仿宋" w:hint="eastAsia"/>
                <w:color w:val="000000" w:themeColor="text1"/>
              </w:rPr>
              <w:t>的，扣8分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themeColor="text1"/>
              </w:rPr>
            </w:pPr>
            <w:r>
              <w:rPr>
                <w:rFonts w:ascii="仿宋" w:eastAsia="仿宋" w:hAnsi="仿宋" w:cs="仿宋" w:hint="eastAsia"/>
                <w:color w:val="000000" w:themeColor="text1"/>
              </w:rPr>
              <w:t>5.关节部位未使用8字型包扎方法的，扣8分；粗细不均的部位未使用螺旋反折手法的，扣8分</w:t>
            </w:r>
          </w:p>
        </w:tc>
      </w:tr>
      <w:tr>
        <w:tblPrEx>
          <w:tblW w:w="8813" w:type="dxa"/>
          <w:jc w:val="center"/>
          <w:tblLayout w:type="fixed"/>
          <w:tblCellMar>
            <w:top w:w="0" w:type="dxa"/>
            <w:left w:w="108" w:type="dxa"/>
            <w:bottom w:w="0" w:type="dxa"/>
            <w:right w:w="108" w:type="dxa"/>
          </w:tblCellMar>
        </w:tblPrEx>
        <w:trPr>
          <w:trHeight w:val="438"/>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rPr>
              <w:t>6</w:t>
            </w:r>
            <w:r>
              <w:rPr>
                <w:rFonts w:ascii="仿宋" w:eastAsia="仿宋" w:hAnsi="仿宋" w:cs="仿宋" w:hint="eastAsia"/>
                <w:color w:val="000000"/>
                <w:lang w:val="zh-CN"/>
              </w:rPr>
              <w:t>.包扎纱布打结方法不正确</w:t>
            </w:r>
            <w:r>
              <w:rPr>
                <w:rFonts w:ascii="仿宋" w:eastAsia="仿宋" w:hAnsi="仿宋" w:cs="仿宋" w:hint="eastAsia"/>
                <w:color w:val="000000"/>
              </w:rPr>
              <w:t>的，扣8分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r>
              <w:rPr>
                <w:rFonts w:ascii="仿宋" w:eastAsia="仿宋" w:hAnsi="仿宋" w:cs="仿宋" w:hint="eastAsia"/>
                <w:color w:val="000000"/>
                <w:lang w:val="zh-CN"/>
              </w:rPr>
              <w:t>固定</w:t>
            </w:r>
          </w:p>
        </w:tc>
        <w:tc>
          <w:tcPr>
            <w:tcW w:w="3127"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rPr>
              <w:t>正确叙述固定的相关注意点；固定时伤者体位正确；固定包扎方法正确、迅速</w:t>
            </w:r>
          </w:p>
        </w:tc>
        <w:tc>
          <w:tcPr>
            <w:tcW w:w="791"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bidi="en-US"/>
              </w:rPr>
            </w:pPr>
            <w:r>
              <w:rPr>
                <w:rFonts w:ascii="仿宋" w:eastAsia="仿宋" w:hAnsi="仿宋" w:cs="仿宋" w:hint="eastAsia"/>
                <w:color w:val="000000"/>
                <w:lang w:bidi="en-US"/>
              </w:rPr>
              <w:t>18</w:t>
            </w: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1.述说固定的相关注意点不正确</w:t>
            </w:r>
            <w:r>
              <w:rPr>
                <w:rFonts w:ascii="仿宋" w:eastAsia="仿宋" w:hAnsi="仿宋" w:cs="仿宋" w:hint="eastAsia"/>
                <w:color w:val="000000"/>
              </w:rPr>
              <w:t>的</w:t>
            </w:r>
            <w:r>
              <w:rPr>
                <w:rFonts w:ascii="仿宋" w:eastAsia="仿宋" w:hAnsi="仿宋" w:cs="仿宋" w:hint="eastAsia"/>
                <w:color w:val="000000"/>
                <w:lang w:val="zh-CN"/>
              </w:rPr>
              <w:t>，</w:t>
            </w:r>
            <w:r>
              <w:rPr>
                <w:rFonts w:ascii="仿宋" w:eastAsia="仿宋" w:hAnsi="仿宋" w:cs="仿宋" w:hint="eastAsia"/>
                <w:color w:val="000000"/>
              </w:rPr>
              <w:t>扣4分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2.固定时伤者体位不正确</w:t>
            </w:r>
            <w:r>
              <w:rPr>
                <w:rFonts w:ascii="仿宋" w:eastAsia="仿宋" w:hAnsi="仿宋" w:cs="仿宋" w:hint="eastAsia"/>
                <w:color w:val="000000"/>
              </w:rPr>
              <w:t>的，扣4分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bidi="en-US"/>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rPr>
              <w:t>3.</w:t>
            </w:r>
            <w:r>
              <w:rPr>
                <w:rFonts w:ascii="仿宋" w:eastAsia="仿宋" w:hAnsi="仿宋" w:cs="仿宋" w:hint="eastAsia"/>
                <w:color w:val="000000"/>
                <w:lang w:val="zh-CN"/>
              </w:rPr>
              <w:t>固定包扎方法不正确</w:t>
            </w:r>
            <w:r>
              <w:rPr>
                <w:rFonts w:ascii="仿宋" w:eastAsia="仿宋" w:hAnsi="仿宋" w:cs="仿宋" w:hint="eastAsia"/>
                <w:color w:val="000000"/>
              </w:rPr>
              <w:t>的，扣10分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lang w:val="zh-CN"/>
              </w:rPr>
            </w:pPr>
            <w:r>
              <w:rPr>
                <w:rFonts w:ascii="仿宋" w:eastAsia="仿宋" w:hAnsi="仿宋" w:cs="仿宋" w:hint="eastAsia"/>
                <w:color w:val="000000"/>
                <w:lang w:val="zh-CN"/>
              </w:rPr>
              <w:t>搬运</w:t>
            </w:r>
          </w:p>
        </w:tc>
        <w:tc>
          <w:tcPr>
            <w:tcW w:w="3127" w:type="dxa"/>
            <w:noWrap/>
            <w:vAlign w:val="center"/>
          </w:tcPr>
          <w:p>
            <w:pPr>
              <w:keepNext w:val="0"/>
              <w:keepLines w:val="0"/>
              <w:pageBreakBefore w:val="0"/>
              <w:widowControl w:val="0"/>
              <w:kinsoku/>
              <w:wordWrap/>
              <w:overflowPunct w:val="0"/>
              <w:topLinePunct w:val="0"/>
              <w:autoSpaceDE/>
              <w:autoSpaceDN/>
              <w:bidi w:val="0"/>
              <w:adjustRightInd/>
              <w:spacing w:after="0" w:line="240" w:lineRule="auto"/>
              <w:jc w:val="left"/>
              <w:rPr>
                <w:rFonts w:ascii="仿宋" w:eastAsia="仿宋" w:hAnsi="仿宋" w:cs="仿宋"/>
                <w:color w:val="000000"/>
              </w:rPr>
            </w:pPr>
          </w:p>
        </w:tc>
        <w:tc>
          <w:tcPr>
            <w:tcW w:w="791"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r>
              <w:rPr>
                <w:rFonts w:ascii="仿宋" w:eastAsia="仿宋" w:hAnsi="仿宋" w:cs="仿宋" w:hint="eastAsia"/>
                <w:color w:val="000000"/>
                <w:lang w:val="zh-CN" w:bidi="en-US"/>
              </w:rPr>
              <w:t>15</w:t>
            </w: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rPr>
              <w:t>1.</w:t>
            </w:r>
            <w:r>
              <w:rPr>
                <w:rFonts w:ascii="仿宋" w:eastAsia="仿宋" w:hAnsi="仿宋" w:cs="仿宋" w:hint="eastAsia"/>
                <w:color w:val="000000"/>
                <w:lang w:val="zh-CN"/>
              </w:rPr>
              <w:t>伤者放置位置不正确</w:t>
            </w:r>
            <w:r>
              <w:rPr>
                <w:rFonts w:ascii="仿宋" w:eastAsia="仿宋" w:hAnsi="仿宋" w:cs="仿宋" w:hint="eastAsia"/>
                <w:color w:val="000000"/>
              </w:rPr>
              <w:t>的，扣3分</w:t>
            </w:r>
          </w:p>
        </w:tc>
      </w:tr>
    </w:tbl>
    <w:p>
      <w:pPr>
        <w:sectPr>
          <w:footerReference w:type="default" r:id="rId32"/>
          <w:type w:val="nextPage"/>
          <w:pgSz w:w="11906" w:h="16838"/>
          <w:pgMar w:top="2098" w:right="1531" w:bottom="1984" w:left="1531" w:header="851" w:footer="1531" w:gutter="0"/>
          <w:pgNumType w:fmt="decimal" w:start="331"/>
          <w:cols w:num="1" w:space="425"/>
          <w:titlePg w:val="0"/>
          <w:docGrid w:type="lines" w:linePitch="312" w:charSpace="0"/>
        </w:sectPr>
      </w:pPr>
    </w:p>
    <w:tbl>
      <w:tblPr>
        <w:tblStyle w:val="TableNormal"/>
        <w:tblW w:w="8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63"/>
        <w:gridCol w:w="3127"/>
        <w:gridCol w:w="791"/>
        <w:gridCol w:w="3832"/>
      </w:tblGrid>
      <w:tr>
        <w:tblPrEx>
          <w:tblW w:w="8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62"/>
          <w:jc w:val="center"/>
        </w:trPr>
        <w:tc>
          <w:tcPr>
            <w:tcW w:w="1063" w:type="dxa"/>
            <w:vMerge w:val="restart"/>
            <w:noWrap/>
            <w:vAlign w:val="center"/>
          </w:tcPr>
          <w:p/>
        </w:tc>
        <w:tc>
          <w:tcPr>
            <w:tcW w:w="3127" w:type="dxa"/>
            <w:vMerge w:val="restart"/>
            <w:noWrap/>
            <w:vAlign w:val="center"/>
          </w:tcPr>
          <w:p>
            <w:pPr>
              <w:keepNext w:val="0"/>
              <w:keepLines w:val="0"/>
              <w:pageBreakBefore w:val="0"/>
              <w:widowControl w:val="0"/>
              <w:kinsoku/>
              <w:wordWrap/>
              <w:overflowPunct w:val="0"/>
              <w:topLinePunct w:val="0"/>
              <w:autoSpaceDE/>
              <w:autoSpaceDN/>
              <w:bidi w:val="0"/>
              <w:adjustRightInd/>
              <w:spacing w:before="0" w:line="240" w:lineRule="auto"/>
              <w:jc w:val="left"/>
              <w:rPr>
                <w:rFonts w:ascii="仿宋" w:eastAsia="仿宋" w:hAnsi="仿宋" w:cs="仿宋"/>
                <w:color w:val="000000"/>
              </w:rPr>
            </w:pPr>
            <w:r>
              <w:rPr>
                <w:rFonts w:ascii="仿宋" w:eastAsia="仿宋" w:hAnsi="仿宋" w:cs="仿宋" w:hint="eastAsia"/>
                <w:color w:val="000000"/>
              </w:rPr>
              <w:t>对搬运的相关注意点述说正确；包括伤者放置位置、担架置入方式、固定带固定、伤者询问及检查确认、搬运时伤者头部朝向等　5项内容</w:t>
            </w:r>
          </w:p>
        </w:tc>
        <w:tc>
          <w:tcPr>
            <w:tcW w:w="791" w:type="dxa"/>
            <w:vMerge w:val="restart"/>
            <w:noWrap/>
            <w:vAlign w:val="center"/>
          </w:tcPr>
          <w:p/>
        </w:tc>
        <w:tc>
          <w:tcPr>
            <w:tcW w:w="3832" w:type="dxa"/>
            <w:noWrap/>
            <w:vAlign w:val="center"/>
          </w:tcP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2.担架置入方式不正确</w:t>
            </w:r>
            <w:r>
              <w:rPr>
                <w:rFonts w:ascii="仿宋" w:eastAsia="仿宋" w:hAnsi="仿宋" w:cs="仿宋" w:hint="eastAsia"/>
                <w:color w:val="000000"/>
              </w:rPr>
              <w:t>的</w:t>
            </w:r>
            <w:r>
              <w:rPr>
                <w:rFonts w:ascii="仿宋" w:eastAsia="仿宋" w:hAnsi="仿宋" w:cs="仿宋" w:hint="eastAsia"/>
                <w:color w:val="000000"/>
                <w:lang w:val="zh-CN"/>
              </w:rPr>
              <w:t>，</w:t>
            </w:r>
            <w:r>
              <w:rPr>
                <w:rFonts w:ascii="仿宋" w:eastAsia="仿宋" w:hAnsi="仿宋" w:cs="仿宋" w:hint="eastAsia"/>
                <w:color w:val="000000"/>
              </w:rPr>
              <w:t>扣3分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3.未使用固定带固定</w:t>
            </w:r>
            <w:r>
              <w:rPr>
                <w:rFonts w:ascii="仿宋" w:eastAsia="仿宋" w:hAnsi="仿宋" w:cs="仿宋" w:hint="eastAsia"/>
                <w:color w:val="000000"/>
              </w:rPr>
              <w:t>的，扣3分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4.搬运中医生看不到伤者面部</w:t>
            </w:r>
            <w:r>
              <w:rPr>
                <w:rFonts w:ascii="仿宋" w:eastAsia="仿宋" w:hAnsi="仿宋" w:cs="仿宋" w:hint="eastAsia"/>
                <w:color w:val="000000"/>
              </w:rPr>
              <w:t>的，扣3分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5.搬运中未询问或检查伤者情况</w:t>
            </w:r>
            <w:r>
              <w:rPr>
                <w:rFonts w:ascii="仿宋" w:eastAsia="仿宋" w:hAnsi="仿宋" w:cs="仿宋" w:hint="eastAsia"/>
                <w:color w:val="000000"/>
              </w:rPr>
              <w:t>的，扣3分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r>
              <w:rPr>
                <w:rFonts w:ascii="仿宋" w:eastAsia="仿宋" w:hAnsi="仿宋" w:cs="仿宋" w:hint="eastAsia"/>
                <w:color w:val="000000"/>
              </w:rPr>
              <w:t>综合评价</w:t>
            </w:r>
          </w:p>
        </w:tc>
        <w:tc>
          <w:tcPr>
            <w:tcW w:w="3127"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rPr>
              <w:t>沉着冷静、手法正确熟练；体贴伤者、手法轻柔、准确，避免再次损伤</w:t>
            </w:r>
          </w:p>
        </w:tc>
        <w:tc>
          <w:tcPr>
            <w:tcW w:w="791" w:type="dxa"/>
            <w:vMerge w:val="restart"/>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r>
              <w:rPr>
                <w:rFonts w:ascii="仿宋" w:eastAsia="仿宋" w:hAnsi="仿宋" w:cs="仿宋" w:hint="eastAsia"/>
                <w:color w:val="000000"/>
              </w:rPr>
              <w:t>3</w:t>
            </w: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1.操作不熟练</w:t>
            </w:r>
            <w:r>
              <w:rPr>
                <w:rFonts w:ascii="仿宋" w:eastAsia="仿宋" w:hAnsi="仿宋" w:cs="仿宋" w:hint="eastAsia"/>
                <w:color w:val="000000"/>
              </w:rPr>
              <w:t>的，扣1分</w:t>
            </w:r>
          </w:p>
        </w:tc>
      </w:tr>
      <w:tr>
        <w:tblPrEx>
          <w:tblW w:w="8813" w:type="dxa"/>
          <w:jc w:val="center"/>
          <w:tblLayout w:type="fixed"/>
          <w:tblCellMar>
            <w:top w:w="0" w:type="dxa"/>
            <w:left w:w="108" w:type="dxa"/>
            <w:bottom w:w="0" w:type="dxa"/>
            <w:right w:w="108" w:type="dxa"/>
          </w:tblCellMar>
        </w:tblPrEx>
        <w:trPr>
          <w:trHeight w:val="462"/>
          <w:jc w:val="center"/>
        </w:trPr>
        <w:tc>
          <w:tcPr>
            <w:tcW w:w="1063"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p>
        </w:tc>
        <w:tc>
          <w:tcPr>
            <w:tcW w:w="3127"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p>
        </w:tc>
        <w:tc>
          <w:tcPr>
            <w:tcW w:w="791" w:type="dxa"/>
            <w:vMerge/>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仿宋" w:eastAsia="仿宋" w:hAnsi="仿宋" w:cs="仿宋"/>
                <w:color w:val="000000"/>
              </w:rPr>
            </w:pP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left"/>
              <w:rPr>
                <w:rFonts w:ascii="仿宋" w:eastAsia="仿宋" w:hAnsi="仿宋" w:cs="仿宋"/>
                <w:color w:val="000000"/>
              </w:rPr>
            </w:pPr>
            <w:r>
              <w:rPr>
                <w:rFonts w:ascii="仿宋" w:eastAsia="仿宋" w:hAnsi="仿宋" w:cs="仿宋" w:hint="eastAsia"/>
                <w:color w:val="000000"/>
                <w:lang w:val="zh-CN"/>
              </w:rPr>
              <w:t>2.手法不轻柔，造成伤者二次伤害</w:t>
            </w:r>
            <w:r>
              <w:rPr>
                <w:rFonts w:ascii="仿宋" w:eastAsia="仿宋" w:hAnsi="仿宋" w:cs="仿宋" w:hint="eastAsia"/>
                <w:color w:val="000000"/>
              </w:rPr>
              <w:t>的，扣2分</w:t>
            </w:r>
          </w:p>
        </w:tc>
      </w:tr>
      <w:tr>
        <w:tblPrEx>
          <w:tblW w:w="8813" w:type="dxa"/>
          <w:jc w:val="center"/>
          <w:tblLayout w:type="fixed"/>
          <w:tblCellMar>
            <w:top w:w="0" w:type="dxa"/>
            <w:left w:w="108" w:type="dxa"/>
            <w:bottom w:w="0" w:type="dxa"/>
            <w:right w:w="108" w:type="dxa"/>
          </w:tblCellMar>
        </w:tblPrEx>
        <w:trPr>
          <w:trHeight w:val="626"/>
          <w:jc w:val="center"/>
        </w:trPr>
        <w:tc>
          <w:tcPr>
            <w:tcW w:w="4190" w:type="dxa"/>
            <w:gridSpan w:val="2"/>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rPr>
            </w:pPr>
            <w:r>
              <w:rPr>
                <w:rFonts w:ascii="黑体" w:eastAsia="黑体" w:hAnsi="黑体" w:cs="黑体" w:hint="eastAsia"/>
                <w:color w:val="000000"/>
              </w:rPr>
              <w:t>合　　计</w:t>
            </w:r>
          </w:p>
        </w:tc>
        <w:tc>
          <w:tcPr>
            <w:tcW w:w="791"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rPr>
            </w:pPr>
            <w:r>
              <w:rPr>
                <w:rFonts w:ascii="黑体" w:eastAsia="黑体" w:hAnsi="黑体" w:cs="黑体" w:hint="eastAsia"/>
                <w:color w:val="000000"/>
              </w:rPr>
              <w:t>100</w:t>
            </w:r>
          </w:p>
        </w:tc>
        <w:tc>
          <w:tcPr>
            <w:tcW w:w="3832" w:type="dxa"/>
            <w:noWrap/>
            <w:vAlign w:val="center"/>
          </w:tcPr>
          <w:p>
            <w:pPr>
              <w:keepNext w:val="0"/>
              <w:keepLines w:val="0"/>
              <w:pageBreakBefore w:val="0"/>
              <w:widowControl w:val="0"/>
              <w:kinsoku/>
              <w:wordWrap/>
              <w:overflowPunct w:val="0"/>
              <w:topLinePunct w:val="0"/>
              <w:autoSpaceDE/>
              <w:autoSpaceDN/>
              <w:bidi w:val="0"/>
              <w:adjustRightInd/>
              <w:spacing w:line="240" w:lineRule="auto"/>
              <w:jc w:val="center"/>
              <w:rPr>
                <w:rFonts w:ascii="黑体" w:eastAsia="黑体" w:hAnsi="黑体" w:cs="黑体"/>
                <w:color w:val="000000"/>
                <w:lang w:val="zh-CN"/>
              </w:rPr>
            </w:pPr>
          </w:p>
        </w:tc>
      </w:tr>
    </w:tbl>
    <w:p>
      <w:pPr>
        <w:pStyle w:val="a5"/>
        <w:keepNext w:val="0"/>
        <w:keepLines w:val="0"/>
        <w:pageBreakBefore w:val="0"/>
        <w:widowControl w:val="0"/>
        <w:numPr>
          <w:ilvl w:val="2"/>
          <w:numId w:val="0"/>
        </w:numPr>
        <w:kinsoku/>
        <w:wordWrap/>
        <w:overflowPunct w:val="0"/>
        <w:topLinePunct w:val="0"/>
        <w:autoSpaceDE/>
        <w:autoSpaceDN/>
        <w:bidi w:val="0"/>
        <w:spacing w:before="156" w:after="156"/>
        <w:ind w:firstLine="640" w:firstLineChars="200"/>
        <w:rPr>
          <w:color w:val="000000" w:themeColor="text1"/>
          <w:sz w:val="32"/>
          <w:szCs w:val="32"/>
        </w:rPr>
      </w:pPr>
      <w:r>
        <w:rPr>
          <w:rFonts w:hint="eastAsia"/>
          <w:color w:val="000000" w:themeColor="text1"/>
          <w:sz w:val="32"/>
          <w:szCs w:val="32"/>
        </w:rPr>
        <w:t>A.4.3.3</w:t>
      </w:r>
      <w:r>
        <w:rPr>
          <w:rFonts w:hint="eastAsia"/>
          <w:color w:val="000000" w:themeColor="text1"/>
          <w:sz w:val="32"/>
          <w:szCs w:val="32"/>
          <w:lang w:val="en-US" w:eastAsia="zh-CN"/>
        </w:rPr>
        <w:t xml:space="preserve">  </w:t>
      </w:r>
      <w:r>
        <w:rPr>
          <w:rFonts w:hint="eastAsia"/>
          <w:color w:val="000000" w:themeColor="text1"/>
          <w:sz w:val="32"/>
          <w:szCs w:val="32"/>
        </w:rPr>
        <w:t>设备配备</w:t>
      </w:r>
      <w:bookmarkEnd w:id="108"/>
    </w:p>
    <w:tbl>
      <w:tblPr>
        <w:tblStyle w:val="TableNormal"/>
        <w:tblW w:w="8734" w:type="dxa"/>
        <w:jc w:val="center"/>
        <w:tblLayout w:type="fixed"/>
        <w:tblCellMar>
          <w:top w:w="0" w:type="dxa"/>
          <w:left w:w="108" w:type="dxa"/>
          <w:bottom w:w="0" w:type="dxa"/>
          <w:right w:w="108" w:type="dxa"/>
        </w:tblCellMar>
      </w:tblPr>
      <w:tblGrid>
        <w:gridCol w:w="1118"/>
        <w:gridCol w:w="2608"/>
        <w:gridCol w:w="1909"/>
        <w:gridCol w:w="1336"/>
        <w:gridCol w:w="1763"/>
      </w:tblGrid>
      <w:tr>
        <w:tblPrEx>
          <w:tblW w:w="8734" w:type="dxa"/>
          <w:jc w:val="center"/>
          <w:tblLayout w:type="fixed"/>
          <w:tblCellMar>
            <w:top w:w="0" w:type="dxa"/>
            <w:left w:w="108" w:type="dxa"/>
            <w:bottom w:w="0" w:type="dxa"/>
            <w:right w:w="108" w:type="dxa"/>
          </w:tblCellMar>
        </w:tblPrEx>
        <w:trPr>
          <w:trHeight w:val="500"/>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黑体"/>
                <w:color w:val="000000" w:themeColor="text1"/>
                <w:kern w:val="0"/>
              </w:rPr>
            </w:pPr>
            <w:r>
              <w:rPr>
                <w:rFonts w:ascii="黑体" w:eastAsia="黑体" w:hAnsi="黑体" w:cs="黑体" w:hint="eastAsia"/>
                <w:color w:val="000000" w:themeColor="text1"/>
                <w:kern w:val="0"/>
              </w:rPr>
              <w:t>序号</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黑体"/>
                <w:color w:val="000000" w:themeColor="text1"/>
                <w:kern w:val="0"/>
              </w:rPr>
            </w:pPr>
            <w:r>
              <w:rPr>
                <w:rFonts w:ascii="黑体" w:eastAsia="黑体" w:hAnsi="黑体" w:cs="黑体" w:hint="eastAsia"/>
                <w:color w:val="000000" w:themeColor="text1"/>
                <w:kern w:val="0"/>
              </w:rPr>
              <w:t>设备</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黑体"/>
                <w:color w:val="000000" w:themeColor="text1"/>
                <w:kern w:val="0"/>
              </w:rPr>
            </w:pPr>
            <w:r>
              <w:rPr>
                <w:rFonts w:ascii="黑体" w:eastAsia="黑体" w:hAnsi="黑体" w:cs="黑体" w:hint="eastAsia"/>
                <w:color w:val="000000" w:themeColor="text1"/>
                <w:kern w:val="0"/>
              </w:rPr>
              <w:t>参考型号/规格</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黑体"/>
                <w:color w:val="000000" w:themeColor="text1"/>
                <w:kern w:val="0"/>
              </w:rPr>
            </w:pPr>
            <w:r>
              <w:rPr>
                <w:rFonts w:ascii="黑体" w:eastAsia="黑体" w:hAnsi="黑体" w:cs="黑体" w:hint="eastAsia"/>
                <w:color w:val="000000" w:themeColor="text1"/>
                <w:kern w:val="0"/>
              </w:rPr>
              <w:t>数量</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黑体" w:eastAsia="黑体" w:hAnsi="黑体" w:cs="黑体"/>
                <w:color w:val="000000" w:themeColor="text1"/>
                <w:kern w:val="0"/>
              </w:rPr>
            </w:pPr>
            <w:r>
              <w:rPr>
                <w:rFonts w:ascii="黑体" w:eastAsia="黑体" w:hAnsi="黑体" w:cs="黑体" w:hint="eastAsia"/>
                <w:color w:val="000000" w:themeColor="text1"/>
                <w:kern w:val="0"/>
              </w:rPr>
              <w:t>备注</w:t>
            </w:r>
          </w:p>
        </w:tc>
      </w:tr>
      <w:tr>
        <w:tblPrEx>
          <w:tblW w:w="8734" w:type="dxa"/>
          <w:jc w:val="center"/>
          <w:tblLayout w:type="fixed"/>
          <w:tblCellMar>
            <w:top w:w="0" w:type="dxa"/>
            <w:left w:w="108" w:type="dxa"/>
            <w:bottom w:w="0" w:type="dxa"/>
            <w:right w:w="108" w:type="dxa"/>
          </w:tblCellMar>
        </w:tblPrEx>
        <w:trPr>
          <w:trHeight w:val="395"/>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1:1模拟人</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符合相关要求</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实物</w:t>
            </w:r>
          </w:p>
        </w:tc>
      </w:tr>
      <w:tr>
        <w:tblPrEx>
          <w:tblW w:w="8734" w:type="dxa"/>
          <w:jc w:val="center"/>
          <w:tblLayout w:type="fixed"/>
          <w:tblCellMar>
            <w:top w:w="0" w:type="dxa"/>
            <w:left w:w="108" w:type="dxa"/>
            <w:bottom w:w="0" w:type="dxa"/>
            <w:right w:w="108" w:type="dxa"/>
          </w:tblCellMar>
        </w:tblPrEx>
        <w:trPr>
          <w:trHeight w:val="395"/>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2</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酒精</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符合相关标准</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若干</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34" w:type="dxa"/>
          <w:jc w:val="center"/>
          <w:tblLayout w:type="fixed"/>
          <w:tblCellMar>
            <w:top w:w="0" w:type="dxa"/>
            <w:left w:w="108" w:type="dxa"/>
            <w:bottom w:w="0" w:type="dxa"/>
            <w:right w:w="108" w:type="dxa"/>
          </w:tblCellMar>
        </w:tblPrEx>
        <w:trPr>
          <w:trHeight w:val="395"/>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3</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rPr>
              <w:t>棉垫</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kern w:val="0"/>
              </w:rPr>
              <w:t>符合相关标准</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34" w:type="dxa"/>
          <w:jc w:val="center"/>
          <w:tblLayout w:type="fixed"/>
          <w:tblCellMar>
            <w:top w:w="0" w:type="dxa"/>
            <w:left w:w="108" w:type="dxa"/>
            <w:bottom w:w="0" w:type="dxa"/>
            <w:right w:w="108" w:type="dxa"/>
          </w:tblCellMar>
        </w:tblPrEx>
        <w:trPr>
          <w:trHeight w:val="395"/>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4</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rPr>
              <w:t>纱布</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kern w:val="0"/>
              </w:rPr>
              <w:t>符合相关标准</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34" w:type="dxa"/>
          <w:jc w:val="center"/>
          <w:tblLayout w:type="fixed"/>
          <w:tblCellMar>
            <w:top w:w="0" w:type="dxa"/>
            <w:left w:w="108" w:type="dxa"/>
            <w:bottom w:w="0" w:type="dxa"/>
            <w:right w:w="108" w:type="dxa"/>
          </w:tblCellMar>
        </w:tblPrEx>
        <w:trPr>
          <w:trHeight w:val="395"/>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5</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绷带</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kern w:val="0"/>
              </w:rPr>
              <w:t>符合相关标准</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若干</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34" w:type="dxa"/>
          <w:jc w:val="center"/>
          <w:tblLayout w:type="fixed"/>
          <w:tblCellMar>
            <w:top w:w="0" w:type="dxa"/>
            <w:left w:w="108" w:type="dxa"/>
            <w:bottom w:w="0" w:type="dxa"/>
            <w:right w:w="108" w:type="dxa"/>
          </w:tblCellMar>
        </w:tblPrEx>
        <w:trPr>
          <w:trHeight w:val="406"/>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6</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rPr>
              <w:t>棉签</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符合相关标准</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34" w:type="dxa"/>
          <w:jc w:val="center"/>
          <w:tblLayout w:type="fixed"/>
          <w:tblCellMar>
            <w:top w:w="0" w:type="dxa"/>
            <w:left w:w="108" w:type="dxa"/>
            <w:bottom w:w="0" w:type="dxa"/>
            <w:right w:w="108" w:type="dxa"/>
          </w:tblCellMar>
        </w:tblPrEx>
        <w:trPr>
          <w:trHeight w:val="406"/>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7</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绑带</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kern w:val="0"/>
              </w:rPr>
              <w:t>符合相关标准</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34" w:type="dxa"/>
          <w:jc w:val="center"/>
          <w:tblLayout w:type="fixed"/>
          <w:tblCellMar>
            <w:top w:w="0" w:type="dxa"/>
            <w:left w:w="108" w:type="dxa"/>
            <w:bottom w:w="0" w:type="dxa"/>
            <w:right w:w="108" w:type="dxa"/>
          </w:tblCellMar>
        </w:tblPrEx>
        <w:trPr>
          <w:trHeight w:val="406"/>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8</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约束带</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kern w:val="0"/>
              </w:rPr>
              <w:t>符合相关标准</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若干</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34" w:type="dxa"/>
          <w:jc w:val="center"/>
          <w:tblLayout w:type="fixed"/>
          <w:tblCellMar>
            <w:top w:w="0" w:type="dxa"/>
            <w:left w:w="108" w:type="dxa"/>
            <w:bottom w:w="0" w:type="dxa"/>
            <w:right w:w="108" w:type="dxa"/>
          </w:tblCellMar>
        </w:tblPrEx>
        <w:trPr>
          <w:trHeight w:val="406"/>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9</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kern w:val="0"/>
              </w:rPr>
              <w:t>担架</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kern w:val="0"/>
              </w:rPr>
              <w:t>符合相关标准</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34" w:type="dxa"/>
          <w:jc w:val="center"/>
          <w:tblLayout w:type="fixed"/>
          <w:tblCellMar>
            <w:top w:w="0" w:type="dxa"/>
            <w:left w:w="108" w:type="dxa"/>
            <w:bottom w:w="0" w:type="dxa"/>
            <w:right w:w="108" w:type="dxa"/>
          </w:tblCellMar>
        </w:tblPrEx>
        <w:trPr>
          <w:trHeight w:val="406"/>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10</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夹板</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符合相关标准</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r>
        <w:tblPrEx>
          <w:tblW w:w="8734" w:type="dxa"/>
          <w:jc w:val="center"/>
          <w:tblLayout w:type="fixed"/>
          <w:tblCellMar>
            <w:top w:w="0" w:type="dxa"/>
            <w:left w:w="108" w:type="dxa"/>
            <w:bottom w:w="0" w:type="dxa"/>
            <w:right w:w="108" w:type="dxa"/>
          </w:tblCellMar>
        </w:tblPrEx>
        <w:trPr>
          <w:trHeight w:val="406"/>
          <w:jc w:val="center"/>
        </w:trPr>
        <w:tc>
          <w:tcPr>
            <w:tcW w:w="11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11</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rPr>
            </w:pPr>
            <w:r>
              <w:rPr>
                <w:rFonts w:ascii="仿宋" w:eastAsia="仿宋" w:hAnsi="仿宋" w:cs="仿宋" w:hint="eastAsia"/>
                <w:color w:val="000000" w:themeColor="text1"/>
              </w:rPr>
              <w:t>急救箱</w:t>
            </w:r>
          </w:p>
        </w:tc>
        <w:tc>
          <w:tcPr>
            <w:tcW w:w="190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kern w:val="0"/>
              </w:rPr>
            </w:pPr>
            <w:r>
              <w:rPr>
                <w:rFonts w:ascii="仿宋" w:eastAsia="仿宋" w:hAnsi="仿宋" w:cs="仿宋" w:hint="eastAsia"/>
                <w:color w:val="000000" w:themeColor="text1"/>
                <w:kern w:val="0"/>
              </w:rPr>
              <w:t>符合相关标准</w:t>
            </w:r>
          </w:p>
        </w:tc>
        <w:tc>
          <w:tcPr>
            <w:tcW w:w="13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keepNext w:val="0"/>
              <w:keepLines w:val="0"/>
              <w:pageBreakBefore w:val="0"/>
              <w:widowControl w:val="0"/>
              <w:kinsoku/>
              <w:wordWrap/>
              <w:overflowPunct w:val="0"/>
              <w:topLinePunct w:val="0"/>
              <w:autoSpaceDE/>
              <w:autoSpaceDN/>
              <w:bidi w:val="0"/>
              <w:jc w:val="center"/>
              <w:textAlignment w:val="center"/>
              <w:rPr>
                <w:rFonts w:ascii="仿宋" w:eastAsia="仿宋" w:hAnsi="仿宋" w:cs="仿宋"/>
                <w:color w:val="000000" w:themeColor="text1"/>
                <w:kern w:val="0"/>
              </w:rPr>
            </w:pPr>
            <w:r>
              <w:rPr>
                <w:rFonts w:ascii="仿宋" w:eastAsia="仿宋" w:hAnsi="仿宋" w:cs="仿宋" w:hint="eastAsia"/>
                <w:color w:val="000000" w:themeColor="text1"/>
                <w:kern w:val="0"/>
              </w:rPr>
              <w:t>2</w:t>
            </w:r>
          </w:p>
        </w:tc>
        <w:tc>
          <w:tcPr>
            <w:tcW w:w="176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必须配备</w:t>
            </w:r>
          </w:p>
        </w:tc>
      </w:tr>
    </w:tbl>
    <w:p>
      <w:pPr>
        <w:pStyle w:val="a3"/>
        <w:keepNext w:val="0"/>
        <w:keepLines w:val="0"/>
        <w:pageBreakBefore w:val="0"/>
        <w:widowControl w:val="0"/>
        <w:kinsoku/>
        <w:wordWrap/>
        <w:overflowPunct w:val="0"/>
        <w:topLinePunct w:val="0"/>
        <w:autoSpaceDE/>
        <w:autoSpaceDN/>
        <w:bidi w:val="0"/>
        <w:rPr>
          <w:color w:val="000000" w:themeColor="text1"/>
        </w:rPr>
        <w:sectPr>
          <w:footerReference w:type="default" r:id="rId33"/>
          <w:type w:val="nextPage"/>
          <w:pgSz w:w="11906" w:h="16838"/>
          <w:pgMar w:top="2098" w:right="1531" w:bottom="1984" w:left="1531" w:header="851" w:footer="1531" w:gutter="0"/>
          <w:pgNumType w:fmt="decimal" w:start="332"/>
          <w:cols w:num="1" w:space="425"/>
          <w:titlePg w:val="0"/>
          <w:docGrid w:type="lines" w:linePitch="312" w:charSpace="0"/>
        </w:sectPr>
      </w:pPr>
    </w:p>
    <w:p>
      <w:pPr>
        <w:pStyle w:val="a3"/>
        <w:keepNext w:val="0"/>
        <w:keepLines w:val="0"/>
        <w:pageBreakBefore w:val="0"/>
        <w:widowControl w:val="0"/>
        <w:kinsoku/>
        <w:wordWrap/>
        <w:overflowPunct w:val="0"/>
        <w:topLinePunct w:val="0"/>
        <w:autoSpaceDE/>
        <w:autoSpaceDN/>
        <w:bidi w:val="0"/>
        <w:rPr>
          <w:color w:val="000000" w:themeColor="text1"/>
        </w:rPr>
      </w:pPr>
    </w:p>
    <w:p>
      <w:pPr>
        <w:pStyle w:val="a3"/>
        <w:keepNext w:val="0"/>
        <w:keepLines w:val="0"/>
        <w:pageBreakBefore w:val="0"/>
        <w:widowControl w:val="0"/>
        <w:kinsoku/>
        <w:wordWrap/>
        <w:overflowPunct w:val="0"/>
        <w:topLinePunct w:val="0"/>
        <w:autoSpaceDE/>
        <w:autoSpaceDN/>
        <w:bidi w:val="0"/>
        <w:rPr>
          <w:color w:val="000000" w:themeColor="text1"/>
        </w:rPr>
      </w:pPr>
    </w:p>
    <w:p>
      <w:pPr>
        <w:keepNext w:val="0"/>
        <w:keepLines w:val="0"/>
        <w:pageBreakBefore w:val="0"/>
        <w:widowControl w:val="0"/>
        <w:kinsoku/>
        <w:wordWrap/>
        <w:overflowPunct w:val="0"/>
        <w:topLinePunct w:val="0"/>
        <w:autoSpaceDE/>
        <w:autoSpaceDN/>
        <w:bidi w:val="0"/>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A.5  登高架设作业安全技术实际操作考试评分表</w:t>
      </w:r>
    </w:p>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黑体"/>
          <w:color w:val="000000" w:themeColor="text1"/>
          <w:kern w:val="2"/>
          <w:sz w:val="32"/>
          <w:szCs w:val="32"/>
        </w:rPr>
      </w:pPr>
      <w:r>
        <w:rPr>
          <w:rFonts w:ascii="黑体" w:eastAsia="黑体" w:hAnsi="黑体" w:cs="黑体" w:hint="eastAsia"/>
          <w:color w:val="000000" w:themeColor="text1"/>
          <w:kern w:val="2"/>
          <w:sz w:val="32"/>
          <w:szCs w:val="32"/>
        </w:rPr>
        <w:t xml:space="preserve">A.5.1 </w:t>
      </w:r>
      <w:r>
        <w:rPr>
          <w:rFonts w:ascii="黑体" w:eastAsia="黑体" w:hAnsi="黑体" w:cs="黑体" w:hint="eastAsia"/>
          <w:color w:val="000000" w:themeColor="text1"/>
          <w:kern w:val="2"/>
          <w:sz w:val="32"/>
          <w:szCs w:val="32"/>
          <w:lang w:val="en-US" w:eastAsia="zh-CN"/>
        </w:rPr>
        <w:t xml:space="preserve"> </w:t>
      </w:r>
      <w:r>
        <w:rPr>
          <w:rFonts w:ascii="黑体" w:eastAsia="黑体" w:hAnsi="黑体" w:cs="黑体" w:hint="eastAsia"/>
          <w:color w:val="000000" w:themeColor="text1"/>
          <w:kern w:val="2"/>
          <w:sz w:val="32"/>
          <w:szCs w:val="32"/>
        </w:rPr>
        <w:t>登高架设作业安全用具使用（K1）评分表</w:t>
      </w:r>
    </w:p>
    <w:p>
      <w:pPr>
        <w:pStyle w:val="a3"/>
        <w:keepNext w:val="0"/>
        <w:keepLines w:val="0"/>
        <w:pageBreakBefore w:val="0"/>
        <w:widowControl w:val="0"/>
        <w:kinsoku/>
        <w:wordWrap/>
        <w:overflowPunct w:val="0"/>
        <w:topLinePunct w:val="0"/>
        <w:autoSpaceDE/>
        <w:autoSpaceDN/>
        <w:bidi w:val="0"/>
        <w:rPr>
          <w:rFonts w:ascii="Calibri" w:hAnsi="Calibri"/>
          <w:color w:val="000000"/>
          <w:kern w:val="2"/>
          <w:szCs w:val="21"/>
        </w:rPr>
      </w:pPr>
    </w:p>
    <w:tbl>
      <w:tblPr>
        <w:tblStyle w:val="TableGrid0"/>
        <w:tblW w:w="87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06"/>
        <w:gridCol w:w="1194"/>
        <w:gridCol w:w="908"/>
        <w:gridCol w:w="4636"/>
        <w:gridCol w:w="878"/>
      </w:tblGrid>
      <w:tr>
        <w:tblPrEx>
          <w:tblW w:w="87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40"/>
        </w:trPr>
        <w:tc>
          <w:tcPr>
            <w:tcW w:w="1106"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考试项目</w:t>
            </w:r>
          </w:p>
        </w:tc>
        <w:tc>
          <w:tcPr>
            <w:tcW w:w="7616" w:type="dxa"/>
            <w:gridSpan w:val="4"/>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科目一：安全用具使用（K1）   考试时间：5分钟（权重20%）</w:t>
            </w:r>
          </w:p>
        </w:tc>
      </w:tr>
      <w:tr>
        <w:tblPrEx>
          <w:tblW w:w="8722" w:type="dxa"/>
          <w:tblInd w:w="0" w:type="dxa"/>
          <w:tblCellMar>
            <w:top w:w="0" w:type="dxa"/>
            <w:left w:w="108" w:type="dxa"/>
            <w:bottom w:w="0" w:type="dxa"/>
            <w:right w:w="108" w:type="dxa"/>
          </w:tblCellMar>
        </w:tblPrEx>
        <w:trPr>
          <w:trHeight w:val="578"/>
        </w:trPr>
        <w:tc>
          <w:tcPr>
            <w:tcW w:w="1106"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项 目</w:t>
            </w:r>
          </w:p>
        </w:tc>
        <w:tc>
          <w:tcPr>
            <w:tcW w:w="1194"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内容</w:t>
            </w:r>
          </w:p>
        </w:tc>
        <w:tc>
          <w:tcPr>
            <w:tcW w:w="908"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分值</w:t>
            </w:r>
          </w:p>
        </w:tc>
        <w:tc>
          <w:tcPr>
            <w:tcW w:w="4636"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评分标准</w:t>
            </w:r>
          </w:p>
        </w:tc>
        <w:tc>
          <w:tcPr>
            <w:tcW w:w="878"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扣分</w:t>
            </w:r>
          </w:p>
        </w:tc>
      </w:tr>
      <w:tr>
        <w:tblPrEx>
          <w:tblW w:w="8722" w:type="dxa"/>
          <w:tblInd w:w="0" w:type="dxa"/>
          <w:tblCellMar>
            <w:top w:w="0" w:type="dxa"/>
            <w:left w:w="108" w:type="dxa"/>
            <w:bottom w:w="0" w:type="dxa"/>
            <w:right w:w="108" w:type="dxa"/>
          </w:tblCellMar>
        </w:tblPrEx>
        <w:tc>
          <w:tcPr>
            <w:tcW w:w="1106" w:type="dxa"/>
            <w:vMerge w:val="restart"/>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r>
              <w:rPr>
                <w:rFonts w:ascii="仿宋" w:eastAsia="仿宋" w:hAnsi="仿宋" w:cs="仿宋" w:hint="eastAsia"/>
                <w:color w:val="000000" w:themeColor="text1"/>
                <w:szCs w:val="21"/>
                <w:lang w:val="zh-CN"/>
              </w:rPr>
              <w:t>安全帽、安全带、防滑鞋</w:t>
            </w:r>
            <w:r>
              <w:rPr>
                <w:rFonts w:ascii="仿宋" w:eastAsia="仿宋" w:hAnsi="仿宋" w:cs="仿宋" w:hint="eastAsia"/>
                <w:color w:val="000000" w:themeColor="text1"/>
                <w:szCs w:val="21"/>
              </w:rPr>
              <w:t>的检查、佩戴和使用</w:t>
            </w:r>
          </w:p>
        </w:tc>
        <w:tc>
          <w:tcPr>
            <w:tcW w:w="1194" w:type="dxa"/>
            <w:vMerge w:val="restart"/>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r>
              <w:rPr>
                <w:rFonts w:ascii="仿宋" w:eastAsia="仿宋" w:hAnsi="仿宋" w:cs="仿宋" w:hint="eastAsia"/>
                <w:color w:val="000000" w:themeColor="text1"/>
                <w:szCs w:val="21"/>
              </w:rPr>
              <w:t>安全帽的检查和佩戴</w:t>
            </w:r>
          </w:p>
        </w:tc>
        <w:tc>
          <w:tcPr>
            <w:tcW w:w="908" w:type="dxa"/>
            <w:vMerge w:val="restart"/>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r>
              <w:rPr>
                <w:rFonts w:ascii="仿宋" w:eastAsia="仿宋" w:hAnsi="仿宋" w:cs="仿宋" w:hint="eastAsia"/>
                <w:color w:val="000000" w:themeColor="text1"/>
                <w:kern w:val="2"/>
                <w:szCs w:val="21"/>
              </w:rPr>
              <w:t>30</w:t>
            </w: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1</w:t>
            </w:r>
            <w:r>
              <w:rPr>
                <w:rFonts w:ascii="仿宋" w:eastAsia="仿宋" w:hAnsi="仿宋" w:cs="仿宋" w:hint="eastAsia"/>
                <w:color w:val="000000" w:themeColor="text1"/>
                <w:lang w:val="zh-CN"/>
              </w:rPr>
              <w:t>.未</w:t>
            </w:r>
            <w:r>
              <w:rPr>
                <w:rFonts w:ascii="仿宋" w:eastAsia="仿宋" w:hAnsi="仿宋" w:cs="仿宋" w:hint="eastAsia"/>
                <w:color w:val="000000" w:themeColor="text1"/>
              </w:rPr>
              <w:t>检查</w:t>
            </w:r>
            <w:r>
              <w:rPr>
                <w:rFonts w:ascii="仿宋" w:eastAsia="仿宋" w:hAnsi="仿宋" w:cs="仿宋" w:hint="eastAsia"/>
                <w:color w:val="000000" w:themeColor="text1"/>
                <w:lang w:val="zh-CN"/>
              </w:rPr>
              <w:t>安全帽</w:t>
            </w:r>
            <w:r>
              <w:rPr>
                <w:rFonts w:ascii="仿宋" w:eastAsia="仿宋" w:hAnsi="仿宋" w:cs="仿宋" w:hint="eastAsia"/>
                <w:color w:val="000000" w:themeColor="text1"/>
              </w:rPr>
              <w:t>生产许可证、使用期限的，每项扣3分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908"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w:t>
            </w:r>
            <w:r>
              <w:rPr>
                <w:rFonts w:ascii="仿宋" w:eastAsia="仿宋" w:hAnsi="仿宋" w:cs="仿宋" w:hint="eastAsia"/>
                <w:color w:val="000000" w:themeColor="text1"/>
                <w:lang w:val="zh-CN"/>
              </w:rPr>
              <w:t>.未检查安全帽</w:t>
            </w:r>
            <w:r>
              <w:rPr>
                <w:rFonts w:ascii="仿宋" w:eastAsia="仿宋" w:hAnsi="仿宋" w:cs="仿宋" w:hint="eastAsia"/>
                <w:color w:val="000000" w:themeColor="text1"/>
              </w:rPr>
              <w:t>帽壳完好性的，扣6分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908"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3.未检查</w:t>
            </w:r>
            <w:r>
              <w:rPr>
                <w:rFonts w:ascii="仿宋" w:eastAsia="仿宋" w:hAnsi="仿宋" w:cs="仿宋" w:hint="eastAsia"/>
                <w:color w:val="000000" w:themeColor="text1"/>
                <w:lang w:val="zh-CN"/>
              </w:rPr>
              <w:t>安全帽内衬、后箍</w:t>
            </w:r>
            <w:r>
              <w:rPr>
                <w:rFonts w:ascii="仿宋" w:eastAsia="仿宋" w:hAnsi="仿宋" w:cs="仿宋" w:hint="eastAsia"/>
                <w:color w:val="000000" w:themeColor="text1"/>
              </w:rPr>
              <w:t>和下颌带的，每项扣2分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908"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4.佩戴时，未调整内衬、后箍的，每项扣3分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908"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5</w:t>
            </w:r>
            <w:r>
              <w:rPr>
                <w:rFonts w:ascii="仿宋" w:eastAsia="仿宋" w:hAnsi="仿宋" w:cs="仿宋" w:hint="eastAsia"/>
                <w:color w:val="000000" w:themeColor="text1"/>
                <w:lang w:val="zh-CN"/>
              </w:rPr>
              <w:t>.</w:t>
            </w:r>
            <w:r>
              <w:rPr>
                <w:rFonts w:ascii="仿宋" w:eastAsia="仿宋" w:hAnsi="仿宋" w:cs="仿宋" w:hint="eastAsia"/>
                <w:color w:val="000000" w:themeColor="text1"/>
              </w:rPr>
              <w:t>佩戴时，</w:t>
            </w:r>
            <w:r>
              <w:rPr>
                <w:rFonts w:ascii="仿宋" w:eastAsia="仿宋" w:hAnsi="仿宋" w:cs="仿宋" w:hint="eastAsia"/>
                <w:color w:val="000000" w:themeColor="text1"/>
                <w:lang w:val="zh-CN"/>
              </w:rPr>
              <w:t>未系</w:t>
            </w:r>
            <w:r>
              <w:rPr>
                <w:rFonts w:ascii="仿宋" w:eastAsia="仿宋" w:hAnsi="仿宋" w:cs="仿宋" w:hint="eastAsia"/>
                <w:color w:val="000000" w:themeColor="text1"/>
              </w:rPr>
              <w:t>紧</w:t>
            </w:r>
            <w:r>
              <w:rPr>
                <w:rFonts w:ascii="仿宋" w:eastAsia="仿宋" w:hAnsi="仿宋" w:cs="仿宋" w:hint="eastAsia"/>
                <w:color w:val="000000" w:themeColor="text1"/>
                <w:lang w:val="zh-CN"/>
              </w:rPr>
              <w:t>安全帽下颌带</w:t>
            </w:r>
            <w:r>
              <w:rPr>
                <w:rFonts w:ascii="仿宋" w:eastAsia="仿宋" w:hAnsi="仿宋" w:cs="仿宋" w:hint="eastAsia"/>
                <w:color w:val="000000" w:themeColor="text1"/>
              </w:rPr>
              <w:t>的，扣6分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restart"/>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r>
              <w:rPr>
                <w:rFonts w:ascii="仿宋" w:eastAsia="仿宋" w:hAnsi="仿宋" w:cs="仿宋" w:hint="eastAsia"/>
                <w:color w:val="000000" w:themeColor="text1"/>
                <w:szCs w:val="21"/>
              </w:rPr>
              <w:t>安全带的检查和佩戴</w:t>
            </w:r>
          </w:p>
        </w:tc>
        <w:tc>
          <w:tcPr>
            <w:tcW w:w="908" w:type="dxa"/>
            <w:vMerge w:val="restart"/>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r>
              <w:rPr>
                <w:rFonts w:ascii="仿宋" w:eastAsia="仿宋" w:hAnsi="仿宋" w:cs="仿宋" w:hint="eastAsia"/>
                <w:color w:val="000000" w:themeColor="text1"/>
                <w:kern w:val="2"/>
                <w:szCs w:val="21"/>
              </w:rPr>
              <w:t>40</w:t>
            </w: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w:t>
            </w:r>
            <w:r>
              <w:rPr>
                <w:rFonts w:ascii="仿宋" w:eastAsia="仿宋" w:hAnsi="仿宋" w:cs="仿宋" w:hint="eastAsia"/>
                <w:color w:val="000000" w:themeColor="text1"/>
              </w:rPr>
              <w:t>.未检查安全带生产许可证和使用期限的，每项扣4分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908"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w:t>
            </w:r>
            <w:r>
              <w:rPr>
                <w:rFonts w:ascii="仿宋" w:eastAsia="仿宋" w:hAnsi="仿宋" w:cs="仿宋" w:hint="eastAsia"/>
                <w:color w:val="000000" w:themeColor="text1"/>
                <w:lang w:val="zh-CN"/>
              </w:rPr>
              <w:t>.未检查安全带编织带</w:t>
            </w:r>
            <w:r>
              <w:rPr>
                <w:rFonts w:ascii="仿宋" w:eastAsia="仿宋" w:hAnsi="仿宋" w:cs="仿宋" w:hint="eastAsia"/>
                <w:color w:val="000000" w:themeColor="text1"/>
              </w:rPr>
              <w:t>和安全绳的，每项扣4分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908"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.未检查安全带</w:t>
            </w:r>
            <w:r>
              <w:rPr>
                <w:rFonts w:ascii="仿宋" w:eastAsia="仿宋" w:hAnsi="仿宋" w:cs="仿宋" w:hint="eastAsia"/>
                <w:color w:val="000000" w:themeColor="text1"/>
              </w:rPr>
              <w:t>部件及部件与安全带连接牢固度的，每项扣4分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908"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.安全带穿戴不规范</w:t>
            </w:r>
            <w:r>
              <w:rPr>
                <w:rFonts w:ascii="仿宋" w:eastAsia="仿宋" w:hAnsi="仿宋" w:cs="仿宋" w:hint="eastAsia"/>
                <w:color w:val="000000" w:themeColor="text1"/>
              </w:rPr>
              <w:t>的，扣8分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908"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5</w:t>
            </w:r>
            <w:r>
              <w:rPr>
                <w:rFonts w:ascii="仿宋" w:eastAsia="仿宋" w:hAnsi="仿宋" w:cs="仿宋" w:hint="eastAsia"/>
                <w:color w:val="000000" w:themeColor="text1"/>
                <w:lang w:val="zh-CN"/>
              </w:rPr>
              <w:t>.安全带各部调整未达到松紧适度</w:t>
            </w:r>
            <w:r>
              <w:rPr>
                <w:rFonts w:ascii="仿宋" w:eastAsia="仿宋" w:hAnsi="仿宋" w:cs="仿宋" w:hint="eastAsia"/>
                <w:color w:val="000000" w:themeColor="text1"/>
              </w:rPr>
              <w:t>的，扣8分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rPr>
          <w:trHeight w:val="376"/>
        </w:trPr>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restart"/>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r>
              <w:rPr>
                <w:rFonts w:ascii="仿宋" w:eastAsia="仿宋" w:hAnsi="仿宋" w:cs="仿宋" w:hint="eastAsia"/>
                <w:color w:val="000000" w:themeColor="text1"/>
                <w:szCs w:val="21"/>
              </w:rPr>
              <w:t>防滑鞋的检查和使用</w:t>
            </w:r>
          </w:p>
        </w:tc>
        <w:tc>
          <w:tcPr>
            <w:tcW w:w="908" w:type="dxa"/>
            <w:vMerge w:val="restart"/>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r>
              <w:rPr>
                <w:rFonts w:ascii="仿宋" w:eastAsia="仿宋" w:hAnsi="仿宋" w:cs="仿宋" w:hint="eastAsia"/>
                <w:color w:val="000000" w:themeColor="text1"/>
                <w:kern w:val="2"/>
                <w:szCs w:val="21"/>
              </w:rPr>
              <w:t>30</w:t>
            </w: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w:t>
            </w:r>
            <w:r>
              <w:rPr>
                <w:rFonts w:ascii="仿宋" w:eastAsia="仿宋" w:hAnsi="仿宋" w:cs="仿宋" w:hint="eastAsia"/>
                <w:color w:val="000000" w:themeColor="text1"/>
              </w:rPr>
              <w:t>.选择防滑鞋不正确的，扣10分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908"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w:t>
            </w:r>
            <w:r>
              <w:rPr>
                <w:rFonts w:ascii="仿宋" w:eastAsia="仿宋" w:hAnsi="仿宋" w:cs="仿宋" w:hint="eastAsia"/>
                <w:color w:val="000000" w:themeColor="text1"/>
                <w:lang w:val="zh-CN"/>
              </w:rPr>
              <w:t>.未全面检查防滑鞋</w:t>
            </w:r>
            <w:r>
              <w:rPr>
                <w:rFonts w:ascii="仿宋" w:eastAsia="仿宋" w:hAnsi="仿宋" w:cs="仿宋" w:hint="eastAsia"/>
                <w:color w:val="000000" w:themeColor="text1"/>
              </w:rPr>
              <w:t>的</w:t>
            </w:r>
            <w:r>
              <w:rPr>
                <w:rFonts w:ascii="仿宋" w:eastAsia="仿宋" w:hAnsi="仿宋" w:cs="仿宋" w:hint="eastAsia"/>
                <w:color w:val="000000" w:themeColor="text1"/>
                <w:lang w:val="zh-CN"/>
              </w:rPr>
              <w:t>，</w:t>
            </w:r>
            <w:r>
              <w:rPr>
                <w:rFonts w:ascii="仿宋" w:eastAsia="仿宋" w:hAnsi="仿宋" w:cs="仿宋" w:hint="eastAsia"/>
                <w:color w:val="000000" w:themeColor="text1"/>
              </w:rPr>
              <w:t>扣10分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c>
          <w:tcPr>
            <w:tcW w:w="1106"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1194"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908" w:type="dxa"/>
            <w:vMerge/>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c>
          <w:tcPr>
            <w:tcW w:w="4636"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未正确穿戴防滑鞋</w:t>
            </w:r>
            <w:r>
              <w:rPr>
                <w:rFonts w:ascii="仿宋" w:eastAsia="仿宋" w:hAnsi="仿宋" w:cs="仿宋" w:hint="eastAsia"/>
                <w:color w:val="000000" w:themeColor="text1"/>
              </w:rPr>
              <w:t>的，扣10分</w:t>
            </w:r>
          </w:p>
        </w:tc>
        <w:tc>
          <w:tcPr>
            <w:tcW w:w="878" w:type="dxa"/>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仿宋" w:eastAsia="仿宋" w:hAnsi="仿宋" w:cs="仿宋"/>
                <w:color w:val="000000" w:themeColor="text1"/>
                <w:kern w:val="2"/>
                <w:szCs w:val="21"/>
              </w:rPr>
            </w:pPr>
          </w:p>
        </w:tc>
      </w:tr>
      <w:tr>
        <w:tblPrEx>
          <w:tblW w:w="8722" w:type="dxa"/>
          <w:tblInd w:w="0" w:type="dxa"/>
          <w:tblCellMar>
            <w:top w:w="0" w:type="dxa"/>
            <w:left w:w="108" w:type="dxa"/>
            <w:bottom w:w="0" w:type="dxa"/>
            <w:right w:w="108" w:type="dxa"/>
          </w:tblCellMar>
        </w:tblPrEx>
        <w:trPr>
          <w:trHeight w:val="521"/>
        </w:trPr>
        <w:tc>
          <w:tcPr>
            <w:tcW w:w="3208" w:type="dxa"/>
            <w:gridSpan w:val="3"/>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仿宋"/>
                <w:color w:val="000000" w:themeColor="text1"/>
                <w:kern w:val="2"/>
                <w:szCs w:val="21"/>
              </w:rPr>
            </w:pPr>
            <w:r>
              <w:rPr>
                <w:rFonts w:ascii="黑体" w:eastAsia="黑体" w:hAnsi="黑体" w:cs="黑体" w:hint="eastAsia"/>
                <w:color w:val="000000" w:themeColor="text1"/>
                <w:szCs w:val="21"/>
                <w:lang w:bidi="en-US"/>
              </w:rPr>
              <w:t>该科目得分</w:t>
            </w:r>
          </w:p>
        </w:tc>
        <w:tc>
          <w:tcPr>
            <w:tcW w:w="5514" w:type="dxa"/>
            <w:gridSpan w:val="2"/>
            <w:vAlign w:val="center"/>
          </w:tcPr>
          <w:p>
            <w:pPr>
              <w:pStyle w:val="a3"/>
              <w:keepNext w:val="0"/>
              <w:keepLines w:val="0"/>
              <w:pageBreakBefore w:val="0"/>
              <w:widowControl w:val="0"/>
              <w:kinsoku/>
              <w:wordWrap/>
              <w:overflowPunct w:val="0"/>
              <w:topLinePunct w:val="0"/>
              <w:autoSpaceDE/>
              <w:autoSpaceDN/>
              <w:bidi w:val="0"/>
              <w:ind w:firstLine="0" w:firstLineChars="0"/>
              <w:jc w:val="center"/>
              <w:rPr>
                <w:rFonts w:ascii="黑体" w:eastAsia="黑体" w:hAnsi="黑体" w:cs="仿宋"/>
                <w:color w:val="000000" w:themeColor="text1"/>
                <w:kern w:val="2"/>
                <w:szCs w:val="21"/>
              </w:rPr>
            </w:pPr>
          </w:p>
        </w:tc>
      </w:tr>
      <w:tr>
        <w:tblPrEx>
          <w:tblW w:w="8722" w:type="dxa"/>
          <w:tblInd w:w="0" w:type="dxa"/>
          <w:tblCellMar>
            <w:top w:w="0" w:type="dxa"/>
            <w:left w:w="108" w:type="dxa"/>
            <w:bottom w:w="0" w:type="dxa"/>
            <w:right w:w="108" w:type="dxa"/>
          </w:tblCellMar>
        </w:tblPrEx>
        <w:trPr>
          <w:trHeight w:val="585"/>
        </w:trPr>
        <w:tc>
          <w:tcPr>
            <w:tcW w:w="8722" w:type="dxa"/>
            <w:gridSpan w:val="5"/>
            <w:vAlign w:val="center"/>
          </w:tcPr>
          <w:p>
            <w:pPr>
              <w:pStyle w:val="a3"/>
              <w:keepNext w:val="0"/>
              <w:keepLines w:val="0"/>
              <w:pageBreakBefore w:val="0"/>
              <w:widowControl w:val="0"/>
              <w:kinsoku/>
              <w:wordWrap/>
              <w:overflowPunct w:val="0"/>
              <w:topLinePunct w:val="0"/>
              <w:autoSpaceDE/>
              <w:autoSpaceDN/>
              <w:bidi w:val="0"/>
              <w:ind w:firstLine="0" w:firstLineChars="0"/>
              <w:rPr>
                <w:rFonts w:ascii="黑体" w:eastAsia="黑体" w:hAnsi="黑体" w:cs="仿宋"/>
                <w:color w:val="000000"/>
                <w:kern w:val="2"/>
                <w:szCs w:val="21"/>
              </w:rPr>
            </w:pPr>
            <w:r>
              <w:rPr>
                <w:rFonts w:ascii="黑体" w:eastAsia="黑体" w:hAnsi="黑体" w:cs="仿宋" w:hint="eastAsia"/>
                <w:bCs/>
                <w:color w:val="000000"/>
                <w:szCs w:val="21"/>
              </w:rPr>
              <w:t xml:space="preserve">考生签字：          </w:t>
            </w:r>
            <w:r>
              <w:rPr>
                <w:rFonts w:ascii="黑体" w:eastAsia="黑体" w:hAnsi="黑体" w:cs="仿宋" w:hint="eastAsia"/>
                <w:bCs/>
                <w:color w:val="000000"/>
                <w:szCs w:val="21"/>
                <w:lang w:val="en-US" w:eastAsia="zh-CN"/>
              </w:rPr>
              <w:t xml:space="preserve">    </w:t>
            </w:r>
            <w:r>
              <w:rPr>
                <w:rFonts w:ascii="黑体" w:eastAsia="黑体" w:hAnsi="黑体" w:cs="仿宋" w:hint="eastAsia"/>
                <w:bCs/>
                <w:color w:val="000000"/>
                <w:szCs w:val="21"/>
              </w:rPr>
              <w:t xml:space="preserve">  考评员签字：     </w:t>
            </w:r>
            <w:r>
              <w:rPr>
                <w:rFonts w:ascii="黑体" w:eastAsia="黑体" w:hAnsi="黑体" w:cs="仿宋" w:hint="eastAsia"/>
                <w:bCs/>
                <w:color w:val="000000"/>
                <w:szCs w:val="21"/>
                <w:lang w:val="en-US" w:eastAsia="zh-CN"/>
              </w:rPr>
              <w:t xml:space="preserve">       </w:t>
            </w:r>
            <w:r>
              <w:rPr>
                <w:rFonts w:ascii="黑体" w:eastAsia="黑体" w:hAnsi="黑体" w:cs="仿宋" w:hint="eastAsia"/>
                <w:bCs/>
                <w:color w:val="000000"/>
                <w:szCs w:val="21"/>
              </w:rPr>
              <w:t xml:space="preserve">    日期:      年    月    日</w:t>
            </w:r>
          </w:p>
        </w:tc>
      </w:tr>
    </w:tbl>
    <w:p>
      <w:pPr>
        <w:keepNext w:val="0"/>
        <w:keepLines w:val="0"/>
        <w:pageBreakBefore w:val="0"/>
        <w:widowControl w:val="0"/>
        <w:kinsoku/>
        <w:wordWrap/>
        <w:overflowPunct w:val="0"/>
        <w:topLinePunct w:val="0"/>
        <w:autoSpaceDE/>
        <w:autoSpaceDN/>
        <w:bidi w:val="0"/>
        <w:ind w:firstLine="360" w:firstLineChars="200"/>
        <w:rPr>
          <w:rFonts w:ascii="仿宋" w:eastAsia="仿宋" w:hAnsi="仿宋" w:cs="仿宋"/>
          <w:b/>
          <w:bCs/>
          <w:kern w:val="0"/>
          <w:sz w:val="18"/>
          <w:szCs w:val="16"/>
        </w:rPr>
      </w:pPr>
      <w:r>
        <w:rPr>
          <w:rFonts w:ascii="仿宋" w:eastAsia="仿宋" w:hAnsi="仿宋" w:cs="仿宋" w:hint="eastAsia"/>
          <w:b/>
          <w:bCs/>
          <w:kern w:val="0"/>
          <w:sz w:val="18"/>
          <w:szCs w:val="16"/>
        </w:rPr>
        <w:t>注：考生该项目考试结束，拒绝在评分表中签字确认的，视同为自动放弃该项目考试。该项目考试成绩判定为零分。</w:t>
      </w:r>
    </w:p>
    <w:p>
      <w:pPr>
        <w:keepNext w:val="0"/>
        <w:keepLines w:val="0"/>
        <w:pageBreakBefore w:val="0"/>
        <w:widowControl w:val="0"/>
        <w:tabs>
          <w:tab w:val="center" w:pos="4201"/>
          <w:tab w:val="right" w:leader="dot" w:pos="9298"/>
        </w:tabs>
        <w:kinsoku/>
        <w:wordWrap/>
        <w:overflowPunct w:val="0"/>
        <w:topLinePunct w:val="0"/>
        <w:autoSpaceDE/>
        <w:autoSpaceDN/>
        <w:bidi w:val="0"/>
        <w:ind w:firstLine="640" w:firstLineChars="200"/>
        <w:jc w:val="center"/>
        <w:rPr>
          <w:rFonts w:ascii="黑体" w:eastAsia="黑体" w:hAnsi="黑体" w:cs="黑体"/>
          <w:color w:val="000000" w:themeColor="text1"/>
          <w:kern w:val="0"/>
          <w:sz w:val="32"/>
          <w:szCs w:val="32"/>
        </w:rPr>
        <w:sectPr>
          <w:footerReference w:type="default" r:id="rId34"/>
          <w:type w:val="nextPage"/>
          <w:pgSz w:w="11906" w:h="16838"/>
          <w:pgMar w:top="2098" w:right="1531" w:bottom="1984" w:left="1531" w:header="851" w:footer="1531" w:gutter="0"/>
          <w:pgNumType w:fmt="decimal" w:start="333"/>
          <w:cols w:num="1" w:space="425"/>
          <w:titlePg w:val="0"/>
          <w:docGrid w:type="lines" w:linePitch="312" w:charSpace="0"/>
        </w:sectPr>
      </w:pPr>
    </w:p>
    <w:p>
      <w:pPr>
        <w:keepNext w:val="0"/>
        <w:keepLines w:val="0"/>
        <w:pageBreakBefore w:val="0"/>
        <w:widowControl w:val="0"/>
        <w:tabs>
          <w:tab w:val="center" w:pos="4201"/>
          <w:tab w:val="right" w:leader="dot" w:pos="9298"/>
        </w:tabs>
        <w:kinsoku/>
        <w:wordWrap/>
        <w:overflowPunct w:val="0"/>
        <w:topLinePunct w:val="0"/>
        <w:autoSpaceDE/>
        <w:autoSpaceDN/>
        <w:bidi w:val="0"/>
        <w:ind w:firstLine="640" w:firstLineChars="200"/>
        <w:jc w:val="center"/>
        <w:rPr>
          <w:rFonts w:ascii="黑体" w:eastAsia="黑体" w:hAnsi="黑体" w:cs="黑体"/>
          <w:color w:val="000000" w:themeColor="text1"/>
          <w:kern w:val="0"/>
          <w:sz w:val="32"/>
          <w:szCs w:val="32"/>
        </w:rPr>
      </w:pPr>
    </w:p>
    <w:p>
      <w:pPr>
        <w:keepNext w:val="0"/>
        <w:keepLines w:val="0"/>
        <w:pageBreakBefore w:val="0"/>
        <w:widowControl w:val="0"/>
        <w:tabs>
          <w:tab w:val="center" w:pos="4201"/>
          <w:tab w:val="right" w:leader="dot" w:pos="9298"/>
        </w:tabs>
        <w:kinsoku/>
        <w:wordWrap/>
        <w:overflowPunct w:val="0"/>
        <w:topLinePunct w:val="0"/>
        <w:autoSpaceDE/>
        <w:autoSpaceDN/>
        <w:bidi w:val="0"/>
        <w:ind w:firstLine="640" w:firstLineChars="200"/>
        <w:jc w:val="center"/>
        <w:rPr>
          <w:rFonts w:ascii="黑体" w:eastAsia="黑体" w:hAnsi="黑体" w:cs="黑体"/>
          <w:color w:val="000000" w:themeColor="text1"/>
          <w:sz w:val="32"/>
          <w:szCs w:val="32"/>
        </w:rPr>
      </w:pPr>
      <w:r>
        <w:rPr>
          <w:rFonts w:ascii="黑体" w:eastAsia="黑体" w:hAnsi="黑体" w:cs="黑体" w:hint="eastAsia"/>
          <w:color w:val="000000" w:themeColor="text1"/>
          <w:kern w:val="0"/>
          <w:sz w:val="32"/>
          <w:szCs w:val="32"/>
        </w:rPr>
        <w:t>A.5.2</w:t>
      </w:r>
      <w:r>
        <w:rPr>
          <w:rFonts w:ascii="黑体" w:eastAsia="黑体" w:hAnsi="黑体" w:cs="黑体" w:hint="eastAsia"/>
          <w:color w:val="000000" w:themeColor="text1"/>
          <w:kern w:val="0"/>
          <w:sz w:val="32"/>
          <w:szCs w:val="32"/>
          <w:lang w:val="en-US" w:eastAsia="zh-CN"/>
        </w:rPr>
        <w:t xml:space="preserve">  </w:t>
      </w:r>
      <w:r>
        <w:rPr>
          <w:rFonts w:ascii="黑体" w:eastAsia="黑体" w:hAnsi="黑体" w:cs="黑体" w:hint="eastAsia"/>
          <w:color w:val="000000" w:themeColor="text1"/>
          <w:kern w:val="0"/>
          <w:sz w:val="32"/>
          <w:szCs w:val="32"/>
        </w:rPr>
        <w:t>登高架设作业安全操作技术（K2）评分表</w:t>
      </w:r>
    </w:p>
    <w:p>
      <w:pPr>
        <w:pStyle w:val="a3"/>
        <w:keepNext w:val="0"/>
        <w:keepLines w:val="0"/>
        <w:pageBreakBefore w:val="0"/>
        <w:widowControl w:val="0"/>
        <w:kinsoku/>
        <w:wordWrap/>
        <w:overflowPunct w:val="0"/>
        <w:topLinePunct w:val="0"/>
        <w:autoSpaceDE/>
        <w:autoSpaceDN/>
        <w:bidi w:val="0"/>
        <w:ind w:firstLine="640"/>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A.5.2.1</w:t>
      </w:r>
      <w:r>
        <w:rPr>
          <w:rFonts w:ascii="黑体" w:eastAsia="黑体" w:hAnsi="黑体" w:cs="黑体" w:hint="eastAsia"/>
          <w:color w:val="000000" w:themeColor="text1"/>
          <w:sz w:val="32"/>
          <w:szCs w:val="32"/>
          <w:lang w:val="en-US" w:eastAsia="zh-CN"/>
        </w:rPr>
        <w:t xml:space="preserve">  </w:t>
      </w:r>
      <w:r>
        <w:rPr>
          <w:rFonts w:ascii="黑体" w:eastAsia="黑体" w:hAnsi="黑体" w:cs="黑体" w:hint="eastAsia"/>
          <w:color w:val="000000" w:themeColor="text1"/>
          <w:sz w:val="32"/>
          <w:szCs w:val="32"/>
        </w:rPr>
        <w:t>双排落地扣件式钢管脚手架搭设与拆除评分表</w:t>
      </w:r>
    </w:p>
    <w:tbl>
      <w:tblPr>
        <w:tblStyle w:val="TableNormal"/>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86"/>
        <w:gridCol w:w="1281"/>
        <w:gridCol w:w="741"/>
        <w:gridCol w:w="5152"/>
        <w:gridCol w:w="788"/>
      </w:tblGrid>
      <w:tr>
        <w:tblPrEx>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64"/>
          <w:tblHeader/>
          <w:jc w:val="center"/>
        </w:trPr>
        <w:tc>
          <w:tcPr>
            <w:tcW w:w="1086"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考试科目</w:t>
            </w:r>
          </w:p>
        </w:tc>
        <w:tc>
          <w:tcPr>
            <w:tcW w:w="7962" w:type="dxa"/>
            <w:gridSpan w:val="4"/>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科目二：</w:t>
            </w:r>
            <w:r>
              <w:rPr>
                <w:rFonts w:ascii="黑体" w:eastAsia="黑体" w:hAnsi="黑体" w:cs="黑体" w:hint="eastAsia"/>
                <w:color w:val="000000"/>
              </w:rPr>
              <w:t xml:space="preserve">安全操作技术（K2） </w:t>
            </w:r>
            <w:r>
              <w:rPr>
                <w:rFonts w:ascii="黑体" w:eastAsia="黑体" w:hAnsi="黑体" w:cs="黑体" w:hint="eastAsia"/>
                <w:color w:val="000000" w:themeColor="text1"/>
              </w:rPr>
              <w:t>考试时间：45</w:t>
            </w:r>
            <w:r>
              <w:rPr>
                <w:rFonts w:ascii="黑体" w:eastAsia="黑体" w:hAnsi="黑体" w:cs="黑体" w:hint="eastAsia"/>
                <w:color w:val="000000"/>
              </w:rPr>
              <w:t>分钟（权重60%）</w:t>
            </w:r>
          </w:p>
        </w:tc>
      </w:tr>
      <w:tr>
        <w:tblPrEx>
          <w:tblW w:w="9048" w:type="dxa"/>
          <w:jc w:val="center"/>
          <w:tblLayout w:type="fixed"/>
          <w:tblCellMar>
            <w:top w:w="0" w:type="dxa"/>
            <w:left w:w="108" w:type="dxa"/>
            <w:bottom w:w="0" w:type="dxa"/>
            <w:right w:w="108" w:type="dxa"/>
          </w:tblCellMar>
        </w:tblPrEx>
        <w:trPr>
          <w:trHeight w:val="90"/>
          <w:tblHeader/>
          <w:jc w:val="center"/>
        </w:trPr>
        <w:tc>
          <w:tcPr>
            <w:tcW w:w="1086"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项 目</w:t>
            </w:r>
          </w:p>
        </w:tc>
        <w:tc>
          <w:tcPr>
            <w:tcW w:w="1281"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内容</w:t>
            </w:r>
          </w:p>
        </w:tc>
        <w:tc>
          <w:tcPr>
            <w:tcW w:w="741"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分值</w:t>
            </w:r>
          </w:p>
        </w:tc>
        <w:tc>
          <w:tcPr>
            <w:tcW w:w="5152"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评 分 标 准</w:t>
            </w:r>
          </w:p>
        </w:tc>
        <w:tc>
          <w:tcPr>
            <w:tcW w:w="788"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扣分</w:t>
            </w: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r>
              <w:rPr>
                <w:rFonts w:ascii="仿宋" w:eastAsia="仿宋" w:hAnsi="仿宋" w:cs="仿宋" w:hint="eastAsia"/>
                <w:color w:val="000000"/>
              </w:rPr>
              <w:t>双排落地扣件式钢管脚手架搭设与拆除的安全操作技术</w:t>
            </w: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r>
              <w:rPr>
                <w:rFonts w:ascii="仿宋" w:eastAsia="仿宋" w:hAnsi="仿宋" w:cs="仿宋" w:hint="eastAsia"/>
                <w:color w:val="000000"/>
                <w:lang w:val="zh-CN"/>
              </w:rPr>
              <w:t>摆放垫木、底座</w:t>
            </w: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r>
              <w:rPr>
                <w:rFonts w:ascii="仿宋" w:eastAsia="仿宋" w:hAnsi="仿宋" w:cs="仿宋" w:hint="eastAsia"/>
                <w:color w:val="000000"/>
                <w:lang w:val="zh-CN" w:bidi="en-US"/>
              </w:rPr>
              <w:t>6</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lang w:val="zh-CN"/>
              </w:rPr>
              <w:t>1.未设置垫木</w:t>
            </w:r>
            <w:r>
              <w:rPr>
                <w:rFonts w:ascii="仿宋" w:eastAsia="仿宋" w:hAnsi="仿宋" w:cs="仿宋" w:hint="eastAsia"/>
                <w:color w:val="000000"/>
              </w:rPr>
              <w:t>的，扣6分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54"/>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lang w:val="zh-CN"/>
              </w:rPr>
              <w:t>2.垫木</w:t>
            </w:r>
            <w:r>
              <w:rPr>
                <w:rFonts w:ascii="仿宋" w:eastAsia="仿宋" w:hAnsi="仿宋" w:cs="仿宋" w:hint="eastAsia"/>
                <w:color w:val="000000"/>
              </w:rPr>
              <w:t>设置不正确、放置不平稳的</w:t>
            </w:r>
            <w:r>
              <w:rPr>
                <w:rFonts w:ascii="仿宋" w:eastAsia="仿宋" w:hAnsi="仿宋" w:cs="仿宋" w:hint="eastAsia"/>
                <w:color w:val="000000"/>
                <w:lang w:val="zh-CN"/>
              </w:rPr>
              <w:t>，</w:t>
            </w:r>
            <w:r>
              <w:rPr>
                <w:rFonts w:ascii="仿宋" w:eastAsia="仿宋" w:hAnsi="仿宋" w:cs="仿宋" w:hint="eastAsia"/>
                <w:color w:val="000000"/>
              </w:rPr>
              <w:t>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lang w:val="zh-CN"/>
              </w:rPr>
            </w:pPr>
            <w:r>
              <w:rPr>
                <w:rFonts w:ascii="仿宋" w:eastAsia="仿宋" w:hAnsi="仿宋" w:cs="仿宋" w:hint="eastAsia"/>
                <w:color w:val="000000"/>
                <w:lang w:val="zh-CN"/>
              </w:rPr>
              <w:t>3.未</w:t>
            </w:r>
            <w:r>
              <w:rPr>
                <w:rFonts w:ascii="仿宋" w:eastAsia="仿宋" w:hAnsi="仿宋" w:cs="仿宋" w:hint="eastAsia"/>
                <w:color w:val="000000"/>
              </w:rPr>
              <w:t>设置</w:t>
            </w:r>
            <w:r>
              <w:rPr>
                <w:rFonts w:ascii="仿宋" w:eastAsia="仿宋" w:hAnsi="仿宋" w:cs="仿宋" w:hint="eastAsia"/>
                <w:color w:val="000000"/>
                <w:lang w:val="zh-CN"/>
              </w:rPr>
              <w:t>底座、</w:t>
            </w:r>
            <w:r>
              <w:rPr>
                <w:rFonts w:ascii="仿宋" w:eastAsia="仿宋" w:hAnsi="仿宋" w:cs="仿宋" w:hint="eastAsia"/>
                <w:color w:val="000000"/>
              </w:rPr>
              <w:t>底座放置不</w:t>
            </w:r>
            <w:r>
              <w:rPr>
                <w:rFonts w:ascii="仿宋" w:eastAsia="仿宋" w:hAnsi="仿宋" w:cs="仿宋" w:hint="eastAsia"/>
                <w:color w:val="000000"/>
                <w:lang w:val="zh-CN"/>
              </w:rPr>
              <w:t>平稳</w:t>
            </w:r>
            <w:r>
              <w:rPr>
                <w:rFonts w:ascii="仿宋" w:eastAsia="仿宋" w:hAnsi="仿宋" w:cs="仿宋" w:hint="eastAsia"/>
                <w:color w:val="000000"/>
              </w:rPr>
              <w:t>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rPr>
              <w:t>4.</w:t>
            </w:r>
            <w:r>
              <w:rPr>
                <w:rFonts w:ascii="仿宋" w:eastAsia="仿宋" w:hAnsi="仿宋" w:cs="仿宋" w:hint="eastAsia"/>
                <w:color w:val="000000"/>
                <w:lang w:val="zh-CN"/>
              </w:rPr>
              <w:t>地面有杂物</w:t>
            </w:r>
            <w:r>
              <w:rPr>
                <w:rFonts w:ascii="仿宋" w:eastAsia="仿宋" w:hAnsi="仿宋" w:cs="仿宋" w:hint="eastAsia"/>
                <w:color w:val="000000"/>
              </w:rPr>
              <w:t>的，每处扣2分。扣完为止</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r>
              <w:rPr>
                <w:rFonts w:ascii="仿宋" w:eastAsia="仿宋" w:hAnsi="仿宋" w:cs="仿宋" w:hint="eastAsia"/>
                <w:color w:val="000000"/>
                <w:lang w:val="zh-CN"/>
              </w:rPr>
              <w:t>搭设立杆</w:t>
            </w: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r>
              <w:rPr>
                <w:rFonts w:ascii="仿宋" w:eastAsia="仿宋" w:hAnsi="仿宋" w:cs="仿宋" w:hint="eastAsia"/>
                <w:color w:val="000000"/>
                <w:lang w:val="zh-CN" w:bidi="en-US"/>
              </w:rPr>
              <w:t>6</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lang w:val="zh-CN"/>
              </w:rPr>
              <w:t>1.杆件间距尺寸偏差超过规定值</w:t>
            </w:r>
            <w:r>
              <w:rPr>
                <w:rFonts w:ascii="仿宋" w:eastAsia="仿宋" w:hAnsi="仿宋" w:cs="仿宋" w:hint="eastAsia"/>
                <w:color w:val="000000"/>
              </w:rPr>
              <w:t>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lang w:val="zh-CN"/>
              </w:rPr>
              <w:t>2.立杆垂直</w:t>
            </w:r>
            <w:r>
              <w:rPr>
                <w:rFonts w:ascii="仿宋" w:eastAsia="仿宋" w:hAnsi="仿宋" w:cs="仿宋" w:hint="eastAsia"/>
                <w:color w:val="000000"/>
              </w:rPr>
              <w:t>度偏差超过规定值的，每处扣2分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rPr>
              <w:t>3.</w:t>
            </w:r>
            <w:r>
              <w:rPr>
                <w:rFonts w:ascii="仿宋" w:eastAsia="仿宋" w:hAnsi="仿宋" w:cs="仿宋" w:hint="eastAsia"/>
                <w:color w:val="000000"/>
                <w:lang w:val="zh-CN"/>
              </w:rPr>
              <w:t>立杆</w:t>
            </w:r>
            <w:r>
              <w:rPr>
                <w:rFonts w:ascii="仿宋" w:eastAsia="仿宋" w:hAnsi="仿宋" w:cs="仿宋" w:hint="eastAsia"/>
                <w:color w:val="000000"/>
              </w:rPr>
              <w:t>对接、搭接</w:t>
            </w:r>
            <w:r>
              <w:rPr>
                <w:rFonts w:ascii="仿宋" w:eastAsia="仿宋" w:hAnsi="仿宋" w:cs="仿宋" w:hint="eastAsia"/>
                <w:color w:val="000000"/>
                <w:lang w:val="zh-CN"/>
              </w:rPr>
              <w:t>不正确</w:t>
            </w:r>
            <w:r>
              <w:rPr>
                <w:rFonts w:ascii="仿宋" w:eastAsia="仿宋" w:hAnsi="仿宋" w:cs="仿宋" w:hint="eastAsia"/>
                <w:color w:val="000000"/>
              </w:rPr>
              <w:t>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612"/>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rPr>
              <w:t>4</w:t>
            </w:r>
            <w:r>
              <w:rPr>
                <w:rFonts w:ascii="仿宋" w:eastAsia="仿宋" w:hAnsi="仿宋" w:cs="仿宋" w:hint="eastAsia"/>
                <w:color w:val="000000"/>
                <w:lang w:val="zh-CN"/>
              </w:rPr>
              <w:t>.立杆</w:t>
            </w:r>
            <w:r>
              <w:rPr>
                <w:rFonts w:ascii="仿宋" w:eastAsia="仿宋" w:hAnsi="仿宋" w:cs="仿宋" w:hint="eastAsia"/>
                <w:color w:val="000000"/>
              </w:rPr>
              <w:t>对接、搭接间距不符合规范要求的，每处扣2分。扣完为止</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r>
              <w:rPr>
                <w:rFonts w:ascii="仿宋" w:eastAsia="仿宋" w:hAnsi="仿宋" w:cs="仿宋" w:hint="eastAsia"/>
                <w:color w:val="000000"/>
                <w:lang w:val="zh-CN"/>
              </w:rPr>
              <w:t>搭设扫地杆</w:t>
            </w: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r>
              <w:rPr>
                <w:rFonts w:ascii="仿宋" w:eastAsia="仿宋" w:hAnsi="仿宋" w:cs="仿宋" w:hint="eastAsia"/>
                <w:color w:val="000000"/>
                <w:lang w:val="zh-CN" w:bidi="en-US"/>
              </w:rPr>
              <w:t>6</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lang w:val="zh-CN"/>
              </w:rPr>
              <w:t>1.未设置扫地杆</w:t>
            </w:r>
            <w:r>
              <w:rPr>
                <w:rFonts w:ascii="仿宋" w:eastAsia="仿宋" w:hAnsi="仿宋" w:cs="仿宋" w:hint="eastAsia"/>
                <w:color w:val="000000"/>
              </w:rPr>
              <w:t>的，扣6分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lang w:val="zh-CN"/>
              </w:rPr>
              <w:t>2.纵向扫地杆距地面高度大于200mm</w:t>
            </w:r>
            <w:r>
              <w:rPr>
                <w:rFonts w:ascii="仿宋" w:eastAsia="仿宋" w:hAnsi="仿宋" w:cs="仿宋" w:hint="eastAsia"/>
                <w:color w:val="000000"/>
              </w:rPr>
              <w:t>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612"/>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lang w:val="zh-CN"/>
              </w:rPr>
              <w:t>3.</w:t>
            </w:r>
            <w:r>
              <w:rPr>
                <w:rFonts w:ascii="仿宋" w:eastAsia="仿宋" w:hAnsi="仿宋" w:cs="仿宋" w:hint="eastAsia"/>
                <w:color w:val="000000"/>
              </w:rPr>
              <w:t>未将横向扫地杆置于纵向扫地杆下方的，每处扣2分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612"/>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lang w:val="zh-CN"/>
              </w:rPr>
              <w:t>4.横向扫地杆距主节点大于150mm</w:t>
            </w:r>
            <w:r>
              <w:rPr>
                <w:rFonts w:ascii="仿宋" w:eastAsia="仿宋" w:hAnsi="仿宋" w:cs="仿宋" w:hint="eastAsia"/>
                <w:color w:val="000000"/>
              </w:rPr>
              <w:t>的，每处扣2分。扣完为止</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搭设纵向水平杆</w:t>
            </w: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1.杆件</w:t>
            </w:r>
            <w:r>
              <w:rPr>
                <w:rFonts w:ascii="仿宋" w:eastAsia="仿宋" w:hAnsi="仿宋" w:cs="仿宋" w:hint="eastAsia"/>
                <w:color w:val="000000" w:themeColor="text1"/>
              </w:rPr>
              <w:t>间距尺寸偏差超过规定值的，每处扣1分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2.杆件</w:t>
            </w:r>
            <w:r>
              <w:rPr>
                <w:rFonts w:ascii="仿宋" w:eastAsia="仿宋" w:hAnsi="仿宋" w:cs="仿宋" w:hint="eastAsia"/>
                <w:color w:val="000000" w:themeColor="text1"/>
                <w:lang w:val="zh-CN"/>
              </w:rPr>
              <w:t>不能保持水平</w:t>
            </w:r>
            <w:r>
              <w:rPr>
                <w:rFonts w:ascii="仿宋" w:eastAsia="仿宋" w:hAnsi="仿宋" w:cs="仿宋" w:hint="eastAsia"/>
                <w:color w:val="000000" w:themeColor="text1"/>
              </w:rPr>
              <w:t>的，每处扣1分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.杆件设置在立杆之外</w:t>
            </w:r>
            <w:r>
              <w:rPr>
                <w:rFonts w:ascii="仿宋" w:eastAsia="仿宋" w:hAnsi="仿宋" w:cs="仿宋" w:hint="eastAsia"/>
                <w:color w:val="000000" w:themeColor="text1"/>
              </w:rPr>
              <w:t>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.杆件连接、</w:t>
            </w:r>
            <w:r>
              <w:rPr>
                <w:rFonts w:ascii="仿宋" w:eastAsia="仿宋" w:hAnsi="仿宋" w:cs="仿宋" w:hint="eastAsia"/>
                <w:color w:val="000000" w:themeColor="text1"/>
              </w:rPr>
              <w:t>扣件的选择及安装</w:t>
            </w:r>
            <w:r>
              <w:rPr>
                <w:rFonts w:ascii="仿宋" w:eastAsia="仿宋" w:hAnsi="仿宋" w:cs="仿宋" w:hint="eastAsia"/>
                <w:color w:val="000000" w:themeColor="text1"/>
                <w:lang w:val="zh-CN"/>
              </w:rPr>
              <w:t>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的，每处扣1分。扣完为止</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搭设横向水平杆</w:t>
            </w: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1.未设置横向水平杆</w:t>
            </w:r>
            <w:r>
              <w:rPr>
                <w:rFonts w:ascii="仿宋" w:eastAsia="仿宋" w:hAnsi="仿宋" w:cs="仿宋" w:hint="eastAsia"/>
                <w:color w:val="000000" w:themeColor="text1"/>
              </w:rPr>
              <w:t>的，扣6分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2.主节点</w:t>
            </w:r>
            <w:r>
              <w:rPr>
                <w:rFonts w:ascii="仿宋" w:eastAsia="仿宋" w:hAnsi="仿宋" w:cs="仿宋" w:hint="eastAsia"/>
                <w:color w:val="000000" w:themeColor="text1"/>
              </w:rPr>
              <w:t>及需要搭设横向水平杆的部位</w:t>
            </w:r>
            <w:r>
              <w:rPr>
                <w:rFonts w:ascii="仿宋" w:eastAsia="仿宋" w:hAnsi="仿宋" w:cs="仿宋" w:hint="eastAsia"/>
                <w:color w:val="000000" w:themeColor="text1"/>
                <w:lang w:val="zh-CN"/>
              </w:rPr>
              <w:t>缺少横向水平杆</w:t>
            </w:r>
            <w:r>
              <w:rPr>
                <w:rFonts w:ascii="仿宋" w:eastAsia="仿宋" w:hAnsi="仿宋" w:cs="仿宋" w:hint="eastAsia"/>
                <w:color w:val="000000" w:themeColor="text1"/>
              </w:rPr>
              <w:t>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398"/>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lang w:val="zh-CN"/>
              </w:rPr>
            </w:pPr>
            <w:r>
              <w:rPr>
                <w:rFonts w:ascii="仿宋" w:eastAsia="仿宋" w:hAnsi="仿宋" w:cs="仿宋" w:hint="eastAsia"/>
                <w:color w:val="000000" w:themeColor="text1"/>
                <w:lang w:val="zh-CN"/>
              </w:rPr>
              <w:t>3.杆件设置距主节点大于150mm</w:t>
            </w:r>
            <w:r>
              <w:rPr>
                <w:rFonts w:ascii="仿宋" w:eastAsia="仿宋" w:hAnsi="仿宋" w:cs="仿宋" w:hint="eastAsia"/>
                <w:color w:val="000000" w:themeColor="text1"/>
              </w:rPr>
              <w:t>的，每处扣1分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bl>
    <w:p>
      <w:pPr>
        <w:sectPr>
          <w:footerReference w:type="default" r:id="rId35"/>
          <w:type w:val="nextPage"/>
          <w:pgSz w:w="11906" w:h="16838"/>
          <w:pgMar w:top="2098" w:right="1531" w:bottom="1984" w:left="1531" w:header="851" w:footer="1531" w:gutter="0"/>
          <w:pgNumType w:fmt="decimal" w:start="334"/>
          <w:cols w:num="1" w:space="425"/>
          <w:titlePg w:val="0"/>
          <w:docGrid w:type="lines" w:linePitch="312" w:charSpace="0"/>
        </w:sectPr>
      </w:pPr>
    </w:p>
    <w:tbl>
      <w:tblPr>
        <w:tblStyle w:val="TableNormal"/>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86"/>
        <w:gridCol w:w="1281"/>
        <w:gridCol w:w="741"/>
        <w:gridCol w:w="5152"/>
        <w:gridCol w:w="788"/>
      </w:tblGrid>
      <w:tr>
        <w:tblPrEx>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5"/>
          <w:jc w:val="center"/>
        </w:trPr>
        <w:tc>
          <w:tcPr>
            <w:tcW w:w="1086"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杆件连接、</w:t>
            </w:r>
            <w:r>
              <w:rPr>
                <w:rFonts w:ascii="仿宋" w:eastAsia="仿宋" w:hAnsi="仿宋" w:cs="仿宋" w:hint="eastAsia"/>
                <w:color w:val="000000" w:themeColor="text1"/>
              </w:rPr>
              <w:t>扣件的选择及安装</w:t>
            </w:r>
            <w:r>
              <w:rPr>
                <w:rFonts w:ascii="仿宋" w:eastAsia="仿宋" w:hAnsi="仿宋" w:cs="仿宋" w:hint="eastAsia"/>
                <w:color w:val="000000" w:themeColor="text1"/>
                <w:lang w:val="zh-CN"/>
              </w:rPr>
              <w:t>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的，每处扣1分。扣完为止</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安装连墙件</w:t>
            </w: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bidi="en-US"/>
              </w:rPr>
            </w:pPr>
            <w:r>
              <w:rPr>
                <w:rFonts w:ascii="仿宋" w:eastAsia="仿宋" w:hAnsi="仿宋" w:cs="仿宋" w:hint="eastAsia"/>
                <w:color w:val="000000" w:themeColor="text1"/>
                <w:lang w:bidi="en-US"/>
              </w:rPr>
              <w:t>10</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1.连墙件数量不足的，每缺少一处扣4分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2.连墙件设置位置错误</w:t>
            </w:r>
            <w:r>
              <w:rPr>
                <w:rFonts w:ascii="仿宋" w:eastAsia="仿宋" w:hAnsi="仿宋" w:cs="仿宋" w:hint="eastAsia"/>
                <w:color w:val="000000" w:themeColor="text1"/>
              </w:rPr>
              <w:t>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3.连墙件设置方法错误</w:t>
            </w:r>
            <w:r>
              <w:rPr>
                <w:rFonts w:ascii="仿宋" w:eastAsia="仿宋" w:hAnsi="仿宋" w:cs="仿宋" w:hint="eastAsia"/>
                <w:color w:val="000000" w:themeColor="text1"/>
              </w:rPr>
              <w:t>的，每处扣2分。扣完为止</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搭设剪刀撑</w:t>
            </w: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1.未设置剪刀撑</w:t>
            </w:r>
            <w:r>
              <w:rPr>
                <w:rFonts w:ascii="仿宋" w:eastAsia="仿宋" w:hAnsi="仿宋" w:cs="仿宋" w:hint="eastAsia"/>
                <w:color w:val="000000" w:themeColor="text1"/>
              </w:rPr>
              <w:t>的，扣6分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612"/>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lang w:val="zh-CN"/>
              </w:rPr>
            </w:pPr>
            <w:r>
              <w:rPr>
                <w:rFonts w:ascii="仿宋" w:eastAsia="仿宋" w:hAnsi="仿宋" w:cs="仿宋" w:hint="eastAsia"/>
                <w:color w:val="000000" w:themeColor="text1"/>
              </w:rPr>
              <w:t>2.剪刀撑设置数量不符合规范要求的，每处扣2分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612"/>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3.</w:t>
            </w:r>
            <w:r>
              <w:rPr>
                <w:rFonts w:ascii="仿宋" w:eastAsia="仿宋" w:hAnsi="仿宋" w:cs="仿宋" w:hint="eastAsia"/>
                <w:color w:val="000000" w:themeColor="text1"/>
              </w:rPr>
              <w:t>剪刀撑</w:t>
            </w:r>
            <w:r>
              <w:rPr>
                <w:rFonts w:ascii="仿宋" w:eastAsia="仿宋" w:hAnsi="仿宋" w:cs="仿宋" w:hint="eastAsia"/>
                <w:color w:val="000000" w:themeColor="text1"/>
                <w:lang w:val="zh-CN"/>
              </w:rPr>
              <w:t>未触及地面及夹角不符合</w:t>
            </w:r>
            <w:r>
              <w:rPr>
                <w:rFonts w:ascii="仿宋" w:eastAsia="仿宋" w:hAnsi="仿宋" w:cs="仿宋" w:hint="eastAsia"/>
                <w:color w:val="000000" w:themeColor="text1"/>
              </w:rPr>
              <w:t>45</w:t>
            </w:r>
            <w:r>
              <w:rPr>
                <w:rFonts w:ascii="仿宋" w:eastAsia="仿宋" w:hAnsi="仿宋" w:cs="仿宋" w:hint="eastAsia"/>
                <w:color w:val="000000" w:themeColor="text1"/>
                <w:vertAlign w:val="superscript"/>
              </w:rPr>
              <w:t>O</w:t>
            </w:r>
            <w:r>
              <w:rPr>
                <w:rFonts w:ascii="仿宋" w:eastAsia="仿宋" w:hAnsi="仿宋" w:cs="仿宋" w:hint="eastAsia"/>
                <w:color w:val="000000" w:themeColor="text1"/>
              </w:rPr>
              <w:t>—60</w:t>
            </w:r>
            <w:r>
              <w:rPr>
                <w:rFonts w:ascii="仿宋" w:eastAsia="仿宋" w:hAnsi="仿宋" w:cs="仿宋" w:hint="eastAsia"/>
                <w:color w:val="000000" w:themeColor="text1"/>
                <w:vertAlign w:val="superscript"/>
              </w:rPr>
              <w:t>O</w:t>
            </w:r>
            <w:r>
              <w:rPr>
                <w:rFonts w:ascii="仿宋" w:eastAsia="仿宋" w:hAnsi="仿宋" w:cs="仿宋" w:hint="eastAsia"/>
                <w:color w:val="000000" w:themeColor="text1"/>
              </w:rPr>
              <w:t>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4.剪刀撑搭接不符合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612"/>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5.剪刀撑固定、</w:t>
            </w:r>
            <w:r>
              <w:rPr>
                <w:rFonts w:ascii="仿宋" w:eastAsia="仿宋" w:hAnsi="仿宋" w:cs="仿宋" w:hint="eastAsia"/>
                <w:color w:val="000000" w:themeColor="text1"/>
              </w:rPr>
              <w:t>扣件的选择及安装</w:t>
            </w:r>
            <w:r>
              <w:rPr>
                <w:rFonts w:ascii="仿宋" w:eastAsia="仿宋" w:hAnsi="仿宋" w:cs="仿宋" w:hint="eastAsia"/>
                <w:color w:val="000000" w:themeColor="text1"/>
                <w:lang w:val="zh-CN"/>
              </w:rPr>
              <w:t>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的，每处扣2分。扣完为止</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612"/>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扣件拧紧扭力矩</w:t>
            </w: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8</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1.随机</w:t>
            </w:r>
            <w:r>
              <w:rPr>
                <w:rFonts w:ascii="仿宋" w:eastAsia="仿宋" w:hAnsi="仿宋" w:cs="仿宋" w:hint="eastAsia"/>
                <w:color w:val="000000" w:themeColor="text1"/>
                <w:lang w:val="zh-CN"/>
              </w:rPr>
              <w:t>抽查</w:t>
            </w:r>
            <w:r>
              <w:rPr>
                <w:rFonts w:ascii="仿宋" w:eastAsia="仿宋" w:hAnsi="仿宋" w:cs="仿宋" w:hint="eastAsia"/>
                <w:color w:val="000000" w:themeColor="text1"/>
              </w:rPr>
              <w:t>4</w:t>
            </w:r>
            <w:r>
              <w:rPr>
                <w:rFonts w:ascii="仿宋" w:eastAsia="仿宋" w:hAnsi="仿宋" w:cs="仿宋" w:hint="eastAsia"/>
                <w:color w:val="000000" w:themeColor="text1"/>
                <w:lang w:val="zh-CN"/>
              </w:rPr>
              <w:t>个扣件的拧紧扭力矩，不在40-65N•m范围</w:t>
            </w:r>
            <w:r>
              <w:rPr>
                <w:rFonts w:ascii="仿宋" w:eastAsia="仿宋" w:hAnsi="仿宋" w:cs="仿宋" w:hint="eastAsia"/>
                <w:color w:val="000000" w:themeColor="text1"/>
              </w:rPr>
              <w:t>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612"/>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w:t>
            </w:r>
            <w:r>
              <w:rPr>
                <w:rFonts w:ascii="仿宋" w:eastAsia="仿宋" w:hAnsi="仿宋" w:cs="仿宋" w:hint="eastAsia"/>
                <w:color w:val="000000" w:themeColor="text1"/>
                <w:lang w:val="zh-CN"/>
              </w:rPr>
              <w:t>.</w:t>
            </w:r>
            <w:r>
              <w:rPr>
                <w:rFonts w:ascii="仿宋" w:eastAsia="仿宋" w:hAnsi="仿宋" w:cs="仿宋" w:hint="eastAsia"/>
                <w:color w:val="000000" w:themeColor="text1"/>
              </w:rPr>
              <w:t>因拧力过大，造成扣件报废的，每处扣4分。扣完为止</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设置操作层防护</w:t>
            </w: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1.未设置脚手板</w:t>
            </w:r>
            <w:r>
              <w:rPr>
                <w:rFonts w:ascii="仿宋" w:eastAsia="仿宋" w:hAnsi="仿宋" w:cs="仿宋" w:hint="eastAsia"/>
                <w:color w:val="000000" w:themeColor="text1"/>
              </w:rPr>
              <w:t>或出现探头板的，扣6分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612"/>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2.脚手板未铺满，对接、搭接不符合规范要求的，每处扣2分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3.未设置防护栏杆的，扣6分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612"/>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4.防护栏杆高度不足1200mm、间距不符合规范要求的，每处扣2分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5</w:t>
            </w:r>
            <w:r>
              <w:rPr>
                <w:rFonts w:ascii="仿宋" w:eastAsia="仿宋" w:hAnsi="仿宋" w:cs="仿宋" w:hint="eastAsia"/>
                <w:color w:val="000000" w:themeColor="text1"/>
                <w:lang w:val="zh-CN"/>
              </w:rPr>
              <w:t>.未设置</w:t>
            </w:r>
            <w:r>
              <w:rPr>
                <w:rFonts w:ascii="仿宋" w:eastAsia="仿宋" w:hAnsi="仿宋" w:cs="仿宋" w:hint="eastAsia"/>
                <w:color w:val="000000" w:themeColor="text1"/>
              </w:rPr>
              <w:t>挡脚板的，扣6分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612"/>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6</w:t>
            </w:r>
            <w:r>
              <w:rPr>
                <w:rFonts w:ascii="仿宋" w:eastAsia="仿宋" w:hAnsi="仿宋" w:cs="仿宋" w:hint="eastAsia"/>
                <w:color w:val="000000" w:themeColor="text1"/>
                <w:lang w:val="zh-CN"/>
              </w:rPr>
              <w:t>.</w:t>
            </w:r>
            <w:r>
              <w:rPr>
                <w:rFonts w:ascii="仿宋" w:eastAsia="仿宋" w:hAnsi="仿宋" w:cs="仿宋" w:hint="eastAsia"/>
                <w:color w:val="000000" w:themeColor="text1"/>
              </w:rPr>
              <w:t>设置</w:t>
            </w:r>
            <w:r>
              <w:rPr>
                <w:rFonts w:ascii="仿宋" w:eastAsia="仿宋" w:hAnsi="仿宋" w:cs="仿宋" w:hint="eastAsia"/>
                <w:color w:val="000000" w:themeColor="text1"/>
                <w:lang w:val="zh-CN"/>
              </w:rPr>
              <w:t>挡脚板高度低于180mm、</w:t>
            </w:r>
            <w:r>
              <w:rPr>
                <w:rFonts w:ascii="仿宋" w:eastAsia="仿宋" w:hAnsi="仿宋" w:cs="仿宋" w:hint="eastAsia"/>
                <w:color w:val="000000" w:themeColor="text1"/>
              </w:rPr>
              <w:t>设置位置不准确的，每处扣2分。扣完为止</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挂设安全网</w:t>
            </w: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1.未设置</w:t>
            </w:r>
            <w:r>
              <w:rPr>
                <w:rFonts w:ascii="仿宋" w:eastAsia="仿宋" w:hAnsi="仿宋" w:cs="仿宋" w:hint="eastAsia"/>
                <w:color w:val="000000" w:themeColor="text1"/>
              </w:rPr>
              <w:t>首层</w:t>
            </w:r>
            <w:r>
              <w:rPr>
                <w:rFonts w:ascii="仿宋" w:eastAsia="仿宋" w:hAnsi="仿宋" w:cs="仿宋" w:hint="eastAsia"/>
                <w:color w:val="000000" w:themeColor="text1"/>
                <w:lang w:val="zh-CN"/>
              </w:rPr>
              <w:t>安全</w:t>
            </w:r>
            <w:r>
              <w:rPr>
                <w:rFonts w:ascii="仿宋" w:eastAsia="仿宋" w:hAnsi="仿宋" w:cs="仿宋" w:hint="eastAsia"/>
                <w:color w:val="000000" w:themeColor="text1"/>
              </w:rPr>
              <w:t>平</w:t>
            </w:r>
            <w:r>
              <w:rPr>
                <w:rFonts w:ascii="仿宋" w:eastAsia="仿宋" w:hAnsi="仿宋" w:cs="仿宋" w:hint="eastAsia"/>
                <w:color w:val="000000" w:themeColor="text1"/>
                <w:lang w:val="zh-CN"/>
              </w:rPr>
              <w:t>网</w:t>
            </w:r>
            <w:r>
              <w:rPr>
                <w:rFonts w:ascii="仿宋" w:eastAsia="仿宋" w:hAnsi="仿宋" w:cs="仿宋" w:hint="eastAsia"/>
                <w:color w:val="000000" w:themeColor="text1"/>
              </w:rPr>
              <w:t>的，扣4分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2.未设置随层</w:t>
            </w:r>
            <w:r>
              <w:rPr>
                <w:rFonts w:ascii="仿宋" w:eastAsia="仿宋" w:hAnsi="仿宋" w:cs="仿宋" w:hint="eastAsia"/>
                <w:color w:val="000000" w:themeColor="text1"/>
              </w:rPr>
              <w:t>安全</w:t>
            </w:r>
            <w:r>
              <w:rPr>
                <w:rFonts w:ascii="仿宋" w:eastAsia="仿宋" w:hAnsi="仿宋" w:cs="仿宋" w:hint="eastAsia"/>
                <w:color w:val="000000" w:themeColor="text1"/>
                <w:lang w:val="zh-CN"/>
              </w:rPr>
              <w:t>平网</w:t>
            </w:r>
            <w:r>
              <w:rPr>
                <w:rFonts w:ascii="仿宋" w:eastAsia="仿宋" w:hAnsi="仿宋" w:cs="仿宋" w:hint="eastAsia"/>
                <w:color w:val="000000" w:themeColor="text1"/>
              </w:rPr>
              <w:t>的，扣4分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bl>
    <w:p>
      <w:pPr>
        <w:sectPr>
          <w:footerReference w:type="default" r:id="rId36"/>
          <w:type w:val="nextPage"/>
          <w:pgSz w:w="11906" w:h="16838"/>
          <w:pgMar w:top="2098" w:right="1531" w:bottom="1984" w:left="1531" w:header="851" w:footer="1531" w:gutter="0"/>
          <w:pgNumType w:fmt="decimal" w:start="335"/>
          <w:cols w:num="1" w:space="425"/>
          <w:titlePg w:val="0"/>
          <w:docGrid w:type="lines" w:linePitch="312" w:charSpace="0"/>
        </w:sectPr>
      </w:pPr>
    </w:p>
    <w:tbl>
      <w:tblPr>
        <w:tblStyle w:val="TableNormal"/>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86"/>
        <w:gridCol w:w="1281"/>
        <w:gridCol w:w="741"/>
        <w:gridCol w:w="5152"/>
        <w:gridCol w:w="788"/>
      </w:tblGrid>
      <w:tr>
        <w:tblPrEx>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5"/>
          <w:jc w:val="center"/>
        </w:trPr>
        <w:tc>
          <w:tcPr>
            <w:tcW w:w="1086"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3.未挂设密目式安全</w:t>
            </w:r>
            <w:r>
              <w:rPr>
                <w:rFonts w:ascii="仿宋" w:eastAsia="仿宋" w:hAnsi="仿宋" w:cs="仿宋" w:hint="eastAsia"/>
                <w:color w:val="000000" w:themeColor="text1"/>
              </w:rPr>
              <w:t>立</w:t>
            </w:r>
            <w:r>
              <w:rPr>
                <w:rFonts w:ascii="仿宋" w:eastAsia="仿宋" w:hAnsi="仿宋" w:cs="仿宋" w:hint="eastAsia"/>
                <w:color w:val="000000" w:themeColor="text1"/>
                <w:lang w:val="zh-CN"/>
              </w:rPr>
              <w:t>网</w:t>
            </w:r>
            <w:r>
              <w:rPr>
                <w:rFonts w:ascii="仿宋" w:eastAsia="仿宋" w:hAnsi="仿宋" w:cs="仿宋" w:hint="eastAsia"/>
                <w:color w:val="000000" w:themeColor="text1"/>
              </w:rPr>
              <w:t>的，扣4分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4.</w:t>
            </w:r>
            <w:r>
              <w:rPr>
                <w:rFonts w:ascii="仿宋" w:eastAsia="仿宋" w:hAnsi="仿宋" w:cs="仿宋" w:hint="eastAsia"/>
                <w:color w:val="000000" w:themeColor="text1"/>
              </w:rPr>
              <w:t>安全网</w:t>
            </w:r>
            <w:r>
              <w:rPr>
                <w:rFonts w:ascii="仿宋" w:eastAsia="仿宋" w:hAnsi="仿宋" w:cs="仿宋" w:hint="eastAsia"/>
                <w:color w:val="000000" w:themeColor="text1"/>
                <w:lang w:val="zh-CN"/>
              </w:rPr>
              <w:t>设置不符合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的，每处扣2分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445"/>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5.安全网</w:t>
            </w:r>
            <w:r>
              <w:rPr>
                <w:rFonts w:ascii="仿宋" w:eastAsia="仿宋" w:hAnsi="仿宋" w:cs="仿宋" w:hint="eastAsia"/>
                <w:color w:val="000000" w:themeColor="text1"/>
              </w:rPr>
              <w:t>连接点</w:t>
            </w:r>
            <w:r>
              <w:rPr>
                <w:rFonts w:ascii="仿宋" w:eastAsia="仿宋" w:hAnsi="仿宋" w:cs="仿宋" w:hint="eastAsia"/>
                <w:color w:val="000000" w:themeColor="text1"/>
                <w:lang w:val="zh-CN"/>
              </w:rPr>
              <w:t>不牢固</w:t>
            </w:r>
            <w:r>
              <w:rPr>
                <w:rFonts w:ascii="仿宋" w:eastAsia="仿宋" w:hAnsi="仿宋" w:cs="仿宋" w:hint="eastAsia"/>
                <w:color w:val="000000" w:themeColor="text1"/>
              </w:rPr>
              <w:t>的，每处扣2分。扣完为止</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371"/>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拆除</w:t>
            </w:r>
          </w:p>
        </w:tc>
        <w:tc>
          <w:tcPr>
            <w:tcW w:w="741"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20</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1.未按先搭后拆、后搭先拆要求进行拆除的，</w:t>
            </w:r>
            <w:r>
              <w:rPr>
                <w:rFonts w:ascii="仿宋" w:eastAsia="仿宋" w:hAnsi="仿宋" w:cs="仿宋" w:hint="eastAsia"/>
                <w:color w:val="000000" w:themeColor="text1"/>
              </w:rPr>
              <w:t>扣20分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390"/>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741"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lang w:val="zh-CN"/>
              </w:rPr>
            </w:pPr>
            <w:r>
              <w:rPr>
                <w:rFonts w:ascii="仿宋" w:eastAsia="仿宋" w:hAnsi="仿宋" w:cs="仿宋" w:hint="eastAsia"/>
                <w:color w:val="000000" w:themeColor="text1"/>
                <w:lang w:val="zh-CN"/>
              </w:rPr>
              <w:t>2.在规定时间内未完成拆除作业的，扣10分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519"/>
          <w:jc w:val="center"/>
        </w:trPr>
        <w:tc>
          <w:tcPr>
            <w:tcW w:w="108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81"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扭力扳手的使用</w:t>
            </w:r>
          </w:p>
        </w:tc>
        <w:tc>
          <w:tcPr>
            <w:tcW w:w="741"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5152"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不能正确使用扭力扳手测量扣件拧紧扭力矩</w:t>
            </w:r>
            <w:r>
              <w:rPr>
                <w:rFonts w:ascii="仿宋" w:eastAsia="仿宋" w:hAnsi="仿宋" w:cs="仿宋" w:hint="eastAsia"/>
                <w:color w:val="000000" w:themeColor="text1"/>
              </w:rPr>
              <w:t>的，扣6分</w:t>
            </w:r>
          </w:p>
        </w:tc>
        <w:tc>
          <w:tcPr>
            <w:tcW w:w="788"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48" w:type="dxa"/>
          <w:jc w:val="center"/>
          <w:tblLayout w:type="fixed"/>
          <w:tblCellMar>
            <w:top w:w="0" w:type="dxa"/>
            <w:left w:w="108" w:type="dxa"/>
            <w:bottom w:w="0" w:type="dxa"/>
            <w:right w:w="108" w:type="dxa"/>
          </w:tblCellMar>
        </w:tblPrEx>
        <w:trPr>
          <w:trHeight w:val="913"/>
          <w:jc w:val="center"/>
        </w:trPr>
        <w:tc>
          <w:tcPr>
            <w:tcW w:w="1086"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r>
              <w:rPr>
                <w:rFonts w:ascii="仿宋" w:eastAsia="仿宋" w:hAnsi="仿宋" w:cs="仿宋" w:hint="eastAsia"/>
                <w:color w:val="000000"/>
              </w:rPr>
              <w:t>否决项</w:t>
            </w:r>
          </w:p>
        </w:tc>
        <w:tc>
          <w:tcPr>
            <w:tcW w:w="1281"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否决项说明</w:t>
            </w:r>
          </w:p>
        </w:tc>
        <w:tc>
          <w:tcPr>
            <w:tcW w:w="741"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rPr>
            </w:pPr>
            <w:r>
              <w:rPr>
                <w:rFonts w:ascii="仿宋" w:eastAsia="仿宋" w:hAnsi="仿宋" w:cs="仿宋" w:hint="eastAsia"/>
                <w:color w:val="000000" w:themeColor="text1"/>
              </w:rPr>
              <w:t>扣除该项分数</w:t>
            </w:r>
          </w:p>
        </w:tc>
        <w:tc>
          <w:tcPr>
            <w:tcW w:w="5152" w:type="dxa"/>
            <w:shd w:val="clear" w:color="auto" w:fill="auto"/>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未穿戴齐全劳动防护用品，不准继续操作，终止该项目的考试</w:t>
            </w:r>
          </w:p>
        </w:tc>
        <w:tc>
          <w:tcPr>
            <w:tcW w:w="788"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48" w:type="dxa"/>
          <w:jc w:val="center"/>
          <w:tblLayout w:type="fixed"/>
          <w:tblCellMar>
            <w:top w:w="0" w:type="dxa"/>
            <w:left w:w="108" w:type="dxa"/>
            <w:bottom w:w="0" w:type="dxa"/>
            <w:right w:w="108" w:type="dxa"/>
          </w:tblCellMar>
        </w:tblPrEx>
        <w:trPr>
          <w:trHeight w:val="468"/>
          <w:jc w:val="center"/>
        </w:trPr>
        <w:tc>
          <w:tcPr>
            <w:tcW w:w="3108" w:type="dxa"/>
            <w:gridSpan w:val="3"/>
            <w:shd w:val="clear" w:color="auto" w:fill="auto"/>
            <w:vAlign w:val="center"/>
          </w:tcPr>
          <w:p>
            <w:pPr>
              <w:keepNext w:val="0"/>
              <w:keepLines w:val="0"/>
              <w:pageBreakBefore w:val="0"/>
              <w:widowControl w:val="0"/>
              <w:kinsoku/>
              <w:wordWrap/>
              <w:overflowPunct w:val="0"/>
              <w:topLinePunct w:val="0"/>
              <w:autoSpaceDE/>
              <w:autoSpaceDN/>
              <w:bidi w:val="0"/>
              <w:jc w:val="center"/>
              <w:rPr>
                <w:rFonts w:ascii="黑体" w:eastAsia="黑体" w:hAnsi="黑体" w:cs="仿宋"/>
                <w:bCs/>
                <w:color w:val="000000"/>
              </w:rPr>
            </w:pPr>
            <w:r>
              <w:rPr>
                <w:rFonts w:ascii="黑体" w:eastAsia="黑体" w:hAnsi="黑体" w:cs="仿宋" w:hint="eastAsia"/>
                <w:bCs/>
                <w:color w:val="000000"/>
              </w:rPr>
              <w:t>该科目得分</w:t>
            </w:r>
          </w:p>
        </w:tc>
        <w:tc>
          <w:tcPr>
            <w:tcW w:w="5940" w:type="dxa"/>
            <w:gridSpan w:val="2"/>
            <w:shd w:val="clear" w:color="auto" w:fill="auto"/>
            <w:vAlign w:val="center"/>
          </w:tcPr>
          <w:p>
            <w:pPr>
              <w:keepNext w:val="0"/>
              <w:keepLines w:val="0"/>
              <w:pageBreakBefore w:val="0"/>
              <w:widowControl w:val="0"/>
              <w:kinsoku/>
              <w:wordWrap/>
              <w:overflowPunct w:val="0"/>
              <w:topLinePunct w:val="0"/>
              <w:autoSpaceDE/>
              <w:autoSpaceDN/>
              <w:bidi w:val="0"/>
              <w:jc w:val="center"/>
              <w:rPr>
                <w:rFonts w:ascii="黑体" w:eastAsia="黑体" w:hAnsi="黑体" w:cs="仿宋"/>
                <w:bCs/>
                <w:color w:val="000000"/>
              </w:rPr>
            </w:pPr>
          </w:p>
        </w:tc>
      </w:tr>
      <w:tr>
        <w:tblPrEx>
          <w:tblW w:w="9048" w:type="dxa"/>
          <w:jc w:val="center"/>
          <w:tblLayout w:type="fixed"/>
          <w:tblCellMar>
            <w:top w:w="0" w:type="dxa"/>
            <w:left w:w="108" w:type="dxa"/>
            <w:bottom w:w="0" w:type="dxa"/>
            <w:right w:w="108" w:type="dxa"/>
          </w:tblCellMar>
        </w:tblPrEx>
        <w:trPr>
          <w:trHeight w:val="590"/>
          <w:jc w:val="center"/>
        </w:trPr>
        <w:tc>
          <w:tcPr>
            <w:tcW w:w="9048" w:type="dxa"/>
            <w:gridSpan w:val="5"/>
            <w:shd w:val="clear" w:color="auto" w:fill="auto"/>
            <w:vAlign w:val="center"/>
          </w:tcPr>
          <w:p>
            <w:pPr>
              <w:keepNext w:val="0"/>
              <w:keepLines w:val="0"/>
              <w:pageBreakBefore w:val="0"/>
              <w:widowControl w:val="0"/>
              <w:kinsoku/>
              <w:wordWrap/>
              <w:overflowPunct w:val="0"/>
              <w:topLinePunct w:val="0"/>
              <w:autoSpaceDE/>
              <w:autoSpaceDN/>
              <w:bidi w:val="0"/>
              <w:rPr>
                <w:rFonts w:ascii="黑体" w:eastAsia="黑体" w:hAnsi="黑体" w:cs="仿宋"/>
                <w:color w:val="000000"/>
              </w:rPr>
            </w:pPr>
            <w:r>
              <w:rPr>
                <w:rFonts w:ascii="黑体" w:eastAsia="黑体" w:hAnsi="黑体" w:cs="仿宋" w:hint="eastAsia"/>
                <w:bCs/>
                <w:color w:val="000000"/>
              </w:rPr>
              <w:t xml:space="preserve">考生签字：        </w:t>
            </w:r>
            <w:r>
              <w:rPr>
                <w:rFonts w:ascii="黑体" w:eastAsia="黑体" w:hAnsi="黑体" w:cs="仿宋" w:hint="eastAsia"/>
                <w:bCs/>
                <w:color w:val="000000"/>
                <w:lang w:val="en-US" w:eastAsia="zh-CN"/>
              </w:rPr>
              <w:t xml:space="preserve">  </w:t>
            </w:r>
            <w:r>
              <w:rPr>
                <w:rFonts w:ascii="黑体" w:eastAsia="黑体" w:hAnsi="黑体" w:cs="仿宋" w:hint="eastAsia"/>
                <w:bCs/>
                <w:color w:val="000000"/>
              </w:rPr>
              <w:t xml:space="preserve"> </w:t>
            </w:r>
            <w:r>
              <w:rPr>
                <w:rFonts w:ascii="黑体" w:eastAsia="黑体" w:hAnsi="黑体" w:cs="仿宋" w:hint="eastAsia"/>
                <w:bCs/>
                <w:color w:val="000000"/>
                <w:lang w:val="en-US" w:eastAsia="zh-CN"/>
              </w:rPr>
              <w:t xml:space="preserve"> </w:t>
            </w:r>
            <w:r>
              <w:rPr>
                <w:rFonts w:ascii="黑体" w:eastAsia="黑体" w:hAnsi="黑体" w:cs="仿宋" w:hint="eastAsia"/>
                <w:bCs/>
                <w:color w:val="000000"/>
              </w:rPr>
              <w:t xml:space="preserve">    考评员签字：           </w:t>
            </w:r>
            <w:r>
              <w:rPr>
                <w:rFonts w:ascii="黑体" w:eastAsia="黑体" w:hAnsi="黑体" w:cs="仿宋" w:hint="eastAsia"/>
                <w:bCs/>
                <w:color w:val="000000"/>
                <w:lang w:val="en-US" w:eastAsia="zh-CN"/>
              </w:rPr>
              <w:t xml:space="preserve">         </w:t>
            </w:r>
            <w:r>
              <w:rPr>
                <w:rFonts w:ascii="黑体" w:eastAsia="黑体" w:hAnsi="黑体" w:cs="仿宋" w:hint="eastAsia"/>
                <w:bCs/>
                <w:color w:val="000000"/>
              </w:rPr>
              <w:t xml:space="preserve">    日期：     年   月   日</w:t>
            </w:r>
          </w:p>
        </w:tc>
      </w:tr>
    </w:tbl>
    <w:p>
      <w:pPr>
        <w:keepNext w:val="0"/>
        <w:keepLines w:val="0"/>
        <w:pageBreakBefore w:val="0"/>
        <w:widowControl w:val="0"/>
        <w:kinsoku/>
        <w:wordWrap/>
        <w:overflowPunct w:val="0"/>
        <w:topLinePunct w:val="0"/>
        <w:autoSpaceDE/>
        <w:autoSpaceDN/>
        <w:bidi w:val="0"/>
        <w:ind w:firstLine="420" w:firstLineChars="200"/>
        <w:rPr>
          <w:rFonts w:ascii="仿宋" w:eastAsia="仿宋" w:hAnsi="仿宋" w:cs="仿宋"/>
          <w:b/>
          <w:bCs/>
          <w:kern w:val="0"/>
        </w:rPr>
      </w:pPr>
      <w:r>
        <w:rPr>
          <w:rFonts w:ascii="仿宋" w:eastAsia="仿宋" w:hAnsi="仿宋" w:cs="仿宋" w:hint="eastAsia"/>
          <w:b/>
          <w:bCs/>
          <w:kern w:val="0"/>
        </w:rPr>
        <w:t>注：考生该项目考试结束，拒绝在评分表中签字确认的，视同为自动放弃该项目考试。该项目考试判定为零分。</w:t>
      </w:r>
    </w:p>
    <w:p>
      <w:pPr>
        <w:keepNext w:val="0"/>
        <w:keepLines w:val="0"/>
        <w:pageBreakBefore w:val="0"/>
        <w:widowControl w:val="0"/>
        <w:numPr>
          <w:ilvl w:val="4"/>
          <w:numId w:val="0"/>
        </w:numPr>
        <w:kinsoku/>
        <w:wordWrap/>
        <w:overflowPunct w:val="0"/>
        <w:topLinePunct w:val="0"/>
        <w:autoSpaceDE/>
        <w:autoSpaceDN/>
        <w:bidi w:val="0"/>
        <w:spacing w:before="156" w:beforeLines="50" w:after="156" w:afterLines="50"/>
        <w:jc w:val="center"/>
        <w:outlineLvl w:val="5"/>
        <w:rPr>
          <w:color w:val="000000" w:themeColor="text1"/>
        </w:rPr>
      </w:pPr>
      <w:r>
        <w:rPr>
          <w:rFonts w:ascii="黑体" w:eastAsia="黑体" w:hAnsi="黑体" w:cs="黑体" w:hint="eastAsia"/>
          <w:color w:val="000000" w:themeColor="text1"/>
          <w:kern w:val="0"/>
          <w:sz w:val="32"/>
          <w:szCs w:val="32"/>
        </w:rPr>
        <w:t>A.5.2.2</w:t>
      </w:r>
      <w:r>
        <w:rPr>
          <w:rFonts w:ascii="黑体" w:eastAsia="黑体" w:hAnsi="黑体" w:cs="黑体" w:hint="eastAsia"/>
          <w:color w:val="000000" w:themeColor="text1"/>
          <w:kern w:val="0"/>
          <w:sz w:val="32"/>
          <w:szCs w:val="32"/>
          <w:lang w:val="en-US" w:eastAsia="zh-CN"/>
        </w:rPr>
        <w:t xml:space="preserve">  </w:t>
      </w:r>
      <w:r>
        <w:rPr>
          <w:rFonts w:ascii="黑体" w:eastAsia="黑体" w:hAnsi="黑体" w:cs="黑体" w:hint="eastAsia"/>
          <w:color w:val="000000" w:themeColor="text1"/>
          <w:kern w:val="0"/>
          <w:sz w:val="32"/>
          <w:szCs w:val="32"/>
        </w:rPr>
        <w:t>双排钢管跨越架搭设与拆除评分表</w:t>
      </w:r>
    </w:p>
    <w:tbl>
      <w:tblPr>
        <w:tblStyle w:val="TableNormal"/>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96"/>
        <w:gridCol w:w="1204"/>
        <w:gridCol w:w="925"/>
        <w:gridCol w:w="4977"/>
        <w:gridCol w:w="796"/>
      </w:tblGrid>
      <w:tr>
        <w:tblPrEx>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05"/>
          <w:tblHeader/>
          <w:jc w:val="center"/>
        </w:trPr>
        <w:tc>
          <w:tcPr>
            <w:tcW w:w="1196"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spacing w:before="120" w:after="120"/>
              <w:jc w:val="center"/>
              <w:rPr>
                <w:rFonts w:ascii="黑体" w:eastAsia="黑体" w:hAnsi="黑体" w:cs="黑体"/>
                <w:color w:val="000000"/>
                <w:kern w:val="0"/>
              </w:rPr>
            </w:pPr>
            <w:r>
              <w:rPr>
                <w:rFonts w:ascii="黑体" w:eastAsia="黑体" w:hAnsi="黑体" w:cs="黑体" w:hint="eastAsia"/>
                <w:color w:val="000000"/>
                <w:kern w:val="0"/>
              </w:rPr>
              <w:t>考试项目</w:t>
            </w:r>
          </w:p>
        </w:tc>
        <w:tc>
          <w:tcPr>
            <w:tcW w:w="7902" w:type="dxa"/>
            <w:gridSpan w:val="4"/>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科目二：</w:t>
            </w:r>
            <w:r>
              <w:rPr>
                <w:rFonts w:ascii="黑体" w:eastAsia="黑体" w:hAnsi="黑体" w:cs="黑体" w:hint="eastAsia"/>
                <w:color w:val="000000"/>
              </w:rPr>
              <w:t>安全操作技术（K2）    考</w:t>
            </w:r>
            <w:r>
              <w:rPr>
                <w:rFonts w:ascii="黑体" w:eastAsia="黑体" w:hAnsi="黑体" w:cs="黑体" w:hint="eastAsia"/>
                <w:color w:val="000000" w:themeColor="text1"/>
              </w:rPr>
              <w:t>试时间：45分钟（权重60%</w:t>
            </w:r>
            <w:r>
              <w:rPr>
                <w:rFonts w:ascii="黑体" w:eastAsia="黑体" w:hAnsi="黑体" w:cs="黑体" w:hint="eastAsia"/>
                <w:color w:val="000000"/>
              </w:rPr>
              <w:t>）</w:t>
            </w:r>
          </w:p>
        </w:tc>
      </w:tr>
      <w:tr>
        <w:tblPrEx>
          <w:tblW w:w="9098" w:type="dxa"/>
          <w:jc w:val="center"/>
          <w:tblLayout w:type="fixed"/>
          <w:tblCellMar>
            <w:top w:w="0" w:type="dxa"/>
            <w:left w:w="108" w:type="dxa"/>
            <w:bottom w:w="0" w:type="dxa"/>
            <w:right w:w="108" w:type="dxa"/>
          </w:tblCellMar>
        </w:tblPrEx>
        <w:trPr>
          <w:trHeight w:val="505"/>
          <w:tblHeader/>
          <w:jc w:val="center"/>
        </w:trPr>
        <w:tc>
          <w:tcPr>
            <w:tcW w:w="1196"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spacing w:before="120" w:after="120"/>
              <w:jc w:val="center"/>
              <w:rPr>
                <w:rFonts w:ascii="黑体" w:eastAsia="黑体" w:hAnsi="黑体" w:cs="黑体"/>
                <w:color w:val="000000"/>
                <w:kern w:val="0"/>
              </w:rPr>
            </w:pPr>
            <w:r>
              <w:rPr>
                <w:rFonts w:ascii="黑体" w:eastAsia="黑体" w:hAnsi="黑体" w:cs="黑体" w:hint="eastAsia"/>
                <w:color w:val="000000"/>
                <w:kern w:val="0"/>
              </w:rPr>
              <w:t>项 目</w:t>
            </w:r>
          </w:p>
        </w:tc>
        <w:tc>
          <w:tcPr>
            <w:tcW w:w="1204"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spacing w:before="120" w:after="120"/>
              <w:jc w:val="center"/>
              <w:rPr>
                <w:rFonts w:ascii="黑体" w:eastAsia="黑体" w:hAnsi="黑体" w:cs="黑体"/>
                <w:color w:val="000000"/>
                <w:kern w:val="0"/>
              </w:rPr>
            </w:pPr>
            <w:r>
              <w:rPr>
                <w:rFonts w:ascii="黑体" w:eastAsia="黑体" w:hAnsi="黑体" w:cs="黑体" w:hint="eastAsia"/>
                <w:color w:val="000000"/>
                <w:kern w:val="0"/>
              </w:rPr>
              <w:t>内容</w:t>
            </w:r>
          </w:p>
        </w:tc>
        <w:tc>
          <w:tcPr>
            <w:tcW w:w="925" w:type="dxa"/>
            <w:shd w:val="clear" w:color="auto" w:fill="auto"/>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分值</w:t>
            </w:r>
          </w:p>
        </w:tc>
        <w:tc>
          <w:tcPr>
            <w:tcW w:w="4977"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评 分 标 准</w:t>
            </w:r>
          </w:p>
        </w:tc>
        <w:tc>
          <w:tcPr>
            <w:tcW w:w="796" w:type="dxa"/>
            <w:vAlign w:val="center"/>
          </w:tcPr>
          <w:p>
            <w:pPr>
              <w:keepNext w:val="0"/>
              <w:keepLines w:val="0"/>
              <w:pageBreakBefore w:val="0"/>
              <w:widowControl w:val="0"/>
              <w:tabs>
                <w:tab w:val="center" w:pos="4201"/>
                <w:tab w:val="right" w:leader="dot" w:pos="9298"/>
              </w:tabs>
              <w:kinsoku/>
              <w:wordWrap/>
              <w:overflowPunct w:val="0"/>
              <w:topLinePunct w:val="0"/>
              <w:autoSpaceDE/>
              <w:autoSpaceDN/>
              <w:bidi w:val="0"/>
              <w:jc w:val="center"/>
              <w:rPr>
                <w:rFonts w:ascii="黑体" w:eastAsia="黑体" w:hAnsi="黑体" w:cs="黑体"/>
                <w:color w:val="000000"/>
                <w:kern w:val="0"/>
              </w:rPr>
            </w:pPr>
            <w:r>
              <w:rPr>
                <w:rFonts w:ascii="黑体" w:eastAsia="黑体" w:hAnsi="黑体" w:cs="黑体" w:hint="eastAsia"/>
                <w:color w:val="000000"/>
                <w:kern w:val="0"/>
              </w:rPr>
              <w:t>扣分</w:t>
            </w: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r>
              <w:rPr>
                <w:rFonts w:ascii="仿宋" w:eastAsia="仿宋" w:hAnsi="仿宋" w:cs="仿宋" w:hint="eastAsia"/>
                <w:color w:val="000000"/>
              </w:rPr>
              <w:t>双排钢管跨越架搭设与拆除的安全操作技术</w:t>
            </w:r>
          </w:p>
        </w:tc>
        <w:tc>
          <w:tcPr>
            <w:tcW w:w="120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r>
              <w:rPr>
                <w:rFonts w:ascii="仿宋" w:eastAsia="仿宋" w:hAnsi="仿宋" w:cs="仿宋" w:hint="eastAsia"/>
                <w:color w:val="000000"/>
                <w:lang w:val="zh-CN"/>
              </w:rPr>
              <w:t>摆放垫木、底座</w:t>
            </w:r>
          </w:p>
        </w:tc>
        <w:tc>
          <w:tcPr>
            <w:tcW w:w="925"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r>
              <w:rPr>
                <w:rFonts w:ascii="仿宋" w:eastAsia="仿宋" w:hAnsi="仿宋" w:cs="仿宋" w:hint="eastAsia"/>
                <w:color w:val="000000"/>
                <w:lang w:val="zh-CN" w:bidi="en-US"/>
              </w:rPr>
              <w:t>8</w:t>
            </w: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lang w:val="zh-CN"/>
              </w:rPr>
              <w:t>1.未设置垫木</w:t>
            </w:r>
            <w:r>
              <w:rPr>
                <w:rFonts w:ascii="仿宋" w:eastAsia="仿宋" w:hAnsi="仿宋" w:cs="仿宋" w:hint="eastAsia"/>
                <w:color w:val="000000"/>
              </w:rPr>
              <w:t>的，扣8分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rPr>
              <w:t>2.垫木设置不正确、放置不平稳的，每处扣2分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288"/>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rPr>
              <w:t>3</w:t>
            </w:r>
            <w:r>
              <w:rPr>
                <w:rFonts w:ascii="仿宋" w:eastAsia="仿宋" w:hAnsi="仿宋" w:cs="仿宋" w:hint="eastAsia"/>
                <w:color w:val="000000"/>
                <w:lang w:val="zh-CN"/>
              </w:rPr>
              <w:t>.</w:t>
            </w:r>
            <w:r>
              <w:rPr>
                <w:rFonts w:ascii="仿宋" w:eastAsia="仿宋" w:hAnsi="仿宋" w:cs="仿宋" w:hint="eastAsia"/>
                <w:color w:val="000000"/>
              </w:rPr>
              <w:t>未</w:t>
            </w:r>
            <w:r>
              <w:rPr>
                <w:rFonts w:ascii="仿宋" w:eastAsia="仿宋" w:hAnsi="仿宋" w:cs="仿宋" w:hint="eastAsia"/>
                <w:color w:val="000000"/>
                <w:lang w:val="zh-CN"/>
              </w:rPr>
              <w:t>设置</w:t>
            </w:r>
            <w:r>
              <w:rPr>
                <w:rFonts w:ascii="仿宋" w:eastAsia="仿宋" w:hAnsi="仿宋" w:cs="仿宋" w:hint="eastAsia"/>
                <w:color w:val="000000"/>
              </w:rPr>
              <w:t>底座、底座放置不平稳的，每处扣2分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rPr>
            </w:pPr>
            <w:r>
              <w:rPr>
                <w:rFonts w:ascii="仿宋" w:eastAsia="仿宋" w:hAnsi="仿宋" w:cs="仿宋" w:hint="eastAsia"/>
                <w:color w:val="000000"/>
              </w:rPr>
              <w:t>4</w:t>
            </w:r>
            <w:r>
              <w:rPr>
                <w:rFonts w:ascii="仿宋" w:eastAsia="仿宋" w:hAnsi="仿宋" w:cs="仿宋" w:hint="eastAsia"/>
                <w:color w:val="000000"/>
                <w:lang w:val="zh-CN"/>
              </w:rPr>
              <w:t>.</w:t>
            </w:r>
            <w:r>
              <w:rPr>
                <w:rFonts w:ascii="仿宋" w:eastAsia="仿宋" w:hAnsi="仿宋" w:cs="仿宋" w:hint="eastAsia"/>
                <w:color w:val="000000"/>
              </w:rPr>
              <w:t>地面有杂物的，每处扣2分。扣完为止</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搭设立杆</w:t>
            </w:r>
          </w:p>
        </w:tc>
        <w:tc>
          <w:tcPr>
            <w:tcW w:w="925"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1.杆件间距尺寸偏差超过规定值</w:t>
            </w:r>
            <w:r>
              <w:rPr>
                <w:rFonts w:ascii="仿宋" w:eastAsia="仿宋" w:hAnsi="仿宋" w:cs="仿宋" w:hint="eastAsia"/>
                <w:color w:val="000000" w:themeColor="text1"/>
              </w:rPr>
              <w:t>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2.立杆垂直</w:t>
            </w:r>
            <w:r>
              <w:rPr>
                <w:rFonts w:ascii="仿宋" w:eastAsia="仿宋" w:hAnsi="仿宋" w:cs="仿宋" w:hint="eastAsia"/>
                <w:color w:val="000000" w:themeColor="text1"/>
              </w:rPr>
              <w:t>度偏差超过规定值</w:t>
            </w:r>
            <w:r>
              <w:rPr>
                <w:rFonts w:ascii="仿宋" w:eastAsia="仿宋" w:hAnsi="仿宋" w:cs="仿宋" w:hint="eastAsia"/>
                <w:color w:val="000000" w:themeColor="text1"/>
                <w:lang w:val="zh-CN"/>
              </w:rPr>
              <w:t>的，</w:t>
            </w:r>
            <w:r>
              <w:rPr>
                <w:rFonts w:ascii="仿宋" w:eastAsia="仿宋" w:hAnsi="仿宋" w:cs="仿宋" w:hint="eastAsia"/>
                <w:color w:val="000000" w:themeColor="text1"/>
              </w:rPr>
              <w:t>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3.立杆对接、搭接不正确的，每处扣2分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567"/>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spacing w:after="0"/>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.立杆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bl>
    <w:p>
      <w:pPr>
        <w:sectPr>
          <w:footerReference w:type="default" r:id="rId37"/>
          <w:type w:val="nextPage"/>
          <w:pgSz w:w="11906" w:h="16838"/>
          <w:pgMar w:top="2098" w:right="1531" w:bottom="1984" w:left="1531" w:header="851" w:footer="1531" w:gutter="0"/>
          <w:pgNumType w:fmt="decimal" w:start="336"/>
          <w:cols w:num="1" w:space="425"/>
          <w:titlePg w:val="0"/>
          <w:docGrid w:type="lines" w:linePitch="312" w:charSpace="0"/>
        </w:sectPr>
      </w:pPr>
    </w:p>
    <w:tbl>
      <w:tblPr>
        <w:tblStyle w:val="TableNormal"/>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96"/>
        <w:gridCol w:w="1204"/>
        <w:gridCol w:w="925"/>
        <w:gridCol w:w="4977"/>
        <w:gridCol w:w="796"/>
      </w:tblGrid>
      <w:tr>
        <w:tblPrEx>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67"/>
          <w:jc w:val="center"/>
        </w:trPr>
        <w:tc>
          <w:tcPr>
            <w:tcW w:w="1196" w:type="dxa"/>
            <w:vMerge w:val="restart"/>
            <w:shd w:val="clear" w:color="auto" w:fill="auto"/>
            <w:vAlign w:val="center"/>
          </w:tcPr>
          <w:p/>
        </w:tc>
        <w:tc>
          <w:tcPr>
            <w:tcW w:w="1204" w:type="dxa"/>
            <w:vMerge w:val="restart"/>
            <w:shd w:val="clear" w:color="auto" w:fill="auto"/>
            <w:vAlign w:val="center"/>
          </w:tcPr>
          <w:p/>
        </w:tc>
        <w:tc>
          <w:tcPr>
            <w:tcW w:w="925" w:type="dxa"/>
            <w:vMerge w:val="restart"/>
            <w:shd w:val="clear" w:color="auto" w:fill="auto"/>
            <w:vAlign w:val="center"/>
          </w:tcPr>
          <w:p/>
        </w:tc>
        <w:tc>
          <w:tcPr>
            <w:tcW w:w="4977" w:type="dxa"/>
            <w:vAlign w:val="center"/>
          </w:tcPr>
          <w:p>
            <w:pPr>
              <w:keepNext w:val="0"/>
              <w:keepLines w:val="0"/>
              <w:pageBreakBefore w:val="0"/>
              <w:widowControl w:val="0"/>
              <w:kinsoku/>
              <w:wordWrap/>
              <w:overflowPunct w:val="0"/>
              <w:topLinePunct w:val="0"/>
              <w:autoSpaceDE/>
              <w:autoSpaceDN/>
              <w:bidi w:val="0"/>
              <w:spacing w:before="0"/>
              <w:jc w:val="left"/>
              <w:rPr>
                <w:rFonts w:ascii="仿宋" w:eastAsia="仿宋" w:hAnsi="仿宋" w:cs="仿宋"/>
                <w:color w:val="000000" w:themeColor="text1"/>
              </w:rPr>
            </w:pPr>
            <w:r>
              <w:rPr>
                <w:rFonts w:ascii="仿宋" w:eastAsia="仿宋" w:hAnsi="仿宋" w:cs="仿宋" w:hint="eastAsia"/>
                <w:color w:val="000000" w:themeColor="text1"/>
              </w:rPr>
              <w:t>对接、搭接间距不符合规范要求的，每处扣2分。扣完为止</w:t>
            </w:r>
          </w:p>
        </w:tc>
        <w:tc>
          <w:tcPr>
            <w:tcW w:w="796" w:type="dxa"/>
            <w:vAlign w:val="center"/>
          </w:tc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搭设扫地杆</w:t>
            </w:r>
          </w:p>
        </w:tc>
        <w:tc>
          <w:tcPr>
            <w:tcW w:w="925"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8</w:t>
            </w: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1.未设置扫地杆</w:t>
            </w:r>
            <w:r>
              <w:rPr>
                <w:rFonts w:ascii="仿宋" w:eastAsia="仿宋" w:hAnsi="仿宋" w:cs="仿宋" w:hint="eastAsia"/>
                <w:color w:val="000000" w:themeColor="text1"/>
              </w:rPr>
              <w:t>的，扣8分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420"/>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2.纵向扫地杆距地面高度大于200mm的，每处扣2分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724"/>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3.未将横向扫地杆置于纵向扫地杆下方的，每处扣2分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724"/>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4.横向扫地杆距主节点大于150mm的，每处扣2分。扣完为止</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搭设纵向水平杆</w:t>
            </w:r>
          </w:p>
        </w:tc>
        <w:tc>
          <w:tcPr>
            <w:tcW w:w="925"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1.</w:t>
            </w:r>
            <w:r>
              <w:rPr>
                <w:rFonts w:ascii="仿宋" w:eastAsia="仿宋" w:hAnsi="仿宋" w:cs="仿宋" w:hint="eastAsia"/>
                <w:color w:val="000000" w:themeColor="text1"/>
                <w:lang w:val="zh-CN"/>
              </w:rPr>
              <w:t>杆件间距尺寸偏差超过规定值</w:t>
            </w:r>
            <w:r>
              <w:rPr>
                <w:rFonts w:ascii="仿宋" w:eastAsia="仿宋" w:hAnsi="仿宋" w:cs="仿宋" w:hint="eastAsia"/>
                <w:color w:val="000000" w:themeColor="text1"/>
              </w:rPr>
              <w:t>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w:t>
            </w:r>
            <w:r>
              <w:rPr>
                <w:rFonts w:ascii="仿宋" w:eastAsia="仿宋" w:hAnsi="仿宋" w:cs="仿宋" w:hint="eastAsia"/>
                <w:color w:val="000000" w:themeColor="text1"/>
                <w:lang w:val="zh-CN"/>
              </w:rPr>
              <w:t>.杆件不能保持水平</w:t>
            </w:r>
            <w:r>
              <w:rPr>
                <w:rFonts w:ascii="仿宋" w:eastAsia="仿宋" w:hAnsi="仿宋" w:cs="仿宋" w:hint="eastAsia"/>
                <w:color w:val="000000" w:themeColor="text1"/>
              </w:rPr>
              <w:t>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.杆件设置在立杆之外</w:t>
            </w:r>
            <w:r>
              <w:rPr>
                <w:rFonts w:ascii="仿宋" w:eastAsia="仿宋" w:hAnsi="仿宋" w:cs="仿宋" w:hint="eastAsia"/>
                <w:color w:val="000000" w:themeColor="text1"/>
              </w:rPr>
              <w:t>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567"/>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.杆件连接、</w:t>
            </w:r>
            <w:r>
              <w:rPr>
                <w:rFonts w:ascii="仿宋" w:eastAsia="仿宋" w:hAnsi="仿宋" w:cs="仿宋" w:hint="eastAsia"/>
                <w:color w:val="000000" w:themeColor="text1"/>
              </w:rPr>
              <w:t>扣件的选择及安装</w:t>
            </w:r>
            <w:r>
              <w:rPr>
                <w:rFonts w:ascii="仿宋" w:eastAsia="仿宋" w:hAnsi="仿宋" w:cs="仿宋" w:hint="eastAsia"/>
                <w:color w:val="000000" w:themeColor="text1"/>
                <w:lang w:val="zh-CN"/>
              </w:rPr>
              <w:t>不符合</w:t>
            </w:r>
            <w:r>
              <w:rPr>
                <w:rFonts w:ascii="仿宋" w:eastAsia="仿宋" w:hAnsi="仿宋" w:cs="仿宋" w:hint="eastAsia"/>
                <w:color w:val="000000" w:themeColor="text1"/>
              </w:rPr>
              <w:t>规范</w:t>
            </w:r>
            <w:r>
              <w:rPr>
                <w:rFonts w:ascii="仿宋" w:eastAsia="仿宋" w:hAnsi="仿宋" w:cs="仿宋" w:hint="eastAsia"/>
                <w:color w:val="000000" w:themeColor="text1"/>
                <w:lang w:val="zh-CN"/>
              </w:rPr>
              <w:t>要求</w:t>
            </w:r>
            <w:r>
              <w:rPr>
                <w:rFonts w:ascii="仿宋" w:eastAsia="仿宋" w:hAnsi="仿宋" w:cs="仿宋" w:hint="eastAsia"/>
                <w:color w:val="000000" w:themeColor="text1"/>
              </w:rPr>
              <w:t>的，每处扣2分。扣完为止</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搭设横向水平杆</w:t>
            </w:r>
          </w:p>
        </w:tc>
        <w:tc>
          <w:tcPr>
            <w:tcW w:w="925"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1.未设置横向水平杆的，扣10分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2.主节点及需要搭设横向水平杆的部位缺少横向水平杆的，每处扣2分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3.杆件设置距主节点大于150mm的，每处扣2分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724"/>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4.杆件连接、扣件的选择及安装不符合规范要求的，每处扣2分。扣完为止</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搭设抛撑</w:t>
            </w:r>
          </w:p>
        </w:tc>
        <w:tc>
          <w:tcPr>
            <w:tcW w:w="925"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1.未设置抛撑</w:t>
            </w:r>
            <w:r>
              <w:rPr>
                <w:rFonts w:ascii="仿宋" w:eastAsia="仿宋" w:hAnsi="仿宋" w:cs="仿宋" w:hint="eastAsia"/>
                <w:color w:val="000000" w:themeColor="text1"/>
              </w:rPr>
              <w:t>的，扣10分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lang w:val="zh-CN"/>
              </w:rPr>
            </w:pPr>
            <w:r>
              <w:rPr>
                <w:rFonts w:ascii="仿宋" w:eastAsia="仿宋" w:hAnsi="仿宋" w:cs="仿宋" w:hint="eastAsia"/>
                <w:color w:val="000000" w:themeColor="text1"/>
              </w:rPr>
              <w:t>2.抛撑设置数量不符合规范要求的，每处扣2分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.未触及地面及夹角不符合45º</w:t>
            </w:r>
            <w:r>
              <w:rPr>
                <w:rFonts w:ascii="仿宋" w:eastAsia="仿宋" w:hAnsi="仿宋" w:cs="仿宋" w:hint="eastAsia"/>
                <w:color w:val="000000" w:themeColor="text1"/>
              </w:rPr>
              <w:t>—</w:t>
            </w:r>
            <w:r>
              <w:rPr>
                <w:rFonts w:ascii="仿宋" w:eastAsia="仿宋" w:hAnsi="仿宋" w:cs="仿宋" w:hint="eastAsia"/>
                <w:color w:val="000000" w:themeColor="text1"/>
                <w:lang w:val="zh-CN"/>
              </w:rPr>
              <w:t>60º</w:t>
            </w:r>
            <w:r>
              <w:rPr>
                <w:rFonts w:ascii="仿宋" w:eastAsia="仿宋" w:hAnsi="仿宋" w:cs="仿宋" w:hint="eastAsia"/>
                <w:color w:val="000000" w:themeColor="text1"/>
              </w:rPr>
              <w:t>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567"/>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.连接点至主节点的距离大于300mm</w:t>
            </w:r>
            <w:r>
              <w:rPr>
                <w:rFonts w:ascii="仿宋" w:eastAsia="仿宋" w:hAnsi="仿宋" w:cs="仿宋" w:hint="eastAsia"/>
                <w:color w:val="000000" w:themeColor="text1"/>
              </w:rPr>
              <w:t>的，每处扣2分。扣完为止</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搭设剪刀撑</w:t>
            </w:r>
          </w:p>
        </w:tc>
        <w:tc>
          <w:tcPr>
            <w:tcW w:w="925"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8</w:t>
            </w: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1.未设置剪刀撑的，扣8分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2.剪刀撑设置数量不符合规范要求的，每处扣2分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3未触及地面及夹角不符合</w:t>
            </w:r>
            <w:r>
              <w:rPr>
                <w:rFonts w:ascii="仿宋" w:eastAsia="仿宋" w:hAnsi="仿宋" w:cs="仿宋" w:hint="eastAsia"/>
                <w:color w:val="000000" w:themeColor="text1"/>
                <w:lang w:val="zh-CN"/>
              </w:rPr>
              <w:t>45º</w:t>
            </w:r>
            <w:r>
              <w:rPr>
                <w:rFonts w:ascii="仿宋" w:eastAsia="仿宋" w:hAnsi="仿宋" w:cs="仿宋" w:hint="eastAsia"/>
                <w:color w:val="000000" w:themeColor="text1"/>
              </w:rPr>
              <w:t>—</w:t>
            </w:r>
            <w:r>
              <w:rPr>
                <w:rFonts w:ascii="仿宋" w:eastAsia="仿宋" w:hAnsi="仿宋" w:cs="仿宋" w:hint="eastAsia"/>
                <w:color w:val="000000" w:themeColor="text1"/>
                <w:lang w:val="zh-CN"/>
              </w:rPr>
              <w:t>60º</w:t>
            </w:r>
            <w:r>
              <w:rPr>
                <w:rFonts w:ascii="仿宋" w:eastAsia="仿宋" w:hAnsi="仿宋" w:cs="仿宋" w:hint="eastAsia"/>
                <w:color w:val="000000" w:themeColor="text1"/>
              </w:rPr>
              <w:t>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bl>
    <w:p>
      <w:pPr>
        <w:sectPr>
          <w:footerReference w:type="default" r:id="rId38"/>
          <w:type w:val="nextPage"/>
          <w:pgSz w:w="11906" w:h="16838"/>
          <w:pgMar w:top="2098" w:right="1531" w:bottom="1984" w:left="1531" w:header="851" w:footer="1531" w:gutter="0"/>
          <w:pgNumType w:fmt="decimal" w:start="337"/>
          <w:cols w:num="1" w:space="425"/>
          <w:titlePg w:val="0"/>
          <w:docGrid w:type="lines" w:linePitch="312" w:charSpace="0"/>
        </w:sectPr>
      </w:pPr>
    </w:p>
    <w:tbl>
      <w:tblPr>
        <w:tblStyle w:val="TableNormal"/>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96"/>
        <w:gridCol w:w="1204"/>
        <w:gridCol w:w="925"/>
        <w:gridCol w:w="4977"/>
        <w:gridCol w:w="796"/>
      </w:tblGrid>
      <w:tr>
        <w:tblPrEx>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2"/>
          <w:jc w:val="center"/>
        </w:trPr>
        <w:tc>
          <w:tcPr>
            <w:tcW w:w="1196"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4.剪刀撑搭接不符合规范要求的，每处扣2分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724"/>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5.剪刀撑固定不符合规范要求的，每处扣2分。扣完为止</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搭设斜拉杆</w:t>
            </w:r>
          </w:p>
        </w:tc>
        <w:tc>
          <w:tcPr>
            <w:tcW w:w="925"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6</w:t>
            </w: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lang w:val="zh-CN"/>
              </w:rPr>
              <w:t>1.未设置斜拉杆</w:t>
            </w:r>
            <w:r>
              <w:rPr>
                <w:rFonts w:ascii="仿宋" w:eastAsia="仿宋" w:hAnsi="仿宋" w:cs="仿宋" w:hint="eastAsia"/>
                <w:color w:val="000000" w:themeColor="text1"/>
              </w:rPr>
              <w:t>的，扣6分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lang w:val="zh-CN"/>
              </w:rPr>
            </w:pPr>
            <w:r>
              <w:rPr>
                <w:rFonts w:ascii="仿宋" w:eastAsia="仿宋" w:hAnsi="仿宋" w:cs="仿宋" w:hint="eastAsia"/>
                <w:color w:val="000000" w:themeColor="text1"/>
              </w:rPr>
              <w:t>2.斜拉杆设置数量不符合规范要求的，每处扣2分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3</w:t>
            </w:r>
            <w:r>
              <w:rPr>
                <w:rFonts w:ascii="仿宋" w:eastAsia="仿宋" w:hAnsi="仿宋" w:cs="仿宋" w:hint="eastAsia"/>
                <w:color w:val="000000" w:themeColor="text1"/>
                <w:lang w:val="zh-CN"/>
              </w:rPr>
              <w:t>.斜拉杆夹角不符合45º</w:t>
            </w:r>
            <w:r>
              <w:rPr>
                <w:rFonts w:ascii="仿宋" w:eastAsia="仿宋" w:hAnsi="仿宋" w:cs="仿宋" w:hint="eastAsia"/>
                <w:color w:val="000000" w:themeColor="text1"/>
              </w:rPr>
              <w:t>—</w:t>
            </w:r>
            <w:r>
              <w:rPr>
                <w:rFonts w:ascii="仿宋" w:eastAsia="仿宋" w:hAnsi="仿宋" w:cs="仿宋" w:hint="eastAsia"/>
                <w:color w:val="000000" w:themeColor="text1"/>
                <w:lang w:val="zh-CN"/>
              </w:rPr>
              <w:t>60º</w:t>
            </w:r>
            <w:r>
              <w:rPr>
                <w:rFonts w:ascii="仿宋" w:eastAsia="仿宋" w:hAnsi="仿宋" w:cs="仿宋" w:hint="eastAsia"/>
                <w:color w:val="000000" w:themeColor="text1"/>
              </w:rPr>
              <w:t>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422"/>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4</w:t>
            </w:r>
            <w:r>
              <w:rPr>
                <w:rFonts w:ascii="仿宋" w:eastAsia="仿宋" w:hAnsi="仿宋" w:cs="仿宋" w:hint="eastAsia"/>
                <w:color w:val="000000" w:themeColor="text1"/>
                <w:lang w:val="zh-CN"/>
              </w:rPr>
              <w:t>.斜拉杆固定不牢固</w:t>
            </w:r>
            <w:r>
              <w:rPr>
                <w:rFonts w:ascii="仿宋" w:eastAsia="仿宋" w:hAnsi="仿宋" w:cs="仿宋" w:hint="eastAsia"/>
                <w:color w:val="000000" w:themeColor="text1"/>
              </w:rPr>
              <w:t>的，每处扣2分。扣完为止</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724"/>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扣件拧紧扭力矩</w:t>
            </w:r>
          </w:p>
        </w:tc>
        <w:tc>
          <w:tcPr>
            <w:tcW w:w="925"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10</w:t>
            </w: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1.随机抽查5个扣件的拧紧扭力矩，不在40-65N•m范围内的，每处扣2分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724"/>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2.因拧力过大，造成扣件报废的，每处扣4分。扣完为止</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393"/>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lang w:val="zh-CN"/>
              </w:rPr>
              <w:t>拆除</w:t>
            </w:r>
          </w:p>
        </w:tc>
        <w:tc>
          <w:tcPr>
            <w:tcW w:w="925" w:type="dxa"/>
            <w:vMerge w:val="restart"/>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lang w:val="zh-CN" w:bidi="en-US"/>
              </w:rPr>
              <w:t>20</w:t>
            </w: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lang w:val="zh-CN"/>
              </w:rPr>
            </w:pPr>
            <w:r>
              <w:rPr>
                <w:rFonts w:ascii="仿宋" w:eastAsia="仿宋" w:hAnsi="仿宋" w:cs="仿宋" w:hint="eastAsia"/>
                <w:color w:val="000000" w:themeColor="text1"/>
                <w:sz w:val="20"/>
                <w:szCs w:val="20"/>
                <w:lang w:val="zh-CN"/>
              </w:rPr>
              <w:t>1.未按先搭后拆、后搭先拆要求进行拆除的，</w:t>
            </w:r>
            <w:r>
              <w:rPr>
                <w:rFonts w:ascii="仿宋" w:eastAsia="仿宋" w:hAnsi="仿宋" w:cs="仿宋" w:hint="eastAsia"/>
                <w:color w:val="000000" w:themeColor="text1"/>
                <w:sz w:val="20"/>
                <w:szCs w:val="20"/>
              </w:rPr>
              <w:t>扣20分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448"/>
          <w:jc w:val="center"/>
        </w:trPr>
        <w:tc>
          <w:tcPr>
            <w:tcW w:w="1196"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c>
          <w:tcPr>
            <w:tcW w:w="1204"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p>
        </w:tc>
        <w:tc>
          <w:tcPr>
            <w:tcW w:w="925" w:type="dxa"/>
            <w:vMerge/>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rPr>
            </w:pPr>
            <w:r>
              <w:rPr>
                <w:rFonts w:ascii="仿宋" w:eastAsia="仿宋" w:hAnsi="仿宋" w:cs="仿宋" w:hint="eastAsia"/>
                <w:color w:val="000000" w:themeColor="text1"/>
              </w:rPr>
              <w:t>2.在规定时间内未完成拆除作业的，扣10分</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p>
        </w:tc>
      </w:tr>
      <w:tr>
        <w:tblPrEx>
          <w:tblW w:w="9098" w:type="dxa"/>
          <w:jc w:val="center"/>
          <w:tblLayout w:type="fixed"/>
          <w:tblCellMar>
            <w:top w:w="0" w:type="dxa"/>
            <w:left w:w="108" w:type="dxa"/>
            <w:bottom w:w="0" w:type="dxa"/>
            <w:right w:w="108" w:type="dxa"/>
          </w:tblCellMar>
        </w:tblPrEx>
        <w:trPr>
          <w:trHeight w:val="567"/>
          <w:jc w:val="center"/>
        </w:trPr>
        <w:tc>
          <w:tcPr>
            <w:tcW w:w="1196"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lang w:val="zh-CN"/>
              </w:rPr>
            </w:pPr>
            <w:r>
              <w:rPr>
                <w:rFonts w:ascii="仿宋" w:eastAsia="仿宋" w:hAnsi="仿宋" w:cs="仿宋" w:hint="eastAsia"/>
                <w:color w:val="000000"/>
                <w:lang w:val="zh-CN"/>
              </w:rPr>
              <w:t>否决项</w:t>
            </w:r>
          </w:p>
        </w:tc>
        <w:tc>
          <w:tcPr>
            <w:tcW w:w="1204"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rPr>
            </w:pPr>
            <w:r>
              <w:rPr>
                <w:rFonts w:ascii="仿宋" w:eastAsia="仿宋" w:hAnsi="仿宋" w:cs="仿宋" w:hint="eastAsia"/>
                <w:color w:val="000000" w:themeColor="text1"/>
              </w:rPr>
              <w:t>否决项说明</w:t>
            </w:r>
          </w:p>
        </w:tc>
        <w:tc>
          <w:tcPr>
            <w:tcW w:w="925" w:type="dxa"/>
            <w:shd w:val="clear" w:color="auto" w:fill="auto"/>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themeColor="text1"/>
                <w:lang w:val="zh-CN" w:bidi="en-US"/>
              </w:rPr>
            </w:pPr>
            <w:r>
              <w:rPr>
                <w:rFonts w:ascii="仿宋" w:eastAsia="仿宋" w:hAnsi="仿宋" w:cs="仿宋" w:hint="eastAsia"/>
                <w:color w:val="000000" w:themeColor="text1"/>
              </w:rPr>
              <w:t>扣除该项分数</w:t>
            </w:r>
          </w:p>
        </w:tc>
        <w:tc>
          <w:tcPr>
            <w:tcW w:w="4977" w:type="dxa"/>
            <w:vAlign w:val="center"/>
          </w:tcPr>
          <w:p>
            <w:pPr>
              <w:keepNext w:val="0"/>
              <w:keepLines w:val="0"/>
              <w:pageBreakBefore w:val="0"/>
              <w:widowControl w:val="0"/>
              <w:kinsoku/>
              <w:wordWrap/>
              <w:overflowPunct w:val="0"/>
              <w:topLinePunct w:val="0"/>
              <w:autoSpaceDE/>
              <w:autoSpaceDN/>
              <w:bidi w:val="0"/>
              <w:jc w:val="left"/>
              <w:rPr>
                <w:rFonts w:ascii="仿宋" w:eastAsia="仿宋" w:hAnsi="仿宋" w:cs="仿宋"/>
                <w:color w:val="000000" w:themeColor="text1"/>
                <w:lang w:val="zh-CN"/>
              </w:rPr>
            </w:pPr>
            <w:r>
              <w:rPr>
                <w:rFonts w:ascii="仿宋" w:eastAsia="仿宋" w:hAnsi="仿宋" w:cs="仿宋" w:hint="eastAsia"/>
                <w:color w:val="000000" w:themeColor="text1"/>
              </w:rPr>
              <w:t>未穿戴齐全劳动防护用品，不准继续操作，终止该项目的考试</w:t>
            </w:r>
          </w:p>
        </w:tc>
        <w:tc>
          <w:tcPr>
            <w:tcW w:w="796" w:type="dxa"/>
            <w:vAlign w:val="center"/>
          </w:tcPr>
          <w:p>
            <w:pPr>
              <w:keepNext w:val="0"/>
              <w:keepLines w:val="0"/>
              <w:pageBreakBefore w:val="0"/>
              <w:widowControl w:val="0"/>
              <w:kinsoku/>
              <w:wordWrap/>
              <w:overflowPunct w:val="0"/>
              <w:topLinePunct w:val="0"/>
              <w:autoSpaceDE/>
              <w:autoSpaceDN/>
              <w:bidi w:val="0"/>
              <w:jc w:val="center"/>
              <w:rPr>
                <w:rFonts w:ascii="仿宋" w:eastAsia="仿宋" w:hAnsi="仿宋" w:cs="仿宋"/>
                <w:color w:val="000000"/>
              </w:rPr>
            </w:pPr>
          </w:p>
        </w:tc>
      </w:tr>
      <w:tr>
        <w:tblPrEx>
          <w:tblW w:w="9098" w:type="dxa"/>
          <w:jc w:val="center"/>
          <w:tblLayout w:type="fixed"/>
          <w:tblCellMar>
            <w:top w:w="0" w:type="dxa"/>
            <w:left w:w="108" w:type="dxa"/>
            <w:bottom w:w="0" w:type="dxa"/>
            <w:right w:w="108" w:type="dxa"/>
          </w:tblCellMar>
        </w:tblPrEx>
        <w:trPr>
          <w:trHeight w:val="456"/>
          <w:jc w:val="center"/>
        </w:trPr>
        <w:tc>
          <w:tcPr>
            <w:tcW w:w="3325" w:type="dxa"/>
            <w:gridSpan w:val="3"/>
            <w:shd w:val="clear" w:color="auto" w:fill="auto"/>
            <w:vAlign w:val="center"/>
          </w:tcPr>
          <w:p>
            <w:pPr>
              <w:keepNext w:val="0"/>
              <w:keepLines w:val="0"/>
              <w:pageBreakBefore w:val="0"/>
              <w:widowControl w:val="0"/>
              <w:kinsoku/>
              <w:wordWrap/>
              <w:overflowPunct w:val="0"/>
              <w:topLinePunct w:val="0"/>
              <w:autoSpaceDE/>
              <w:autoSpaceDN/>
              <w:bidi w:val="0"/>
              <w:jc w:val="center"/>
              <w:rPr>
                <w:rFonts w:ascii="黑体" w:eastAsia="黑体" w:hAnsi="黑体" w:cs="黑体"/>
                <w:color w:val="000000"/>
                <w:lang w:bidi="en-US"/>
              </w:rPr>
            </w:pPr>
            <w:r>
              <w:rPr>
                <w:rFonts w:ascii="黑体" w:eastAsia="黑体" w:hAnsi="黑体" w:cs="黑体" w:hint="eastAsia"/>
                <w:color w:val="000000"/>
                <w:lang w:bidi="en-US"/>
              </w:rPr>
              <w:t>该科目得分</w:t>
            </w:r>
          </w:p>
        </w:tc>
        <w:tc>
          <w:tcPr>
            <w:tcW w:w="5773" w:type="dxa"/>
            <w:gridSpan w:val="2"/>
            <w:vAlign w:val="center"/>
          </w:tcPr>
          <w:p>
            <w:pPr>
              <w:keepNext w:val="0"/>
              <w:keepLines w:val="0"/>
              <w:pageBreakBefore w:val="0"/>
              <w:widowControl w:val="0"/>
              <w:kinsoku/>
              <w:wordWrap/>
              <w:overflowPunct w:val="0"/>
              <w:topLinePunct w:val="0"/>
              <w:autoSpaceDE/>
              <w:autoSpaceDN/>
              <w:bidi w:val="0"/>
              <w:jc w:val="center"/>
              <w:rPr>
                <w:rFonts w:ascii="黑体" w:eastAsia="黑体" w:hAnsi="黑体" w:cs="黑体"/>
                <w:color w:val="000000"/>
                <w:lang w:val="zh-CN"/>
              </w:rPr>
            </w:pPr>
          </w:p>
        </w:tc>
      </w:tr>
      <w:tr>
        <w:tblPrEx>
          <w:tblW w:w="9098" w:type="dxa"/>
          <w:jc w:val="center"/>
          <w:tblLayout w:type="fixed"/>
          <w:tblCellMar>
            <w:top w:w="0" w:type="dxa"/>
            <w:left w:w="108" w:type="dxa"/>
            <w:bottom w:w="0" w:type="dxa"/>
            <w:right w:w="108" w:type="dxa"/>
          </w:tblCellMar>
        </w:tblPrEx>
        <w:trPr>
          <w:trHeight w:val="530"/>
          <w:jc w:val="center"/>
        </w:trPr>
        <w:tc>
          <w:tcPr>
            <w:tcW w:w="9098" w:type="dxa"/>
            <w:gridSpan w:val="5"/>
            <w:shd w:val="clear" w:color="auto" w:fill="auto"/>
            <w:vAlign w:val="center"/>
          </w:tcPr>
          <w:p>
            <w:pPr>
              <w:keepNext w:val="0"/>
              <w:keepLines w:val="0"/>
              <w:pageBreakBefore w:val="0"/>
              <w:widowControl w:val="0"/>
              <w:kinsoku/>
              <w:wordWrap/>
              <w:overflowPunct w:val="0"/>
              <w:topLinePunct w:val="0"/>
              <w:autoSpaceDE/>
              <w:autoSpaceDN/>
              <w:bidi w:val="0"/>
              <w:ind w:firstLine="210" w:firstLineChars="100"/>
              <w:rPr>
                <w:rFonts w:ascii="黑体" w:eastAsia="黑体" w:hAnsi="黑体" w:cs="黑体"/>
                <w:color w:val="000000"/>
              </w:rPr>
            </w:pPr>
            <w:r>
              <w:rPr>
                <w:rFonts w:ascii="黑体" w:eastAsia="黑体" w:hAnsi="黑体" w:cs="黑体" w:hint="eastAsia"/>
                <w:color w:val="000000"/>
              </w:rPr>
              <w:t xml:space="preserve">考生签字：            </w:t>
            </w:r>
            <w:r>
              <w:rPr>
                <w:rFonts w:ascii="黑体" w:eastAsia="黑体" w:hAnsi="黑体" w:cs="黑体" w:hint="eastAsia"/>
                <w:color w:val="000000"/>
                <w:lang w:val="en-US" w:eastAsia="zh-CN"/>
              </w:rPr>
              <w:t xml:space="preserve">  </w:t>
            </w:r>
            <w:r>
              <w:rPr>
                <w:rFonts w:ascii="黑体" w:eastAsia="黑体" w:hAnsi="黑体" w:cs="黑体" w:hint="eastAsia"/>
                <w:color w:val="000000"/>
              </w:rPr>
              <w:t xml:space="preserve">  考评员签字：               </w:t>
            </w:r>
            <w:r>
              <w:rPr>
                <w:rFonts w:ascii="黑体" w:eastAsia="黑体" w:hAnsi="黑体" w:cs="黑体" w:hint="eastAsia"/>
                <w:color w:val="000000"/>
                <w:lang w:val="en-US" w:eastAsia="zh-CN"/>
              </w:rPr>
              <w:t xml:space="preserve">   </w:t>
            </w:r>
            <w:r>
              <w:rPr>
                <w:rFonts w:ascii="黑体" w:eastAsia="黑体" w:hAnsi="黑体" w:cs="黑体" w:hint="eastAsia"/>
                <w:color w:val="000000"/>
              </w:rPr>
              <w:t xml:space="preserve">  日期：     年   月   日</w:t>
            </w:r>
          </w:p>
        </w:tc>
      </w:tr>
    </w:tbl>
    <w:p>
      <w:pPr>
        <w:keepNext w:val="0"/>
        <w:keepLines w:val="0"/>
        <w:pageBreakBefore w:val="0"/>
        <w:widowControl w:val="0"/>
        <w:kinsoku/>
        <w:wordWrap/>
        <w:overflowPunct w:val="0"/>
        <w:topLinePunct w:val="0"/>
        <w:autoSpaceDE/>
        <w:autoSpaceDN/>
        <w:bidi w:val="0"/>
        <w:spacing w:line="300" w:lineRule="exact"/>
        <w:ind w:firstLine="420" w:firstLineChars="200"/>
        <w:rPr>
          <w:rFonts w:ascii="仿宋" w:eastAsia="仿宋" w:hAnsi="仿宋" w:cs="仿宋"/>
          <w:b/>
          <w:bCs/>
          <w:kern w:val="0"/>
        </w:rPr>
      </w:pPr>
      <w:r>
        <w:rPr>
          <w:rFonts w:ascii="仿宋" w:eastAsia="仿宋" w:hAnsi="仿宋" w:cs="仿宋" w:hint="eastAsia"/>
          <w:b/>
          <w:bCs/>
          <w:kern w:val="0"/>
        </w:rPr>
        <w:t>注：考生该项目考试结束，拒绝在评分表中签字确认的，视同为自动放弃该项目考试。该项目考试判定为零分。</w:t>
      </w:r>
      <w:r>
        <w:rPr>
          <w:rFonts w:ascii="仿宋" w:eastAsia="仿宋" w:hAnsi="仿宋" w:cs="仿宋"/>
          <w:b/>
          <w:bCs/>
          <w:kern w:val="0"/>
        </w:rPr>
        <w:br/>
      </w:r>
      <w:r>
        <w:rPr>
          <w:rFonts w:ascii="仿宋" w:eastAsia="仿宋" w:hAnsi="仿宋" w:cs="仿宋"/>
          <w:b/>
          <w:bCs/>
          <w:kern w:val="0"/>
        </w:rPr>
        <w:br/>
      </w:r>
    </w:p>
    <w:p>
      <w:pPr>
        <w:widowControl/>
        <w:adjustRightInd/>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https://d.book118.com/868076111102006024</w:t>
        </w:r>
      </w:hyperlink>
    </w:p>
    <w:p>
      <w:pPr>
        <w:keepNext w:val="0"/>
        <w:keepLines w:val="0"/>
        <w:pageBreakBefore w:val="0"/>
        <w:widowControl w:val="0"/>
        <w:kinsoku/>
        <w:wordWrap/>
        <w:overflowPunct w:val="0"/>
        <w:topLinePunct w:val="0"/>
        <w:autoSpaceDE/>
        <w:autoSpaceDN/>
        <w:bidi w:val="0"/>
        <w:spacing w:line="300" w:lineRule="exact"/>
        <w:ind w:firstLine="420" w:firstLineChars="200"/>
        <w:rPr>
          <w:rFonts w:ascii="仿宋" w:eastAsia="仿宋" w:hAnsi="仿宋" w:cs="仿宋"/>
          <w:b/>
          <w:bCs/>
          <w:kern w:val="0"/>
        </w:rPr>
      </w:pPr>
    </w:p>
    <w:sectPr>
      <w:footerReference w:type="default" r:id="rId40"/>
      <w:type w:val="nextPage"/>
      <w:pgSz w:w="11906" w:h="16838"/>
      <w:pgMar w:top="2098" w:right="1531" w:bottom="1984" w:left="1531" w:header="851" w:footer="1531" w:gutter="0"/>
      <w:pgNumType w:fmt="decimal" w:start="3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宋?">
    <w:altName w:val="宋体"/>
    <w:panose1 w:val="00000000000000000000"/>
    <w:charset w:val="00"/>
    <w:family w:val="auto"/>
    <w:pitch w:val="default"/>
    <w:sig w:usb0="00000000" w:usb1="00000000" w:usb2="00000010" w:usb3="00000000" w:csb0="0008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ngLiU_HKSCS">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49" type="#_x0000_t202" style="width:2in;height:2in;margin-top:4.8pt;margin-left:0;mso-height-relative:page;mso-position-horizontal:outside;mso-position-horizontal-relative:margin;mso-width-relative:page;mso-wrap-style:none;position:absolute;z-index:251658240"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307</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0" type="#_x0000_t202" style="width:2in;height:2in;margin-top:4.8pt;margin-left:0;mso-height-relative:page;mso-position-horizontal:outside;mso-position-horizontal-relative:margin;mso-width-relative:page;mso-wrap-style:none;position:absolute;z-index:251659264"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308</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1" type="#_x0000_t202" style="width:2in;height:2in;margin-top:4.8pt;margin-left:0;mso-height-relative:page;mso-position-horizontal:outside;mso-position-horizontal-relative:margin;mso-width-relative:page;mso-wrap-style:none;position:absolute;z-index:251660288"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309</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2" type="#_x0000_t202" style="width:2in;height:2in;margin-top:4.8pt;margin-left:0;mso-height-relative:page;mso-position-horizontal:outside;mso-position-horizontal-relative:margin;mso-width-relative:page;mso-wrap-style:none;position:absolute;z-index:251661312"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310</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3" type="#_x0000_t202" style="width:2in;height:2in;margin-top:4.8pt;margin-left:0;mso-height-relative:page;mso-position-horizontal:outside;mso-position-horizontal-relative:margin;mso-width-relative:page;mso-wrap-style:none;position:absolute;z-index:251662336"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311</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4" type="#_x0000_t202" style="width:2in;height:2in;margin-top:4.8pt;margin-left:0;mso-height-relative:page;mso-position-horizontal:outside;mso-position-horizontal-relative:margin;mso-width-relative:page;mso-wrap-style:none;position:absolute;z-index:251663360"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312</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5" type="#_x0000_t202" style="width:2in;height:2in;margin-top:4.8pt;margin-left:0;mso-height-relative:page;mso-position-horizontal:outside;mso-position-horizontal-relative:margin;mso-width-relative:page;mso-wrap-style:none;position:absolute;z-index:251664384"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313</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6" type="#_x0000_t202" style="width:2in;height:2in;margin-top:4.8pt;margin-left:0;mso-height-relative:page;mso-position-horizontal:outside;mso-position-horizontal-relative:margin;mso-width-relative:page;mso-wrap-style:none;position:absolute;z-index:251665408"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314</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7" type="#_x0000_t202" style="width:2in;height:2in;margin-top:4.8pt;margin-left:0;mso-height-relative:page;mso-position-horizontal:outside;mso-position-horizontal-relative:margin;mso-width-relative:page;mso-wrap-style:none;position:absolute;z-index:251666432"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316</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8" type="#_x0000_t202" style="width:2in;height:2in;margin-top:4.8pt;margin-left:0;mso-height-relative:page;mso-position-horizontal:outside;mso-position-horizontal-relative:margin;mso-width-relative:page;mso-wrap-style:none;position:absolute;z-index:251667456"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316</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9" type="#_x0000_t202" style="width:2in;height:2in;margin-top:4.8pt;margin-left:0;mso-height-relative:page;mso-position-horizontal:outside;mso-position-horizontal-relative:margin;mso-width-relative:page;mso-wrap-style:none;position:absolute;z-index:251668480"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317</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0" type="#_x0000_t202" style="width:2in;height:2in;margin-top:4.8pt;margin-left:0;mso-height-relative:page;mso-position-horizontal:outside;mso-position-horizontal-relative:margin;mso-width-relative:page;mso-wrap-style:none;position:absolute;z-index:251669504"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318</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1" type="#_x0000_t202" style="width:2in;height:2in;margin-top:4.8pt;margin-left:0;mso-height-relative:page;mso-position-horizontal:outside;mso-position-horizontal-relative:margin;mso-width-relative:page;mso-wrap-style:none;position:absolute;z-index:251670528"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320</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2" type="#_x0000_t202" style="width:2in;height:2in;margin-top:4.8pt;margin-left:0;mso-height-relative:page;mso-position-horizontal:outside;mso-position-horizontal-relative:margin;mso-width-relative:page;mso-wrap-style:none;position:absolute;z-index:251671552"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320</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3" type="#_x0000_t202" style="width:2in;height:2in;margin-top:4.8pt;margin-left:0;mso-height-relative:page;mso-position-horizontal:outside;mso-position-horizontal-relative:margin;mso-width-relative:page;mso-wrap-style:none;position:absolute;z-index:251672576"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321</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4" type="#_x0000_t202" style="width:2in;height:2in;margin-top:4.8pt;margin-left:0;mso-height-relative:page;mso-position-horizontal:outside;mso-position-horizontal-relative:margin;mso-width-relative:page;mso-wrap-style:none;position:absolute;z-index:251673600"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322</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5" type="#_x0000_t202" style="width:2in;height:2in;margin-top:4.8pt;margin-left:0;mso-height-relative:page;mso-position-horizontal:outside;mso-position-horizontal-relative:margin;mso-width-relative:page;mso-wrap-style:none;position:absolute;z-index:251674624"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323</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6" type="#_x0000_t202" style="width:2in;height:2in;margin-top:4.8pt;margin-left:0;mso-height-relative:page;mso-position-horizontal:outside;mso-position-horizontal-relative:margin;mso-width-relative:page;mso-wrap-style:none;position:absolute;z-index:251675648"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324</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7" type="#_x0000_t202" style="width:2in;height:2in;margin-top:4.8pt;margin-left:0;mso-height-relative:page;mso-position-horizontal:outside;mso-position-horizontal-relative:margin;mso-width-relative:page;mso-wrap-style:none;position:absolute;z-index:251676672"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325</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8" type="#_x0000_t202" style="width:2in;height:2in;margin-top:4.8pt;margin-left:0;mso-height-relative:page;mso-position-horizontal:outside;mso-position-horizontal-relative:margin;mso-width-relative:page;mso-wrap-style:none;position:absolute;z-index:251677696"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326</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9" type="#_x0000_t202" style="width:2in;height:2in;margin-top:4.8pt;margin-left:0;mso-height-relative:page;mso-position-horizontal:outside;mso-position-horizontal-relative:margin;mso-width-relative:page;mso-wrap-style:none;position:absolute;z-index:251678720"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327</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0" type="#_x0000_t202" style="width:2in;height:2in;margin-top:4.8pt;margin-left:0;mso-height-relative:page;mso-position-horizontal:outside;mso-position-horizontal-relative:margin;mso-width-relative:page;mso-wrap-style:none;position:absolute;z-index:251679744"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329</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1" type="#_x0000_t202" style="width:2in;height:2in;margin-top:4.8pt;margin-left:0;mso-height-relative:page;mso-position-horizontal:outside;mso-position-horizontal-relative:margin;mso-width-relative:page;mso-wrap-style:none;position:absolute;z-index:251680768"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329</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2" type="#_x0000_t202" style="width:2in;height:2in;margin-top:4.8pt;margin-left:0;mso-height-relative:page;mso-position-horizontal:outside;mso-position-horizontal-relative:margin;mso-width-relative:page;mso-wrap-style:none;position:absolute;z-index:251681792"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330</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3" type="#_x0000_t202" style="width:2in;height:2in;margin-top:4.8pt;margin-left:0;mso-height-relative:page;mso-position-horizontal:outside;mso-position-horizontal-relative:margin;mso-width-relative:page;mso-wrap-style:none;position:absolute;z-index:251682816"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331</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4" type="#_x0000_t202" style="width:2in;height:2in;margin-top:4.8pt;margin-left:0;mso-height-relative:page;mso-position-horizontal:outside;mso-position-horizontal-relative:margin;mso-width-relative:page;mso-wrap-style:none;position:absolute;z-index:251683840"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332</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5" type="#_x0000_t202" style="width:2in;height:2in;margin-top:4.8pt;margin-left:0;mso-height-relative:page;mso-position-horizontal:outside;mso-position-horizontal-relative:margin;mso-width-relative:page;mso-wrap-style:none;position:absolute;z-index:251684864"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333</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6" type="#_x0000_t202" style="width:2in;height:2in;margin-top:4.8pt;margin-left:0;mso-height-relative:page;mso-position-horizontal:outside;mso-position-horizontal-relative:margin;mso-width-relative:page;mso-wrap-style:none;position:absolute;z-index:251685888"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334</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7" type="#_x0000_t202" style="width:2in;height:2in;margin-top:4.8pt;margin-left:0;mso-height-relative:page;mso-position-horizontal:outside;mso-position-horizontal-relative:margin;mso-width-relative:page;mso-wrap-style:none;position:absolute;z-index:251686912"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335</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8" type="#_x0000_t202" style="width:2in;height:2in;margin-top:4.8pt;margin-left:0;mso-height-relative:page;mso-position-horizontal:outside;mso-position-horizontal-relative:margin;mso-width-relative:page;mso-wrap-style:none;position:absolute;z-index:251687936"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336</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9" type="#_x0000_t202" style="width:2in;height:2in;margin-top:4.8pt;margin-left:0;mso-height-relative:page;mso-position-horizontal:outside;mso-position-horizontal-relative:margin;mso-width-relative:page;mso-wrap-style:none;position:absolute;z-index:251688960"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337</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80" type="#_x0000_t202" style="width:2in;height:2in;margin-top:4.8pt;margin-left:0;mso-height-relative:page;mso-position-horizontal:outside;mso-position-horizontal-relative:margin;mso-width-relative:page;mso-wrap-style:none;position:absolute;z-index:251689984" coordsize="21600,21600" filled="f" stroked="f">
          <v:stroke joinstyle="miter"/>
          <v:textbox style="mso-fit-shape-to-text:t" inset="0,0,0,0">
            <w:txbxContent>
              <w:p>
                <w:pPr>
                  <w:pStyle w:val="Footer"/>
                  <w:rPr>
                    <w:rFonts w:ascii="宋体" w:eastAsia="宋体" w:hAnsi="宋体" w:cs="宋体" w:hint="eastAsia"/>
                    <w:sz w:val="28"/>
                    <w:szCs w:val="28"/>
                    <w:lang w:val="en-US" w:eastAsia="zh-CN"/>
                  </w:rPr>
                </w:pPr>
                <w:r>
                  <w:rPr>
                    <w:rFonts w:ascii="宋体" w:hAnsi="宋体" w:cs="宋体" w:hint="eastAsia"/>
                    <w:sz w:val="28"/>
                    <w:szCs w:val="28"/>
                    <w:lang w:eastAsia="zh-CN"/>
                  </w:rPr>
                  <w:t>—</w:t>
                </w:r>
                <w:r>
                  <w:rPr>
                    <w:rFonts w:ascii="宋体" w:hAnsi="宋体" w:cs="宋体" w:hint="eastAsia"/>
                    <w:sz w:val="28"/>
                    <w:szCs w:val="28"/>
                    <w:lang w:val="en-US" w:eastAsia="zh-CN"/>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338</w:t>
                </w:r>
                <w:r>
                  <w:rPr>
                    <w:rFonts w:ascii="宋体" w:eastAsia="宋体" w:hAnsi="宋体" w:cs="宋体" w:hint="eastAsia"/>
                    <w:sz w:val="28"/>
                    <w:szCs w:val="28"/>
                  </w:rPr>
                  <w:fldChar w:fldCharType="end"/>
                </w:r>
                <w:r>
                  <w:rPr>
                    <w:rFonts w:ascii="宋体" w:hAnsi="宋体" w:cs="宋体" w:hint="eastAsia"/>
                    <w:sz w:val="28"/>
                    <w:szCs w:val="28"/>
                    <w:lang w:val="en-US" w:eastAsia="zh-CN"/>
                  </w:rPr>
                  <w:t xml:space="preserve"> —</w:t>
                </w:r>
              </w:p>
            </w:txbxContent>
          </v:textbox>
          <w10:wrap anchorx="margin"/>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4"/>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5"/>
      <w:suff w:val="nothing"/>
      <w:lvlText w:val="%1.%2.%3　"/>
      <w:lvlJc w:val="left"/>
      <w:pPr>
        <w:ind w:left="567" w:firstLine="0"/>
      </w:pPr>
      <w:rPr>
        <w:rFonts w:ascii="黑体" w:eastAsia="黑体" w:hAnsi="Times New Roman" w:hint="eastAsia"/>
        <w:b w:val="0"/>
        <w:i w:val="0"/>
        <w:sz w:val="21"/>
      </w:rPr>
    </w:lvl>
    <w:lvl w:ilvl="3">
      <w:start w:val="1"/>
      <w:numFmt w:val="decimal"/>
      <w:suff w:val="nothing"/>
      <w:lvlText w:val="%1.%2.%3.%4　"/>
      <w:lvlJc w:val="left"/>
      <w:pPr>
        <w:ind w:left="42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22827D5B"/>
    <w:multiLevelType w:val="multilevel"/>
    <w:tmpl w:val="22827D5B"/>
    <w:lvl w:ilvl="0">
      <w:start w:val="1"/>
      <w:numFmt w:val="none"/>
      <w:pStyle w:val="a8"/>
      <w:suff w:val="nothing"/>
      <w:lvlText w:val="%1注："/>
      <w:lvlJc w:val="left"/>
      <w:pPr>
        <w:ind w:left="135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
    <w:nsid w:val="2C5917C3"/>
    <w:multiLevelType w:val="multilevel"/>
    <w:tmpl w:val="2C5917C3"/>
    <w:lvl w:ilvl="0">
      <w:start w:val="1"/>
      <w:numFmt w:val="none"/>
      <w:pStyle w:val="a2"/>
      <w:lvlText w:val="%1——"/>
      <w:lvlJc w:val="left"/>
      <w:pPr>
        <w:tabs>
          <w:tab w:val="left" w:pos="851"/>
        </w:tabs>
        <w:ind w:left="851" w:hanging="426"/>
      </w:pPr>
      <w:rPr>
        <w:rFonts w:ascii="宋体" w:eastAsia="宋体" w:hAnsi="Times New Roman" w:hint="eastAsia"/>
        <w:b w:val="0"/>
        <w:i w:val="0"/>
        <w:sz w:val="21"/>
      </w:rPr>
    </w:lvl>
    <w:lvl w:ilvl="1">
      <w:start w:val="1"/>
      <w:numFmt w:val="none"/>
      <w:lvlText w:val=""/>
      <w:lvlJc w:val="left"/>
      <w:pPr>
        <w:ind w:left="851" w:hanging="431"/>
      </w:pPr>
      <w:rPr>
        <w:rFonts w:ascii="Symbol" w:hAnsi="Symbol" w:hint="default"/>
        <w:sz w:val="21"/>
      </w:rPr>
    </w:lvl>
    <w:lvl w:ilvl="2">
      <w:start w:val="1"/>
      <w:numFmt w:val="bullet"/>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3">
    <w:nsid w:val="41FB1463"/>
    <w:multiLevelType w:val="multilevel"/>
    <w:tmpl w:val="41FB1463"/>
    <w:lvl w:ilvl="0">
      <w:start w:val="1"/>
      <w:numFmt w:val="upperLetter"/>
      <w:suff w:val="nothing"/>
      <w:lvlText w:val="A%1"/>
      <w:lvlJc w:val="left"/>
      <w:pPr>
        <w:ind w:left="0" w:firstLine="0"/>
      </w:pPr>
      <w:rPr>
        <w:rFonts w:ascii="宋体" w:eastAsia="宋体" w:hAnsi="宋体" w:cs="宋体" w:hint="default"/>
      </w:rPr>
    </w:lvl>
    <w:lvl w:ilvl="1">
      <w:start w:val="1"/>
      <w:numFmt w:val="decimal"/>
      <w:pStyle w:val="a"/>
      <w:suff w:val="nothing"/>
      <w:lvlText w:val="%1%2　"/>
      <w:lvlJc w:val="left"/>
      <w:pPr>
        <w:ind w:left="0" w:firstLine="0"/>
      </w:pPr>
      <w:rPr>
        <w:rFonts w:ascii="宋体" w:eastAsia="宋体" w:hAnsi="宋体" w:cs="宋体" w:hint="default"/>
        <w:b w:val="0"/>
        <w:i w:val="0"/>
        <w:sz w:val="21"/>
      </w:rPr>
    </w:lvl>
    <w:lvl w:ilvl="2">
      <w:start w:val="1"/>
      <w:numFmt w:val="decimal"/>
      <w:pStyle w:val="a1"/>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11"/>
      <w:suff w:val="nothing"/>
      <w:lvlText w:val="%1%2.%3.%4　"/>
      <w:lvlJc w:val="left"/>
      <w:pPr>
        <w:tabs>
          <w:tab w:val="left" w:pos="0"/>
        </w:tabs>
        <w:ind w:left="0" w:firstLine="0"/>
      </w:pPr>
      <w:rPr>
        <w:rFonts w:ascii="黑体" w:eastAsia="黑体" w:hint="default"/>
        <w:b w:val="0"/>
        <w:i w:val="0"/>
        <w:sz w:val="21"/>
      </w:rPr>
    </w:lvl>
    <w:lvl w:ilvl="4">
      <w:start w:val="1"/>
      <w:numFmt w:val="decimal"/>
      <w:pStyle w:val="a10"/>
      <w:suff w:val="nothing"/>
      <w:lvlText w:val="%1%2.%3.%4.%5　"/>
      <w:lvlJc w:val="left"/>
      <w:pPr>
        <w:ind w:left="1560" w:firstLine="0"/>
      </w:pPr>
      <w:rPr>
        <w:rFonts w:ascii="黑体" w:eastAsia="黑体" w:hint="eastAsia"/>
        <w:b w:val="0"/>
        <w:i w:val="0"/>
        <w:sz w:val="21"/>
      </w:rPr>
    </w:lvl>
    <w:lvl w:ilvl="5">
      <w:start w:val="1"/>
      <w:numFmt w:val="decimal"/>
      <w:pStyle w:val="a12"/>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nsid w:val="657D3FBC"/>
    <w:multiLevelType w:val="multilevel"/>
    <w:tmpl w:val="657D3FBC"/>
    <w:lvl w:ilvl="0">
      <w:start w:val="1"/>
      <w:numFmt w:val="upperLetter"/>
      <w:pStyle w:val="a13"/>
      <w:suff w:val="nothing"/>
      <w:lvlText w:val="附录%1"/>
      <w:lvlJc w:val="left"/>
      <w:pPr>
        <w:ind w:left="0" w:firstLine="0"/>
      </w:pPr>
      <w:rPr>
        <w:rFonts w:hint="eastAsia"/>
        <w:spacing w:val="100"/>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int="eastAsia"/>
        <w:b w:val="0"/>
        <w:i w:val="0"/>
        <w:sz w:val="21"/>
      </w:rPr>
    </w:lvl>
    <w:lvl w:ilvl="3">
      <w:start w:val="1"/>
      <w:numFmt w:val="decimal"/>
      <w:suff w:val="nothing"/>
      <w:lvlText w:val="%1.%2.%3.%4　"/>
      <w:lvlJc w:val="left"/>
      <w:pPr>
        <w:ind w:left="0"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8B1DD2"/>
    <w:rsid w:val="F7ED507A"/>
    <w:rsid w:val="006F402E"/>
    <w:rsid w:val="00870E3E"/>
    <w:rsid w:val="00D00121"/>
    <w:rsid w:val="00E55D47"/>
    <w:rsid w:val="06C932F3"/>
    <w:rsid w:val="07757F7C"/>
    <w:rsid w:val="087F5A5E"/>
    <w:rsid w:val="09911DC3"/>
    <w:rsid w:val="0A200FD9"/>
    <w:rsid w:val="0C8327D8"/>
    <w:rsid w:val="0DDF5807"/>
    <w:rsid w:val="0E692DA0"/>
    <w:rsid w:val="0EDA1AAE"/>
    <w:rsid w:val="0F226B52"/>
    <w:rsid w:val="0F96562A"/>
    <w:rsid w:val="111C7B23"/>
    <w:rsid w:val="129A71A6"/>
    <w:rsid w:val="133D3464"/>
    <w:rsid w:val="15297649"/>
    <w:rsid w:val="18F23575"/>
    <w:rsid w:val="1A32092E"/>
    <w:rsid w:val="1C8B508C"/>
    <w:rsid w:val="220E7FB9"/>
    <w:rsid w:val="22E1547E"/>
    <w:rsid w:val="24710819"/>
    <w:rsid w:val="28E05728"/>
    <w:rsid w:val="29ED30C4"/>
    <w:rsid w:val="2C924D9F"/>
    <w:rsid w:val="30E5741E"/>
    <w:rsid w:val="36141E81"/>
    <w:rsid w:val="377C3981"/>
    <w:rsid w:val="38672F7E"/>
    <w:rsid w:val="3D3A713F"/>
    <w:rsid w:val="3D8E5EAB"/>
    <w:rsid w:val="3FAA0AEC"/>
    <w:rsid w:val="417C3D17"/>
    <w:rsid w:val="42570995"/>
    <w:rsid w:val="427F4635"/>
    <w:rsid w:val="48AD7D41"/>
    <w:rsid w:val="48DC78E1"/>
    <w:rsid w:val="4BF934AF"/>
    <w:rsid w:val="4DD83DED"/>
    <w:rsid w:val="4E927D6A"/>
    <w:rsid w:val="4EA74CB0"/>
    <w:rsid w:val="4F3B2459"/>
    <w:rsid w:val="4F845383"/>
    <w:rsid w:val="4FC4518B"/>
    <w:rsid w:val="52E012A4"/>
    <w:rsid w:val="54204230"/>
    <w:rsid w:val="551E58F7"/>
    <w:rsid w:val="57EA2E8C"/>
    <w:rsid w:val="59FA01D0"/>
    <w:rsid w:val="5A6E5B5F"/>
    <w:rsid w:val="5C4D690C"/>
    <w:rsid w:val="5CCC1F34"/>
    <w:rsid w:val="5E8B1DD2"/>
    <w:rsid w:val="5F656E72"/>
    <w:rsid w:val="5FB1449C"/>
    <w:rsid w:val="61BB6C21"/>
    <w:rsid w:val="61DDAF47"/>
    <w:rsid w:val="64E3267D"/>
    <w:rsid w:val="68F044A2"/>
    <w:rsid w:val="69847643"/>
    <w:rsid w:val="6A5A6AA6"/>
    <w:rsid w:val="6BBB10F3"/>
    <w:rsid w:val="6D8772FF"/>
    <w:rsid w:val="71AF0CB3"/>
    <w:rsid w:val="7364587B"/>
    <w:rsid w:val="74A96F76"/>
    <w:rsid w:val="77BB7DDE"/>
    <w:rsid w:val="77DD5C75"/>
    <w:rsid w:val="783663CD"/>
    <w:rsid w:val="7A94519B"/>
    <w:rsid w:val="7B74701A"/>
    <w:rsid w:val="7C11259F"/>
    <w:rsid w:val="7C1336B3"/>
    <w:rsid w:val="7E1322EF"/>
  </w:rsids>
  <w:docVars>
    <w:docVar w:name="commondata" w:val="eyJoZGlkIjoiNzgyYjI0MGRkMmY4NDE0YjgxYzdjMzBiNDQ0OTk1MmM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3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400" w:lineRule="exact"/>
      <w:jc w:val="both"/>
    </w:pPr>
    <w:rPr>
      <w:rFonts w:ascii="Calibri" w:eastAsia="宋体" w:hAnsi="Calibri" w:cs="Times New Roman"/>
      <w:kern w:val="2"/>
      <w:sz w:val="21"/>
      <w:szCs w:val="21"/>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Indent">
    <w:name w:val="Body Text Indent"/>
    <w:basedOn w:val="Normal"/>
    <w:qFormat/>
    <w:pPr>
      <w:ind w:firstLine="624" w:firstLineChars="200"/>
    </w:pPr>
    <w:rPr>
      <w:rFonts w:ascii="仿宋_GB2312" w:eastAsia="仿宋_GB2312" w:hAnsi="宋体"/>
      <w:sz w:val="32"/>
      <w:szCs w:val="20"/>
    </w:rPr>
  </w:style>
  <w:style w:type="paragraph" w:styleId="BalloonText">
    <w:name w:val="Balloon Text"/>
    <w:basedOn w:val="Normal"/>
    <w:link w:val="Char"/>
    <w:qFormat/>
    <w:pPr>
      <w:spacing w:line="240" w:lineRule="auto"/>
    </w:pPr>
    <w:rPr>
      <w:sz w:val="18"/>
      <w:szCs w:val="18"/>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BodyTextFirstIndent2">
    <w:name w:val="Body Text First Indent 2"/>
    <w:basedOn w:val="BodyTextIndent"/>
    <w:autoRedefine/>
    <w:uiPriority w:val="99"/>
    <w:unhideWhenUsed/>
    <w:qFormat/>
    <w:pPr>
      <w:spacing w:after="120"/>
      <w:ind w:left="420" w:firstLine="420" w:leftChars="200"/>
    </w:pPr>
    <w:rPr>
      <w:rFonts w:ascii="Times New Roman" w:eastAsia="宋?"/>
      <w:sz w:val="21"/>
      <w:szCs w:val="24"/>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标准文件_章标题"/>
    <w:next w:val="a0"/>
    <w:autoRedefine/>
    <w:qFormat/>
    <w:pPr>
      <w:numPr>
        <w:ilvl w:val="1"/>
        <w:numId w:val="1"/>
      </w:numPr>
      <w:spacing w:beforeLines="100" w:afterLines="100"/>
      <w:jc w:val="both"/>
      <w:outlineLvl w:val="0"/>
    </w:pPr>
    <w:rPr>
      <w:rFonts w:ascii="黑体" w:eastAsia="黑体" w:hAnsi="Times New Roman" w:cs="Times New Roman"/>
      <w:sz w:val="21"/>
      <w:lang w:val="en-US" w:eastAsia="zh-CN" w:bidi="ar-SA"/>
    </w:rPr>
  </w:style>
  <w:style w:type="paragraph" w:customStyle="1" w:styleId="a0">
    <w:name w:val="标准文件_段"/>
    <w:autoRedefine/>
    <w:qFormat/>
    <w:pPr>
      <w:autoSpaceDE w:val="0"/>
      <w:autoSpaceDN w:val="0"/>
      <w:ind w:firstLine="200" w:firstLineChars="200"/>
      <w:jc w:val="both"/>
    </w:pPr>
    <w:rPr>
      <w:rFonts w:ascii="宋体" w:eastAsia="宋体" w:hAnsi="Times New Roman" w:cs="Times New Roman"/>
      <w:sz w:val="21"/>
      <w:lang w:val="en-US" w:eastAsia="zh-CN" w:bidi="ar-SA"/>
    </w:rPr>
  </w:style>
  <w:style w:type="paragraph" w:customStyle="1" w:styleId="a1">
    <w:name w:val="标准文件_一级条标题"/>
    <w:basedOn w:val="a"/>
    <w:next w:val="a0"/>
    <w:autoRedefine/>
    <w:qFormat/>
    <w:pPr>
      <w:numPr>
        <w:ilvl w:val="2"/>
      </w:numPr>
      <w:spacing w:beforeLines="50" w:afterLines="50"/>
      <w:outlineLvl w:val="1"/>
    </w:pPr>
  </w:style>
  <w:style w:type="paragraph" w:customStyle="1" w:styleId="a2">
    <w:name w:val="标准文件_一级项"/>
    <w:qFormat/>
    <w:pPr>
      <w:numPr>
        <w:ilvl w:val="0"/>
        <w:numId w:val="2"/>
      </w:numPr>
    </w:pPr>
    <w:rPr>
      <w:rFonts w:ascii="宋体" w:eastAsia="宋体" w:hAnsi="Times New Roman" w:cs="Times New Roman"/>
      <w:sz w:val="21"/>
      <w:lang w:val="en-US" w:eastAsia="zh-CN" w:bidi="ar-SA"/>
    </w:rPr>
  </w:style>
  <w:style w:type="paragraph" w:customStyle="1" w:styleId="a3">
    <w:name w:val="段"/>
    <w:qFormat/>
    <w:pPr>
      <w:tabs>
        <w:tab w:val="center" w:pos="4201"/>
        <w:tab w:val="right" w:leader="dot" w:pos="9298"/>
      </w:tabs>
      <w:autoSpaceDE w:val="0"/>
      <w:autoSpaceDN w:val="0"/>
      <w:ind w:firstLine="420" w:firstLineChars="200"/>
      <w:jc w:val="both"/>
    </w:pPr>
    <w:rPr>
      <w:rFonts w:ascii="宋体" w:eastAsia="宋体" w:hAnsi="Times New Roman" w:cs="Times New Roman"/>
      <w:sz w:val="21"/>
      <w:lang w:val="en-US" w:eastAsia="zh-CN" w:bidi="ar-SA"/>
    </w:rPr>
  </w:style>
  <w:style w:type="paragraph" w:customStyle="1" w:styleId="a4">
    <w:name w:val="一级条标题"/>
    <w:next w:val="a3"/>
    <w:qFormat/>
    <w:pPr>
      <w:numPr>
        <w:ilvl w:val="1"/>
        <w:numId w:val="3"/>
      </w:numPr>
      <w:spacing w:beforeLines="50" w:afterLines="50"/>
      <w:outlineLvl w:val="2"/>
    </w:pPr>
    <w:rPr>
      <w:rFonts w:ascii="黑体" w:eastAsia="黑体" w:hAnsi="Times New Roman" w:cs="Times New Roman"/>
      <w:sz w:val="21"/>
      <w:szCs w:val="21"/>
      <w:lang w:val="en-US" w:eastAsia="zh-CN" w:bidi="ar-SA"/>
    </w:rPr>
  </w:style>
  <w:style w:type="paragraph" w:customStyle="1" w:styleId="a5">
    <w:name w:val="二级条标题"/>
    <w:basedOn w:val="a4"/>
    <w:next w:val="a3"/>
    <w:qFormat/>
    <w:pPr>
      <w:numPr>
        <w:ilvl w:val="2"/>
      </w:numPr>
      <w:outlineLvl w:val="3"/>
    </w:pPr>
  </w:style>
  <w:style w:type="paragraph" w:customStyle="1" w:styleId="a6">
    <w:name w:val="四级条标题"/>
    <w:basedOn w:val="a7"/>
    <w:next w:val="a3"/>
    <w:qFormat/>
    <w:pPr>
      <w:numPr>
        <w:ilvl w:val="4"/>
        <w:numId w:val="3"/>
      </w:numPr>
      <w:outlineLvl w:val="5"/>
    </w:pPr>
  </w:style>
  <w:style w:type="paragraph" w:customStyle="1" w:styleId="a7">
    <w:name w:val="三级条标题"/>
    <w:basedOn w:val="a5"/>
    <w:next w:val="a3"/>
    <w:qFormat/>
    <w:pPr>
      <w:numPr>
        <w:ilvl w:val="0"/>
        <w:numId w:val="0"/>
      </w:numPr>
      <w:outlineLvl w:val="4"/>
    </w:pPr>
  </w:style>
  <w:style w:type="paragraph" w:customStyle="1" w:styleId="a8">
    <w:name w:val="注：（正文）"/>
    <w:basedOn w:val="a9"/>
    <w:next w:val="a3"/>
    <w:qFormat/>
    <w:pPr>
      <w:numPr>
        <w:ilvl w:val="0"/>
        <w:numId w:val="4"/>
      </w:numPr>
    </w:pPr>
  </w:style>
  <w:style w:type="paragraph" w:customStyle="1" w:styleId="a9">
    <w:name w:val="注："/>
    <w:next w:val="a3"/>
    <w:qFormat/>
    <w:pPr>
      <w:widowControl w:val="0"/>
      <w:autoSpaceDE w:val="0"/>
      <w:autoSpaceDN w:val="0"/>
      <w:ind w:left="726" w:hanging="363"/>
      <w:jc w:val="both"/>
    </w:pPr>
    <w:rPr>
      <w:rFonts w:ascii="宋体" w:eastAsia="宋体" w:hAnsi="Times New Roman" w:cs="Times New Roman"/>
      <w:sz w:val="18"/>
      <w:szCs w:val="18"/>
      <w:lang w:val="en-US" w:eastAsia="zh-CN" w:bidi="ar-SA"/>
    </w:rPr>
  </w:style>
  <w:style w:type="paragraph" w:customStyle="1" w:styleId="a10">
    <w:name w:val="标准文件_三级条标题"/>
    <w:basedOn w:val="a11"/>
    <w:next w:val="a0"/>
    <w:qFormat/>
    <w:pPr>
      <w:widowControl/>
      <w:numPr>
        <w:ilvl w:val="4"/>
      </w:numPr>
      <w:tabs>
        <w:tab w:val="left" w:pos="0"/>
      </w:tabs>
      <w:ind w:left="0"/>
      <w:outlineLvl w:val="3"/>
    </w:pPr>
  </w:style>
  <w:style w:type="paragraph" w:customStyle="1" w:styleId="a11">
    <w:name w:val="标准文件_二级条标题"/>
    <w:next w:val="a0"/>
    <w:qFormat/>
    <w:pPr>
      <w:widowControl w:val="0"/>
      <w:numPr>
        <w:ilvl w:val="3"/>
        <w:numId w:val="1"/>
      </w:numPr>
      <w:spacing w:beforeLines="50" w:afterLines="50"/>
      <w:jc w:val="both"/>
      <w:outlineLvl w:val="2"/>
    </w:pPr>
    <w:rPr>
      <w:rFonts w:ascii="黑体" w:eastAsia="黑体" w:hAnsi="Times New Roman" w:cs="Times New Roman"/>
      <w:sz w:val="21"/>
      <w:lang w:val="en-US" w:eastAsia="zh-CN" w:bidi="ar-SA"/>
    </w:rPr>
  </w:style>
  <w:style w:type="paragraph" w:customStyle="1" w:styleId="a12">
    <w:name w:val="标准文件_四级条标题"/>
    <w:next w:val="a0"/>
    <w:qFormat/>
    <w:pPr>
      <w:widowControl w:val="0"/>
      <w:numPr>
        <w:ilvl w:val="5"/>
        <w:numId w:val="1"/>
      </w:numPr>
      <w:spacing w:beforeLines="50" w:afterLines="50"/>
      <w:jc w:val="both"/>
      <w:outlineLvl w:val="4"/>
    </w:pPr>
    <w:rPr>
      <w:rFonts w:ascii="黑体" w:eastAsia="黑体" w:hAnsi="Times New Roman" w:cs="Times New Roman"/>
      <w:sz w:val="21"/>
      <w:lang w:val="en-US" w:eastAsia="zh-CN" w:bidi="ar-SA"/>
    </w:rPr>
  </w:style>
  <w:style w:type="paragraph" w:customStyle="1" w:styleId="a13">
    <w:name w:val="标准文件_附录标识"/>
    <w:next w:val="a0"/>
    <w:qFormat/>
    <w:pPr>
      <w:numPr>
        <w:ilvl w:val="0"/>
        <w:numId w:val="5"/>
      </w:numPr>
      <w:shd w:val="clear" w:color="FFFFFF" w:fill="FFFFFF"/>
      <w:tabs>
        <w:tab w:val="left" w:pos="6406"/>
      </w:tabs>
      <w:spacing w:before="560" w:afterLines="50"/>
      <w:jc w:val="center"/>
      <w:outlineLvl w:val="0"/>
    </w:pPr>
    <w:rPr>
      <w:rFonts w:ascii="黑体" w:eastAsia="黑体" w:hAnsi="Times New Roman" w:cs="Times New Roman"/>
      <w:sz w:val="21"/>
      <w:lang w:val="en-US" w:eastAsia="zh-CN" w:bidi="ar-SA"/>
    </w:rPr>
  </w:style>
  <w:style w:type="character" w:customStyle="1" w:styleId="Char">
    <w:name w:val="批注框文本 Char"/>
    <w:basedOn w:val="DefaultParagraphFont"/>
    <w:link w:val="BalloonText"/>
    <w:qFormat/>
    <w:rPr>
      <w:rFonts w:ascii="Calibri" w:hAnsi="Calibri"/>
      <w:kern w:val="2"/>
      <w:sz w:val="18"/>
      <w:szCs w:val="18"/>
    </w:rPr>
  </w:style>
  <w:style w:type="table" w:customStyle="1" w:styleId="TableGrid0">
    <w:name w:val="Table Grid_0"/>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image" Target="media/image1.png"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image" Target="media/image2.png" /><Relationship Id="rId19" Type="http://schemas.openxmlformats.org/officeDocument/2006/relationships/image" Target="file:///E:\..\..\ADMINI~1\AppData\Local\Temp\FineReader12.00\media\image2.png" TargetMode="Externa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footer" Target="footer19.xml" /><Relationship Id="rId27" Type="http://schemas.openxmlformats.org/officeDocument/2006/relationships/footer" Target="footer20.xml" /><Relationship Id="rId28" Type="http://schemas.openxmlformats.org/officeDocument/2006/relationships/footer" Target="footer21.xml" /><Relationship Id="rId29" Type="http://schemas.openxmlformats.org/officeDocument/2006/relationships/footer" Target="footer22.xml" /><Relationship Id="rId3" Type="http://schemas.openxmlformats.org/officeDocument/2006/relationships/fontTable" Target="fontTable.xml" /><Relationship Id="rId30" Type="http://schemas.openxmlformats.org/officeDocument/2006/relationships/footer" Target="footer23.xml" /><Relationship Id="rId31" Type="http://schemas.openxmlformats.org/officeDocument/2006/relationships/footer" Target="footer24.xml" /><Relationship Id="rId32" Type="http://schemas.openxmlformats.org/officeDocument/2006/relationships/footer" Target="footer25.xml" /><Relationship Id="rId33" Type="http://schemas.openxmlformats.org/officeDocument/2006/relationships/footer" Target="footer26.xml" /><Relationship Id="rId34" Type="http://schemas.openxmlformats.org/officeDocument/2006/relationships/footer" Target="footer27.xml" /><Relationship Id="rId35" Type="http://schemas.openxmlformats.org/officeDocument/2006/relationships/footer" Target="footer28.xml" /><Relationship Id="rId36" Type="http://schemas.openxmlformats.org/officeDocument/2006/relationships/footer" Target="footer29.xml" /><Relationship Id="rId37" Type="http://schemas.openxmlformats.org/officeDocument/2006/relationships/footer" Target="footer30.xml" /><Relationship Id="rId38" Type="http://schemas.openxmlformats.org/officeDocument/2006/relationships/footer" Target="footer31.xml" /><Relationship Id="rId39" Type="http://schemas.openxmlformats.org/officeDocument/2006/relationships/hyperlink" Target="https://d.book118.com/868076111102006024" TargetMode="External" /><Relationship Id="rId4" Type="http://schemas.openxmlformats.org/officeDocument/2006/relationships/customXml" Target="../customXml/item1.xml" /><Relationship Id="rId40" Type="http://schemas.openxmlformats.org/officeDocument/2006/relationships/footer" Target="footer32.xml" /><Relationship Id="rId41" Type="http://schemas.openxmlformats.org/officeDocument/2006/relationships/glossaryDocument" Target="glossary/document.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a8a7b2b3-75a6-4ae2-822d-7337c5863b5a}"/>
        <w:category>
          <w:name w:val="常规"/>
          <w:gallery w:val="placeholder"/>
        </w:category>
        <w:types>
          <w:type w:val="bbPlcHdr"/>
        </w:types>
        <w:behaviors>
          <w:behavior w:val="content"/>
        </w:behaviors>
        <w:guid w:val="{A8A7B2B3-75A6-4AE2-822D-7337C5863B5A}"/>
      </w:docPartPr>
      <w:docPartBody>
        <w:p>
          <w:pPr>
            <w:pStyle w:val="E3FF5535A3554A87A1A61A97DECA7DE2"/>
          </w:pPr>
          <w:r>
            <w:rPr>
              <w:rStyle w:val="PlaceholderText"/>
              <w:rFonts w:hint="eastAsia"/>
            </w:rPr>
            <w:t>选择一项。</w:t>
          </w:r>
        </w:p>
      </w:docPartBody>
    </w:docPart>
    <w:docPart>
      <w:docPartPr>
        <w:name w:val="{13d00882-7eaa-4659-bde2-dabb788f90fe}"/>
        <w:category>
          <w:name w:val="常规"/>
          <w:gallery w:val="placeholder"/>
        </w:category>
        <w:types>
          <w:type w:val="bbPlcHdr"/>
        </w:types>
        <w:behaviors>
          <w:behavior w:val="content"/>
        </w:behaviors>
        <w:guid w:val="{13D00882-7EAA-4659-BDE2-DABB788F90FE}"/>
      </w:docPartPr>
      <w:docPartBody>
        <w:p>
          <w:pPr>
            <w:pStyle w:val="123486E3414746D0910457220FBA9EFB"/>
          </w:pPr>
          <w:r>
            <w:rPr>
              <w:rStyle w:val="PlaceholderText"/>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splitPgBreakAndParaMark/>
    <w:compatSetting w:name="compatibilityMode" w:uri="http://schemas.microsoft.com/office/word" w:val="12"/>
  </w:compat>
  <w:rsids>
    <w:rsidRoot w:val="00D341D1"/>
    <w:rsid w:val="00D341D1"/>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docDefaults>
  <w:latentStyles w:defLockedState="0" w:defUIPriority="99" w:defSemiHidden="1" w:defUnhideWhenUsed="1" w:defQFormat="0" w:count="260">
    <w:lsdException w:name="Normal" w:semiHidden="0" w:uiPriority="0" w:unhideWhenUsed="0" w:qFormat="1"/>
    <w:lsdException w:name="Default Paragraph Font" w:uiPriority="1" w:qFormat="1"/>
    <w:lsdException w:name="Normal Table" w:qFormat="1"/>
    <w:lsdException w:name="Placeholder Text" w:unhideWhenUsed="0" w:qFormat="1"/>
  </w:latentStyles>
  <w:style w:type="paragraph" w:default="1" w:styleId="Normal">
    <w:name w:val="Normal"/>
    <w:qFormat/>
    <w:pPr>
      <w:widowControl w:val="0"/>
      <w:jc w:val="both"/>
    </w:pPr>
    <w:rPr>
      <w:rFonts w:asciiTheme="minorHAnsi" w:eastAsiaTheme="minorEastAsia" w:hAnsiTheme="minorHAnsi" w:cstheme="minorBidi"/>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E3FF5535A3554A87A1A61A97DECA7DE2">
    <w:name w:val="E3FF5535A3554A87A1A61A97DECA7DE2"/>
    <w:qFormat/>
    <w:pPr>
      <w:widowControl w:val="0"/>
      <w:jc w:val="both"/>
    </w:pPr>
    <w:rPr>
      <w:rFonts w:asciiTheme="minorHAnsi" w:eastAsiaTheme="minorEastAsia" w:hAnsiTheme="minorHAnsi" w:cstheme="minorBidi"/>
      <w:kern w:val="2"/>
      <w:sz w:val="21"/>
      <w:szCs w:val="22"/>
      <w:lang w:val="en-US" w:eastAsia="zh-CN" w:bidi="ar-SA"/>
    </w:rPr>
  </w:style>
  <w:style w:type="character" w:styleId="PlaceholderText">
    <w:name w:val="Placeholder Text"/>
    <w:basedOn w:val="DefaultParagraphFont"/>
    <w:uiPriority w:val="99"/>
    <w:semiHidden/>
    <w:qFormat/>
    <w:rPr>
      <w:color w:val="808080"/>
    </w:rPr>
  </w:style>
  <w:style w:type="paragraph" w:customStyle="1" w:styleId="123486E3414746D0910457220FBA9EFB">
    <w:name w:val="123486E3414746D0910457220FBA9EFB"/>
    <w:qFormat/>
    <w:pPr>
      <w:widowControl w:val="0"/>
      <w:jc w:val="both"/>
    </w:pPr>
    <w:rPr>
      <w:rFonts w:asciiTheme="minorHAnsi" w:eastAsiaTheme="minorEastAsia" w:hAnsiTheme="minorHAnsi" w:cstheme="minorBidi"/>
      <w:kern w:val="2"/>
      <w:sz w:val="21"/>
      <w:szCs w:val="22"/>
      <w:lang w:val="en-US" w:eastAsia="zh-CN" w:bidi="ar-S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35</Pages>
  <Words>6195</Words>
  <Characters>35318</Characters>
  <Application>Microsoft Office Word</Application>
  <DocSecurity>0</DocSecurity>
  <Lines>294</Lines>
  <Paragraphs>82</Paragraphs>
  <ScaleCrop>false</ScaleCrop>
  <Company/>
  <LinksUpToDate>false</LinksUpToDate>
  <CharactersWithSpaces>41431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枫</dc:creator>
  <cp:lastModifiedBy>xwbjl</cp:lastModifiedBy>
  <cp:revision>3</cp:revision>
  <cp:lastPrinted>2023-12-22T23:41:00Z</cp:lastPrinted>
  <dcterms:created xsi:type="dcterms:W3CDTF">2023-12-11T00:27:00Z</dcterms:created>
  <dcterms:modified xsi:type="dcterms:W3CDTF">2024-01-08T07:16:52Z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C6FAC6CA1FBF44D29AC3AF02B69C41F5_11</vt:lpwstr>
  </property>
  <property fmtid="{D5CDD505-2E9C-101B-9397-08002B2CF9AE}" pid="3" name="KSOProductBuildVer">
    <vt:lpwstr>2052-12.1.0.16120</vt:lpwstr>
  </property>
</Properties>
</file>