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84" w:lineRule="exact"/>
        <w:ind w:firstLine="12660"/>
      </w:pPr>
      <w:r>
        <w:rPr>
          <w:position w:val="-49"/>
        </w:rPr>
        <w:drawing>
          <wp:inline distT="0" distB="0" distL="0" distR="0">
            <wp:extent cx="2902886" cy="157775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2886" cy="157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312" w:line="222" w:lineRule="auto"/>
        <w:ind w:left="269"/>
        <w:outlineLvl w:val="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22"/>
          <w:sz w:val="96"/>
          <w:szCs w:val="96"/>
        </w:rPr>
        <w:t>中华人民共和国出入境检验检疫行业标准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179" w:line="225" w:lineRule="auto"/>
        <w:ind w:left="13577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spacing w:val="-3"/>
          <w:sz w:val="55"/>
          <w:szCs w:val="55"/>
        </w:rPr>
        <w:t>SN/T</w:t>
      </w:r>
      <w:r>
        <w:rPr>
          <w:rFonts w:ascii="SimSun" w:eastAsia="SimSun" w:hAnsi="SimSun" w:cs="SimSun"/>
          <w:spacing w:val="75"/>
          <w:sz w:val="55"/>
          <w:szCs w:val="55"/>
        </w:rPr>
        <w:t xml:space="preserve"> </w:t>
      </w:r>
      <w:r>
        <w:rPr>
          <w:rFonts w:ascii="SimSun" w:eastAsia="SimSun" w:hAnsi="SimSun" w:cs="SimSun"/>
          <w:spacing w:val="-3"/>
          <w:sz w:val="55"/>
          <w:szCs w:val="55"/>
        </w:rPr>
        <w:t>2440—2010</w:t>
      </w: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spacing w:line="23" w:lineRule="exact"/>
      </w:pPr>
      <w:r>
        <w:drawing>
          <wp:inline distT="0" distB="0" distL="0" distR="0">
            <wp:extent cx="11612788" cy="1448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12788" cy="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312" w:line="1321" w:lineRule="exact"/>
        <w:ind w:left="427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spacing w:val="68"/>
          <w:position w:val="22"/>
          <w:sz w:val="96"/>
          <w:szCs w:val="96"/>
        </w:rPr>
        <w:t>进出口蜂王浆中咖啡因含量的测定方法</w:t>
      </w:r>
    </w:p>
    <w:p>
      <w:pPr>
        <w:spacing w:before="4" w:line="220" w:lineRule="auto"/>
        <w:ind w:left="4411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spacing w:val="37"/>
          <w:sz w:val="96"/>
          <w:szCs w:val="96"/>
        </w:rPr>
        <w:t>液相色谱-串联质谱法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39" w:line="803" w:lineRule="exact"/>
        <w:ind w:left="1940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Determination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of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caffeine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in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royal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jelly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for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import</w:t>
      </w:r>
      <w:r>
        <w:rPr>
          <w:rFonts w:ascii="Times New Roman" w:eastAsia="Times New Roman" w:hAnsi="Times New Roman" w:cs="Times New Roman"/>
          <w:b/>
          <w:bCs/>
          <w:spacing w:val="18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and</w:t>
      </w:r>
      <w:r>
        <w:rPr>
          <w:rFonts w:ascii="Times New Roman" w:eastAsia="Times New Roman" w:hAnsi="Times New Roman" w:cs="Times New Roman"/>
          <w:b/>
          <w:bCs/>
          <w:spacing w:val="15"/>
          <w:position w:val="31"/>
          <w:sz w:val="48"/>
          <w:szCs w:val="4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1"/>
          <w:sz w:val="48"/>
          <w:szCs w:val="48"/>
        </w:rPr>
        <w:t>export</w:t>
      </w:r>
      <w:r>
        <w:rPr>
          <w:rFonts w:ascii="Times New Roman" w:eastAsia="Times New Roman" w:hAnsi="Times New Roman" w:cs="Times New Roman"/>
          <w:b/>
          <w:bCs/>
          <w:spacing w:val="17"/>
          <w:position w:val="31"/>
          <w:sz w:val="48"/>
          <w:szCs w:val="48"/>
        </w:rPr>
        <w:t>—</w:t>
      </w:r>
    </w:p>
    <w:p>
      <w:pPr>
        <w:spacing w:line="191" w:lineRule="auto"/>
        <w:ind w:left="7908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LC</w:t>
      </w:r>
      <w:r>
        <w:rPr>
          <w:rFonts w:ascii="Times New Roman" w:eastAsia="Times New Roman" w:hAnsi="Times New Roman" w:cs="Times New Roman"/>
          <w:b/>
          <w:bCs/>
          <w:spacing w:val="17"/>
          <w:sz w:val="48"/>
          <w:szCs w:val="48"/>
        </w:rPr>
        <w:t>-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MS</w:t>
      </w:r>
      <w:r>
        <w:rPr>
          <w:rFonts w:ascii="Times New Roman" w:eastAsia="Times New Roman" w:hAnsi="Times New Roman" w:cs="Times New Roman"/>
          <w:b/>
          <w:bCs/>
          <w:spacing w:val="17"/>
          <w:sz w:val="48"/>
          <w:szCs w:val="48"/>
        </w:rPr>
        <w:t>/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MS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21824" w:h="31680"/>
          <w:pgMar w:top="914" w:right="1556" w:bottom="0" w:left="1958" w:header="0" w:footer="0" w:gutter="0"/>
          <w:cols w:num="1" w:space="708" w:equalWidth="0">
            <w:col w:w="18309" w:space="0"/>
          </w:cols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ectPr>
          <w:type w:val="nextPage"/>
          <w:pgSz w:w="21824" w:h="31680"/>
          <w:pgMar w:top="914" w:right="1556" w:bottom="0" w:left="1958" w:header="0" w:footer="0" w:gutter="0"/>
          <w:pgNumType w:start="2"/>
          <w:cols w:num="1" w:space="708" w:equalWidth="0">
            <w:col w:w="18309" w:space="0"/>
          </w:cols>
          <w:titlePg w:val="0"/>
        </w:sectPr>
      </w:pPr>
    </w:p>
    <w:p>
      <w:pPr>
        <w:spacing w:before="182" w:line="191" w:lineRule="auto"/>
        <w:ind w:left="7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14"/>
          <w:sz w:val="48"/>
          <w:szCs w:val="48"/>
        </w:rPr>
        <w:t>2010-01-10发布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7" w:line="223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4"/>
          <w:sz w:val="48"/>
          <w:szCs w:val="48"/>
        </w:rPr>
        <w:t>2010-07-16</w:t>
      </w:r>
      <w:r>
        <w:rPr>
          <w:rFonts w:ascii="SimHei" w:eastAsia="SimHei" w:hAnsi="SimHei" w:cs="SimHei"/>
          <w:spacing w:val="-4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8"/>
          <w:szCs w:val="48"/>
        </w:rPr>
        <w:t>实施</w:t>
      </w:r>
    </w:p>
    <w:p>
      <w:pPr>
        <w:spacing w:line="223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1824" w:h="31680"/>
          <w:pgMar w:top="914" w:right="1556" w:bottom="0" w:left="1958" w:header="0" w:footer="0" w:gutter="0"/>
          <w:pgNumType w:start="3"/>
          <w:cols w:num="2" w:space="708" w:equalWidth="0">
            <w:col w:w="14570" w:space="100"/>
            <w:col w:w="3639" w:space="0"/>
          </w:cols>
        </w:sectPr>
      </w:pPr>
    </w:p>
    <w:p>
      <w:pPr>
        <w:spacing w:before="155" w:line="20" w:lineRule="exact"/>
        <w:ind w:firstLine="22"/>
      </w:pPr>
      <w:r>
        <w:drawing>
          <wp:inline distT="0" distB="0" distL="0" distR="0">
            <wp:extent cx="11611542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11542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</w:pPr>
    </w:p>
    <w:p>
      <w:pPr>
        <w:spacing w:before="16"/>
      </w:pPr>
    </w:p>
    <w:p>
      <w:pPr>
        <w:spacing w:before="16"/>
      </w:pPr>
    </w:p>
    <w:p>
      <w:pPr>
        <w:sectPr>
          <w:type w:val="continuous"/>
          <w:pgSz w:w="21824" w:h="31680"/>
          <w:pgMar w:top="914" w:right="1556" w:bottom="0" w:left="1958" w:header="0" w:footer="0" w:gutter="0"/>
          <w:pgNumType w:start="4"/>
          <w:cols w:num="1" w:space="708" w:equalWidth="0">
            <w:col w:w="18309" w:space="0"/>
          </w:cols>
        </w:sectPr>
      </w:pPr>
    </w:p>
    <w:p>
      <w:pPr>
        <w:spacing w:before="113" w:line="160" w:lineRule="auto"/>
        <w:ind w:left="3610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中</w:t>
      </w:r>
      <w:r>
        <w:rPr>
          <w:rFonts w:ascii="SimSun" w:eastAsia="SimSun" w:hAnsi="SimSun" w:cs="SimSun"/>
          <w:spacing w:val="-27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华</w:t>
      </w:r>
      <w:r>
        <w:rPr>
          <w:rFonts w:ascii="SimSun" w:eastAsia="SimSun" w:hAnsi="SimSun" w:cs="SimSun"/>
          <w:spacing w:val="28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人</w:t>
      </w:r>
      <w:r>
        <w:rPr>
          <w:rFonts w:ascii="SimSun" w:eastAsia="SimSun" w:hAnsi="SimSun" w:cs="SimSun"/>
          <w:spacing w:val="22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民</w:t>
      </w:r>
      <w:r>
        <w:rPr>
          <w:rFonts w:ascii="SimSun" w:eastAsia="SimSun" w:hAnsi="SimSun" w:cs="SimSun"/>
          <w:spacing w:val="18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共</w:t>
      </w:r>
      <w:r>
        <w:rPr>
          <w:rFonts w:ascii="SimSun" w:eastAsia="SimSun" w:hAnsi="SimSun" w:cs="SimSun"/>
          <w:spacing w:val="20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和</w:t>
      </w:r>
      <w:r>
        <w:rPr>
          <w:rFonts w:ascii="SimSun" w:eastAsia="SimSun" w:hAnsi="SimSun" w:cs="SimSun"/>
          <w:spacing w:val="29"/>
          <w:sz w:val="57"/>
          <w:szCs w:val="57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国</w:t>
      </w:r>
    </w:p>
    <w:p>
      <w:pPr>
        <w:spacing w:before="4" w:line="166" w:lineRule="auto"/>
        <w:ind w:left="3593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b/>
          <w:bCs/>
          <w:spacing w:val="-3"/>
          <w:sz w:val="78"/>
          <w:szCs w:val="78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67" w:line="224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2"/>
          <w:sz w:val="48"/>
          <w:szCs w:val="48"/>
        </w:rPr>
        <w:t>发</w:t>
      </w:r>
      <w:r>
        <w:rPr>
          <w:rFonts w:ascii="SimHei" w:eastAsia="SimHei" w:hAnsi="SimHei" w:cs="SimHei"/>
          <w:spacing w:val="91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48"/>
          <w:szCs w:val="48"/>
        </w:rPr>
        <w:t>布</w:t>
      </w:r>
    </w:p>
    <w:p>
      <w:pPr>
        <w:spacing w:line="224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1824" w:h="31680"/>
          <w:pgMar w:top="914" w:right="1556" w:bottom="0" w:left="1958" w:header="0" w:footer="0" w:gutter="0"/>
          <w:pgNumType w:start="5"/>
          <w:cols w:num="2" w:space="708" w:equalWidth="0">
            <w:col w:w="13485" w:space="100"/>
            <w:col w:w="4725" w:space="0"/>
          </w:cols>
        </w:sectPr>
      </w:pPr>
    </w:p>
    <w:p>
      <w:pPr>
        <w:spacing w:before="81" w:line="226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SN/T</w:t>
      </w:r>
      <w:r>
        <w:rPr>
          <w:rFonts w:ascii="SimSun" w:eastAsia="SimSun" w:hAnsi="SimSun" w:cs="SimSun"/>
          <w:spacing w:val="12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2440—2010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78" w:line="223" w:lineRule="auto"/>
        <w:ind w:left="753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-15"/>
          <w:sz w:val="55"/>
          <w:szCs w:val="55"/>
        </w:rPr>
        <w:t>前</w:t>
      </w:r>
      <w:r>
        <w:rPr>
          <w:rFonts w:ascii="SimHei" w:eastAsia="SimHei" w:hAnsi="SimHei" w:cs="SimHei"/>
          <w:spacing w:val="39"/>
          <w:sz w:val="55"/>
          <w:szCs w:val="55"/>
        </w:rPr>
        <w:t xml:space="preserve">    </w:t>
      </w:r>
      <w:r>
        <w:rPr>
          <w:rFonts w:ascii="SimHei" w:eastAsia="SimHei" w:hAnsi="SimHei" w:cs="SimHei"/>
          <w:b/>
          <w:bCs/>
          <w:spacing w:val="-15"/>
          <w:sz w:val="55"/>
          <w:szCs w:val="55"/>
        </w:rPr>
        <w:t>言</w:t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30" w:line="221" w:lineRule="auto"/>
        <w:ind w:left="7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本标准的附录</w:t>
      </w:r>
      <w:r>
        <w:rPr>
          <w:rFonts w:ascii="SimSun" w:eastAsia="SimSun" w:hAnsi="SimSun" w:cs="SimSun"/>
          <w:spacing w:val="-6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A、附录B 均为资料性附录。</w:t>
      </w:r>
    </w:p>
    <w:p>
      <w:pPr>
        <w:spacing w:before="138" w:line="221" w:lineRule="auto"/>
        <w:ind w:left="7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4"/>
          <w:sz w:val="40"/>
          <w:szCs w:val="40"/>
        </w:rPr>
        <w:t>本标准由国家认证认可监督管理委员会提出并归口。</w:t>
      </w:r>
    </w:p>
    <w:p>
      <w:pPr>
        <w:spacing w:before="33" w:line="639" w:lineRule="exact"/>
        <w:ind w:right="40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7"/>
          <w:sz w:val="40"/>
          <w:szCs w:val="40"/>
        </w:rPr>
        <w:t>本标准起草单位：中华人民共和国湖南出入境检验检疫局、中华人民共和国湖北</w:t>
      </w:r>
      <w:r>
        <w:rPr>
          <w:rFonts w:ascii="SimSun" w:eastAsia="SimSun" w:hAnsi="SimSun" w:cs="SimSun"/>
          <w:spacing w:val="-4"/>
          <w:position w:val="17"/>
          <w:sz w:val="40"/>
          <w:szCs w:val="40"/>
        </w:rPr>
        <w:t>出入境检验检疫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局、中华人民共和国浙江出入境检验检疫局。</w:t>
      </w:r>
    </w:p>
    <w:p>
      <w:pPr>
        <w:spacing w:before="117" w:line="221" w:lineRule="auto"/>
        <w:ind w:left="7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2"/>
          <w:sz w:val="40"/>
          <w:szCs w:val="40"/>
        </w:rPr>
        <w:t>本标准主要起草人：王美玲、王鹏、魏颖、</w:t>
      </w:r>
      <w:r>
        <w:rPr>
          <w:rFonts w:ascii="SimSun" w:eastAsia="SimSun" w:hAnsi="SimSun" w:cs="SimSun"/>
          <w:spacing w:val="-43"/>
          <w:sz w:val="40"/>
          <w:szCs w:val="40"/>
        </w:rPr>
        <w:t>陈笑梅、戴华。</w:t>
      </w:r>
    </w:p>
    <w:p>
      <w:pPr>
        <w:spacing w:before="95" w:line="221" w:lineRule="auto"/>
        <w:ind w:left="7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本标准系首次发布的出入境检验检疫行业标准。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7"/>
          <w:pgSz w:w="21824" w:h="31680"/>
          <w:pgMar w:top="2545" w:right="1983" w:bottom="2591" w:left="2386" w:header="0" w:footer="2251" w:gutter="0"/>
          <w:pgNumType w:start="6"/>
          <w:cols w:space="708"/>
        </w:sectPr>
      </w:pPr>
    </w:p>
    <w:p>
      <w:pPr>
        <w:spacing w:before="81" w:line="226" w:lineRule="auto"/>
        <w:ind w:left="14503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5301759</wp:posOffset>
            </wp:positionH>
            <wp:positionV relativeFrom="page">
              <wp:posOffset>8633124</wp:posOffset>
            </wp:positionV>
            <wp:extent cx="6350" cy="116395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63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40"/>
          <w:szCs w:val="40"/>
        </w:rPr>
        <w:t>SN/T</w:t>
      </w:r>
      <w:r>
        <w:rPr>
          <w:rFonts w:ascii="SimSun" w:eastAsia="SimSun" w:hAnsi="SimSun" w:cs="SimSun"/>
          <w:spacing w:val="12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2440—2010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85" w:line="809" w:lineRule="exact"/>
        <w:ind w:left="3847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20"/>
          <w:position w:val="15"/>
          <w:sz w:val="57"/>
          <w:szCs w:val="57"/>
        </w:rPr>
        <w:t>进出口蜂王浆中咖啡因含量的测定方法</w:t>
      </w:r>
    </w:p>
    <w:p>
      <w:pPr>
        <w:spacing w:before="2" w:line="222" w:lineRule="auto"/>
        <w:ind w:left="6148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4"/>
          <w:sz w:val="57"/>
          <w:szCs w:val="57"/>
        </w:rPr>
        <w:t>液相色谱-串联质谱法</w: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24" w:line="225" w:lineRule="auto"/>
        <w:ind w:left="14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1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范围</w:t>
      </w:r>
    </w:p>
    <w:p>
      <w:pPr>
        <w:pStyle w:val="BodyText"/>
        <w:spacing w:line="281" w:lineRule="auto"/>
      </w:pPr>
    </w:p>
    <w:p>
      <w:pPr>
        <w:spacing w:before="131" w:line="596" w:lineRule="exact"/>
        <w:ind w:left="94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3"/>
          <w:sz w:val="40"/>
          <w:szCs w:val="40"/>
        </w:rPr>
        <w:t>本方法规定了蜂王浆中咖啡因含量液相色谱-串联质谱法的测定方法。</w:t>
      </w:r>
    </w:p>
    <w:p>
      <w:pPr>
        <w:spacing w:before="2" w:line="220" w:lineRule="auto"/>
        <w:ind w:left="94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本方法适用进出口蜂王浆中咖啡因含量测定的</w:t>
      </w:r>
      <w:r>
        <w:rPr>
          <w:rFonts w:ascii="SimSun" w:eastAsia="SimSun" w:hAnsi="SimSun" w:cs="SimSun"/>
          <w:spacing w:val="-6"/>
          <w:sz w:val="40"/>
          <w:szCs w:val="40"/>
        </w:rPr>
        <w:t>制样和测定方法。</w:t>
      </w:r>
    </w:p>
    <w:p>
      <w:pPr>
        <w:spacing w:before="124" w:line="22" w:lineRule="exact"/>
        <w:ind w:firstLine="6020"/>
      </w:pPr>
      <w:r>
        <w:drawing>
          <wp:inline distT="0" distB="0" distL="0" distR="0">
            <wp:extent cx="3897075" cy="1448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7075" cy="1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4" w:line="223" w:lineRule="auto"/>
        <w:ind w:left="142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2</w:t>
      </w:r>
      <w:r>
        <w:rPr>
          <w:rFonts w:ascii="SimHei" w:eastAsia="SimHei" w:hAnsi="SimHei" w:cs="SimHei"/>
          <w:spacing w:val="1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方法提要</w:t>
      </w:r>
    </w:p>
    <w:p>
      <w:pPr>
        <w:spacing w:before="229" w:line="811" w:lineRule="exact"/>
        <w:ind w:right="49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30"/>
          <w:sz w:val="40"/>
          <w:szCs w:val="40"/>
        </w:rPr>
        <w:t>试样中的咖啡因用水提取，沉定蛋白质后，经</w:t>
      </w:r>
      <w:r>
        <w:rPr>
          <w:rFonts w:ascii="SimSun" w:eastAsia="SimSun" w:hAnsi="SimSun" w:cs="SimSun"/>
          <w:spacing w:val="-91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30"/>
          <w:sz w:val="40"/>
          <w:szCs w:val="40"/>
        </w:rPr>
        <w:t>C₄</w:t>
      </w:r>
      <w:r>
        <w:rPr>
          <w:rFonts w:ascii="SimSun" w:eastAsia="SimSun" w:hAnsi="SimSun" w:cs="SimSun"/>
          <w:spacing w:val="-11"/>
          <w:position w:val="30"/>
          <w:sz w:val="40"/>
          <w:szCs w:val="40"/>
        </w:rPr>
        <w:t>固相萃取小柱净化，液相色谱-质谱/质</w:t>
      </w:r>
      <w:r>
        <w:rPr>
          <w:rFonts w:ascii="SimSun" w:eastAsia="SimSun" w:hAnsi="SimSun" w:cs="SimSun"/>
          <w:spacing w:val="-12"/>
          <w:position w:val="30"/>
          <w:sz w:val="40"/>
          <w:szCs w:val="40"/>
        </w:rPr>
        <w:t>谱法测定，</w:t>
      </w:r>
    </w:p>
    <w:p>
      <w:pPr>
        <w:spacing w:before="1" w:line="222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外标法定量。</w:t>
      </w:r>
    </w:p>
    <w:p>
      <w:pPr>
        <w:pStyle w:val="BodyText"/>
        <w:spacing w:line="249" w:lineRule="auto"/>
      </w:pPr>
    </w:p>
    <w:p>
      <w:pPr>
        <w:spacing w:before="131" w:line="223" w:lineRule="auto"/>
        <w:ind w:left="142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3</w:t>
      </w:r>
      <w:r>
        <w:rPr>
          <w:rFonts w:ascii="SimHei" w:eastAsia="SimHei" w:hAnsi="SimHei" w:cs="SimHei"/>
          <w:spacing w:val="1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试剂和材料</w:t>
      </w:r>
    </w:p>
    <w:p>
      <w:pPr>
        <w:spacing w:before="182"/>
      </w:pPr>
    </w:p>
    <w:p>
      <w:pPr>
        <w:sectPr>
          <w:footerReference w:type="default" r:id="rId10"/>
          <w:pgSz w:w="21824" w:h="31680"/>
          <w:pgMar w:top="2504" w:right="1758" w:bottom="2485" w:left="2269" w:header="0" w:footer="2211" w:gutter="0"/>
          <w:pgNumType w:start="7"/>
          <w:cols w:num="1" w:space="708" w:equalWidth="0">
            <w:col w:w="17796" w:space="0"/>
          </w:cols>
        </w:sectPr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130" w:line="276" w:lineRule="auto"/>
        <w:ind w:left="137" w:right="126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3.1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3.2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3.3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38"/>
          <w:szCs w:val="38"/>
        </w:rPr>
        <w:t>3.4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6"/>
          <w:sz w:val="38"/>
          <w:szCs w:val="38"/>
        </w:rPr>
        <w:t>3.5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3.6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3.7</w:t>
      </w:r>
    </w:p>
    <w:p>
      <w:pPr>
        <w:spacing w:before="1" w:line="157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3.8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9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2"/>
          <w:sz w:val="40"/>
          <w:szCs w:val="40"/>
        </w:rPr>
        <w:t>除另有规定外，所有试剂均为分析绳，水为二次蒸馏水。</w:t>
      </w:r>
    </w:p>
    <w:p>
      <w:pPr>
        <w:spacing w:before="53" w:line="220" w:lineRule="auto"/>
        <w:ind w:left="19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乙腈：高效液相色谱级。</w:t>
      </w:r>
    </w:p>
    <w:p>
      <w:pPr>
        <w:spacing w:before="123" w:line="221" w:lineRule="auto"/>
        <w:ind w:left="19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甲醇：高效液相色谱级。</w:t>
      </w:r>
    </w:p>
    <w:p>
      <w:pPr>
        <w:spacing w:before="117" w:line="599" w:lineRule="exact"/>
        <w:ind w:left="23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5"/>
          <w:position w:val="13"/>
          <w:sz w:val="40"/>
          <w:szCs w:val="40"/>
        </w:rPr>
        <w:t>甲酸：优级纯。</w:t>
      </w:r>
    </w:p>
    <w:p>
      <w:pPr>
        <w:spacing w:before="1" w:line="222" w:lineRule="auto"/>
        <w:ind w:left="19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乙酸铅。</w:t>
      </w:r>
    </w:p>
    <w:p>
      <w:pPr>
        <w:spacing w:before="157" w:line="221" w:lineRule="auto"/>
        <w:ind w:left="17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sz w:val="38"/>
          <w:szCs w:val="38"/>
        </w:rPr>
        <w:t>草酸钾。</w:t>
      </w:r>
    </w:p>
    <w:p>
      <w:pPr>
        <w:spacing w:before="102" w:line="221" w:lineRule="auto"/>
        <w:ind w:left="17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磷酸氢二钠。</w:t>
      </w:r>
    </w:p>
    <w:p>
      <w:pPr>
        <w:spacing w:before="135" w:line="214" w:lineRule="auto"/>
        <w:ind w:left="17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 xml:space="preserve">20%乙酸铅溶液：取20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g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乙酸铅，溶解水中并定容至100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</w:t>
      </w:r>
      <w:r>
        <w:rPr>
          <w:rFonts w:ascii="SimSun" w:eastAsia="SimSun" w:hAnsi="SimSun" w:cs="SimSun"/>
          <w:spacing w:val="-5"/>
          <w:sz w:val="40"/>
          <w:szCs w:val="40"/>
        </w:rPr>
        <w:t>。</w:t>
      </w:r>
    </w:p>
    <w:p>
      <w:pPr>
        <w:spacing w:before="80" w:line="187" w:lineRule="auto"/>
        <w:ind w:left="21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草酸钾-磷酸氢二钠溶液：取草酸钾3jg,磷酸氢二钠7g</w:t>
      </w:r>
      <w:r>
        <w:rPr>
          <w:rFonts w:ascii="SimSun" w:eastAsia="SimSun" w:hAnsi="SimSun" w:cs="SimSun"/>
          <w:spacing w:val="-6"/>
          <w:sz w:val="40"/>
          <w:szCs w:val="40"/>
        </w:rPr>
        <w:t>, 加入10dmL</w:t>
      </w:r>
      <w:r>
        <w:rPr>
          <w:rFonts w:ascii="SimSun" w:eastAsia="SimSun" w:hAnsi="SimSun" w:cs="SimSun"/>
          <w:spacing w:val="17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水溶解。</w:t>
      </w:r>
    </w:p>
    <w:p>
      <w:pPr>
        <w:spacing w:line="187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1"/>
          <w:type w:val="continuous"/>
          <w:pgSz w:w="21824" w:h="31680"/>
          <w:pgMar w:top="2504" w:right="1758" w:bottom="2485" w:left="2269" w:header="0" w:footer="2211" w:gutter="0"/>
          <w:pgNumType w:start="8"/>
          <w:cols w:num="2" w:space="708" w:equalWidth="0">
            <w:col w:w="847" w:space="100"/>
            <w:col w:w="16850" w:space="0"/>
          </w:cols>
        </w:sectPr>
      </w:pPr>
    </w:p>
    <w:p>
      <w:pPr>
        <w:spacing w:before="244" w:line="214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1"/>
          <w:sz w:val="40"/>
          <w:szCs w:val="40"/>
        </w:rPr>
        <w:t>3.920%甲醇水溶液：取20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  </w:t>
      </w:r>
      <w:r>
        <w:rPr>
          <w:rFonts w:ascii="SimSun" w:eastAsia="SimSun" w:hAnsi="SimSun" w:cs="SimSun"/>
          <w:spacing w:val="21"/>
          <w:sz w:val="40"/>
          <w:szCs w:val="40"/>
        </w:rPr>
        <w:t xml:space="preserve">甲醇用水定容到100 </w:t>
      </w:r>
      <w:r>
        <w:rPr>
          <w:rFonts w:ascii="Times New Roman" w:eastAsia="Times New Roman" w:hAnsi="Times New Roman" w:cs="Times New Roman"/>
          <w:sz w:val="40"/>
          <w:szCs w:val="40"/>
        </w:rPr>
        <w:t>pL</w:t>
      </w:r>
      <w:r>
        <w:rPr>
          <w:rFonts w:ascii="SimSun" w:eastAsia="SimSun" w:hAnsi="SimSun" w:cs="SimSun"/>
          <w:spacing w:val="21"/>
          <w:sz w:val="40"/>
          <w:szCs w:val="40"/>
        </w:rPr>
        <w:t>。</w:t>
      </w:r>
    </w:p>
    <w:p>
      <w:pPr>
        <w:spacing w:before="158" w:line="221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7"/>
          <w:sz w:val="40"/>
          <w:szCs w:val="40"/>
        </w:rPr>
        <w:t>3.10</w:t>
      </w:r>
      <w:r>
        <w:rPr>
          <w:rFonts w:ascii="SimSun" w:eastAsia="SimSun" w:hAnsi="SimSun" w:cs="SimSun"/>
          <w:spacing w:val="18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 xml:space="preserve">60%甲醇水溶液：取60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甲醇用水定容到10</w:t>
      </w:r>
      <w:r>
        <w:rPr>
          <w:rFonts w:ascii="SimSun" w:eastAsia="SimSun" w:hAnsi="SimSun" w:cs="SimSun"/>
          <w:spacing w:val="6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6"/>
          <w:sz w:val="40"/>
          <w:szCs w:val="40"/>
        </w:rPr>
        <w:t>。</w:t>
      </w:r>
    </w:p>
    <w:p>
      <w:pPr>
        <w:spacing w:before="34" w:line="217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3"/>
          <w:sz w:val="40"/>
          <w:szCs w:val="40"/>
        </w:rPr>
        <w:t>3.11</w:t>
      </w:r>
      <w:r>
        <w:rPr>
          <w:rFonts w:ascii="SimSun" w:eastAsia="SimSun" w:hAnsi="SimSun" w:cs="SimSun"/>
          <w:spacing w:val="18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3"/>
          <w:sz w:val="40"/>
          <w:szCs w:val="40"/>
        </w:rPr>
        <w:t>0.1%甲酸溶液：准确取1|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13"/>
          <w:sz w:val="40"/>
          <w:szCs w:val="40"/>
        </w:rPr>
        <w:t>甲酸用水</w:t>
      </w:r>
      <w:r>
        <w:rPr>
          <w:rFonts w:ascii="SimSun" w:eastAsia="SimSun" w:hAnsi="SimSun" w:cs="SimSun"/>
          <w:spacing w:val="12"/>
          <w:sz w:val="40"/>
          <w:szCs w:val="40"/>
        </w:rPr>
        <w:t>定容到1000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12"/>
          <w:sz w:val="40"/>
          <w:szCs w:val="40"/>
        </w:rPr>
        <w:t>。</w:t>
      </w:r>
    </w:p>
    <w:p>
      <w:pPr>
        <w:spacing w:before="36" w:line="215" w:lineRule="auto"/>
        <w:ind w:left="13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6"/>
          <w:sz w:val="42"/>
          <w:szCs w:val="42"/>
        </w:rPr>
        <w:t>3.12</w:t>
      </w:r>
      <w:r>
        <w:rPr>
          <w:rFonts w:ascii="SimSun" w:eastAsia="SimSun" w:hAnsi="SimSun" w:cs="SimSun"/>
          <w:spacing w:val="70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6"/>
          <w:sz w:val="42"/>
          <w:szCs w:val="42"/>
        </w:rPr>
        <w:t>咖啡因</w:t>
      </w:r>
      <w:r>
        <w:rPr>
          <w:rFonts w:ascii="Times New Roman" w:eastAsia="Times New Roman" w:hAnsi="Times New Roman" w:cs="Times New Roman"/>
          <w:spacing w:val="6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sz w:val="42"/>
          <w:szCs w:val="42"/>
        </w:rPr>
        <w:t>caffeine</w:t>
      </w:r>
      <w:r>
        <w:rPr>
          <w:rFonts w:ascii="Times New Roman" w:eastAsia="Times New Roman" w:hAnsi="Times New Roman" w:cs="Times New Roman"/>
          <w:spacing w:val="6"/>
          <w:sz w:val="42"/>
          <w:szCs w:val="42"/>
        </w:rPr>
        <w:t>,C₈H₀N₄O₂,</w:t>
      </w:r>
      <w:r>
        <w:rPr>
          <w:rFonts w:ascii="Times New Roman" w:eastAsia="Times New Roman" w:hAnsi="Times New Roman" w:cs="Times New Roman"/>
          <w:sz w:val="42"/>
          <w:szCs w:val="42"/>
        </w:rPr>
        <w:t>CAS</w:t>
      </w:r>
      <w:r>
        <w:rPr>
          <w:rFonts w:ascii="Times New Roman" w:eastAsia="Times New Roman" w:hAnsi="Times New Roman" w:cs="Times New Roman"/>
          <w:spacing w:val="6"/>
          <w:sz w:val="42"/>
          <w:szCs w:val="42"/>
        </w:rPr>
        <w:t xml:space="preserve">      </w:t>
      </w:r>
      <w:r>
        <w:rPr>
          <w:rFonts w:ascii="SimSun" w:eastAsia="SimSun" w:hAnsi="SimSun" w:cs="SimSun"/>
          <w:spacing w:val="6"/>
          <w:sz w:val="42"/>
          <w:szCs w:val="42"/>
        </w:rPr>
        <w:t>编号5743-12-4,相</w:t>
      </w:r>
      <w:r>
        <w:rPr>
          <w:rFonts w:ascii="SimSun" w:eastAsia="SimSun" w:hAnsi="SimSun" w:cs="SimSun"/>
          <w:spacing w:val="5"/>
          <w:sz w:val="42"/>
          <w:szCs w:val="42"/>
        </w:rPr>
        <w:t>对分子质量194.19):纯度大于等于</w:t>
      </w:r>
    </w:p>
    <w:p>
      <w:pPr>
        <w:spacing w:before="344" w:line="184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99.8%。</w:t>
      </w:r>
    </w:p>
    <w:p>
      <w:pPr>
        <w:spacing w:before="17" w:line="216" w:lineRule="auto"/>
        <w:ind w:left="14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9"/>
          <w:sz w:val="40"/>
          <w:szCs w:val="40"/>
        </w:rPr>
        <w:t>3.13</w:t>
      </w:r>
      <w:r>
        <w:rPr>
          <w:rFonts w:ascii="SimSun" w:eastAsia="SimSun" w:hAnsi="SimSun" w:cs="SimSun"/>
          <w:spacing w:val="-9"/>
          <w:sz w:val="40"/>
          <w:szCs w:val="40"/>
        </w:rPr>
        <w:t xml:space="preserve">  标准储备溶液：准确称取适量咖啡因标准品，用水溶解配成100</w:t>
      </w:r>
      <w:r>
        <w:rPr>
          <w:rFonts w:ascii="SimSun" w:eastAsia="SimSun" w:hAnsi="SimSun" w:cs="SimSun"/>
          <w:spacing w:val="-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pg/mL</w:t>
      </w:r>
      <w:r>
        <w:rPr>
          <w:rFonts w:ascii="SimSun" w:eastAsia="SimSun" w:hAnsi="SimSun" w:cs="SimSun"/>
          <w:spacing w:val="1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的标准溶液，4℃避光保</w:t>
      </w:r>
    </w:p>
    <w:p>
      <w:pPr>
        <w:spacing w:before="206" w:line="221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存，木标准溶液在半年内稳定。</w:t>
      </w:r>
    </w:p>
    <w:p>
      <w:pPr>
        <w:spacing w:before="8" w:line="214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9"/>
          <w:sz w:val="40"/>
          <w:szCs w:val="40"/>
        </w:rPr>
        <w:t>3.14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  标准工作溶液：临用时用60%甲醇水溶液将标准储备溶</w:t>
      </w:r>
      <w:r>
        <w:rPr>
          <w:rFonts w:ascii="SimSun" w:eastAsia="SimSun" w:hAnsi="SimSun" w:cs="SimSun"/>
          <w:spacing w:val="8"/>
          <w:sz w:val="40"/>
          <w:szCs w:val="40"/>
        </w:rPr>
        <w:t>液稀释成含咖啡因5μ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g/L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10  μg/L</w:t>
      </w:r>
      <w:r>
        <w:rPr>
          <w:rFonts w:ascii="SimSun" w:eastAsia="SimSun" w:hAnsi="SimSun" w:cs="SimSun"/>
          <w:spacing w:val="8"/>
          <w:sz w:val="40"/>
          <w:szCs w:val="40"/>
        </w:rPr>
        <w:t>、</w:t>
      </w:r>
    </w:p>
    <w:p>
      <w:pPr>
        <w:spacing w:before="249" w:line="216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0"/>
          <w:sz w:val="40"/>
          <w:szCs w:val="40"/>
        </w:rPr>
        <w:t>50 pg/L、100</w:t>
      </w:r>
      <w:r>
        <w:rPr>
          <w:rFonts w:ascii="SimSun" w:eastAsia="SimSun" w:hAnsi="SimSun" w:cs="SimSun"/>
          <w:spacing w:val="9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0"/>
          <w:sz w:val="40"/>
          <w:szCs w:val="40"/>
        </w:rPr>
        <w:t>μg/L、500</w:t>
      </w:r>
      <w:r>
        <w:rPr>
          <w:rFonts w:ascii="SimSun" w:eastAsia="SimSun" w:hAnsi="SimSun" w:cs="SimSun"/>
          <w:spacing w:val="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0"/>
          <w:sz w:val="40"/>
          <w:szCs w:val="40"/>
        </w:rPr>
        <w:t>μg/L的标准工作溶液。</w:t>
      </w:r>
    </w:p>
    <w:p>
      <w:pPr>
        <w:spacing w:before="55" w:line="214" w:lineRule="auto"/>
        <w:ind w:left="14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1"/>
          <w:sz w:val="40"/>
          <w:szCs w:val="40"/>
        </w:rPr>
        <w:t>3.15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  固相萃取柱：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C   </w:t>
      </w:r>
      <w:r>
        <w:rPr>
          <w:rFonts w:ascii="SimSun" w:eastAsia="SimSun" w:hAnsi="SimSun" w:cs="SimSun"/>
          <w:spacing w:val="1"/>
          <w:sz w:val="40"/>
          <w:szCs w:val="40"/>
        </w:rPr>
        <w:t>固相萃取小柱(250</w:t>
      </w:r>
      <w:r>
        <w:rPr>
          <w:rFonts w:ascii="SimSun" w:eastAsia="SimSun" w:hAnsi="SimSun" w:cs="SimSun"/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mg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,3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)   </w:t>
      </w:r>
      <w:r>
        <w:rPr>
          <w:rFonts w:ascii="SimSun" w:eastAsia="SimSun" w:hAnsi="SimSun" w:cs="SimSun"/>
          <w:spacing w:val="1"/>
          <w:sz w:val="40"/>
          <w:szCs w:val="40"/>
        </w:rPr>
        <w:t>或相当者。使用前</w:t>
      </w:r>
      <w:r>
        <w:rPr>
          <w:rFonts w:ascii="SimSun" w:eastAsia="SimSun" w:hAnsi="SimSun" w:cs="SimSun"/>
          <w:sz w:val="40"/>
          <w:szCs w:val="40"/>
        </w:rPr>
        <w:t>用5</w:t>
      </w:r>
      <w:r>
        <w:rPr>
          <w:rFonts w:ascii="SimSun" w:eastAsia="SimSun" w:hAnsi="SimSun" w:cs="SimSun"/>
          <w:spacing w:val="-1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甲醇和5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水预洗。</w:t>
      </w:r>
    </w:p>
    <w:p>
      <w:pPr>
        <w:spacing w:before="221" w:line="221" w:lineRule="auto"/>
        <w:ind w:left="137"/>
        <w:rPr>
          <w:rFonts w:ascii="SimSun" w:eastAsia="SimSun" w:hAnsi="SimSun" w:cs="SimSun"/>
          <w:sz w:val="40"/>
          <w:szCs w:val="40"/>
        </w:rPr>
        <w:sectPr>
          <w:footerReference w:type="default" r:id="rId12"/>
          <w:type w:val="continuous"/>
          <w:pgSz w:w="21824" w:h="31680"/>
          <w:pgMar w:top="2504" w:right="1758" w:bottom="2485" w:left="2269" w:header="0" w:footer="2211" w:gutter="0"/>
          <w:pgNumType w:start="9"/>
          <w:cols w:num="1" w:space="708" w:equalWidth="0">
            <w:col w:w="17796" w:space="0"/>
          </w:cols>
        </w:sectPr>
      </w:pPr>
      <w:r>
        <w:rPr>
          <w:rFonts w:ascii="SimSun" w:eastAsia="SimSun" w:hAnsi="SimSun" w:cs="SimSun"/>
          <w:spacing w:val="-20"/>
          <w:sz w:val="40"/>
          <w:szCs w:val="40"/>
        </w:rPr>
        <w:t>3.16</w:t>
      </w:r>
      <w:r>
        <w:rPr>
          <w:rFonts w:ascii="SimSun" w:eastAsia="SimSun" w:hAnsi="SimSun" w:cs="SimSun"/>
          <w:spacing w:val="16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0"/>
          <w:sz w:val="40"/>
          <w:szCs w:val="40"/>
        </w:rPr>
        <w:t>0.45</w:t>
      </w:r>
      <w:r>
        <w:rPr>
          <w:rFonts w:ascii="SimSun" w:eastAsia="SimSun" w:hAnsi="SimSun" w:cs="SimSun"/>
          <w:spacing w:val="10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0"/>
          <w:sz w:val="40"/>
          <w:szCs w:val="40"/>
        </w:rPr>
        <w:t>μm滤膜，有机系。</w:t>
      </w:r>
    </w:p>
    <w:p>
      <w:pPr>
        <w:pStyle w:val="BodyText"/>
        <w:spacing w:line="256" w:lineRule="auto"/>
      </w:pPr>
    </w:p>
    <w:p>
      <w:pPr>
        <w:spacing w:before="130" w:line="224" w:lineRule="auto"/>
        <w:ind w:left="142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4</w:t>
      </w:r>
      <w:r>
        <w:rPr>
          <w:rFonts w:ascii="SimHei" w:eastAsia="SimHei" w:hAnsi="SimHei" w:cs="SimHei"/>
          <w:spacing w:val="18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仪器和设备</w:t>
      </w:r>
    </w:p>
    <w:p>
      <w:pPr>
        <w:pStyle w:val="BodyText"/>
        <w:spacing w:line="290" w:lineRule="auto"/>
      </w:pPr>
    </w:p>
    <w:p>
      <w:pPr>
        <w:spacing w:before="125" w:line="214" w:lineRule="auto"/>
        <w:ind w:left="1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4.1  高效液相色谱-四极杆串联质谱联用仪：配电喷雾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ESI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 xml:space="preserve">)  </w:t>
      </w:r>
      <w:r>
        <w:rPr>
          <w:rFonts w:ascii="SimSun" w:eastAsia="SimSun" w:hAnsi="SimSun" w:cs="SimSun"/>
          <w:spacing w:val="5"/>
          <w:sz w:val="38"/>
          <w:szCs w:val="38"/>
        </w:rPr>
        <w:t>离子源。</w:t>
      </w:r>
    </w:p>
    <w:p>
      <w:pPr>
        <w:spacing w:before="156" w:line="221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 xml:space="preserve">4.2  离心机：4000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r/min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123" w:line="223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4.3  涡旋混匀器：200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r/min</w:t>
      </w:r>
      <w:r>
        <w:rPr>
          <w:rFonts w:ascii="SimSun" w:eastAsia="SimSun" w:hAnsi="SimSun" w:cs="SimSun"/>
          <w:spacing w:val="-3"/>
          <w:sz w:val="40"/>
          <w:szCs w:val="40"/>
        </w:rPr>
        <w:t>～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24000r/min      </w:t>
      </w:r>
      <w:r>
        <w:rPr>
          <w:rFonts w:ascii="SimSun" w:eastAsia="SimSun" w:hAnsi="SimSun" w:cs="SimSun"/>
          <w:spacing w:val="-3"/>
          <w:sz w:val="40"/>
          <w:szCs w:val="40"/>
        </w:rPr>
        <w:t>可调。</w:t>
      </w:r>
    </w:p>
    <w:p>
      <w:pPr>
        <w:spacing w:before="133" w:line="222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4.4</w:t>
      </w:r>
      <w:r>
        <w:rPr>
          <w:rFonts w:ascii="SimSun" w:eastAsia="SimSun" w:hAnsi="SimSun" w:cs="SimSun"/>
          <w:spacing w:val="1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超声波清洗器。</w:t>
      </w:r>
    </w:p>
    <w:p>
      <w:pPr>
        <w:spacing w:before="100" w:line="187" w:lineRule="auto"/>
        <w:ind w:left="1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4.5  天平，感量为0.001 g、0.0001g。</w:t>
      </w:r>
    </w:p>
    <w:p>
      <w:pPr>
        <w:spacing w:line="187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3"/>
          <w:type w:val="nextPage"/>
          <w:pgSz w:w="21824" w:h="31680"/>
          <w:pgMar w:top="2504" w:right="1758" w:bottom="2485" w:left="2269" w:header="0" w:footer="2211" w:gutter="0"/>
          <w:pgNumType w:start="10"/>
          <w:cols w:num="1" w:space="708" w:equalWidth="0">
            <w:col w:w="17796" w:space="0"/>
          </w:cols>
          <w:titlePg w:val="0"/>
        </w:sectPr>
      </w:pPr>
    </w:p>
    <w:p>
      <w:pPr>
        <w:spacing w:before="81" w:line="226" w:lineRule="auto"/>
        <w:ind w:left="2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SN/T</w:t>
      </w:r>
      <w:r>
        <w:rPr>
          <w:rFonts w:ascii="SimSun" w:eastAsia="SimSun" w:hAnsi="SimSun" w:cs="SimSun"/>
          <w:spacing w:val="108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2440—2010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30" w:line="223" w:lineRule="auto"/>
        <w:ind w:left="2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5</w:t>
      </w:r>
      <w:r>
        <w:rPr>
          <w:rFonts w:ascii="SimHei" w:eastAsia="SimHei" w:hAnsi="SimHei" w:cs="SimHei"/>
          <w:spacing w:val="18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试样制备和保存</w:t>
      </w:r>
    </w:p>
    <w:p>
      <w:pPr>
        <w:spacing w:before="352" w:line="729" w:lineRule="exact"/>
        <w:ind w:right="45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position w:val="24"/>
          <w:sz w:val="40"/>
          <w:szCs w:val="40"/>
        </w:rPr>
        <w:t xml:space="preserve">取代表性样品约500 </w:t>
      </w:r>
      <w:r>
        <w:rPr>
          <w:rFonts w:ascii="Times New Roman" w:eastAsia="Times New Roman" w:hAnsi="Times New Roman" w:cs="Times New Roman"/>
          <w:spacing w:val="-14"/>
          <w:position w:val="24"/>
          <w:sz w:val="40"/>
          <w:szCs w:val="40"/>
        </w:rPr>
        <w:t xml:space="preserve">g, </w:t>
      </w:r>
      <w:r>
        <w:rPr>
          <w:rFonts w:ascii="SimSun" w:eastAsia="SimSun" w:hAnsi="SimSun" w:cs="SimSun"/>
          <w:spacing w:val="-14"/>
          <w:position w:val="24"/>
          <w:sz w:val="40"/>
          <w:szCs w:val="40"/>
        </w:rPr>
        <w:t>将其用力搅拌均匀，装入洁净容器内，密封，并标明标记，于一18 ℃以下保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存。在制样过程中，应防止样品受到污染或发生所测物质量的变化。</w:t>
      </w:r>
    </w:p>
    <w:p>
      <w:pPr>
        <w:pStyle w:val="BodyText"/>
        <w:spacing w:line="273" w:lineRule="auto"/>
      </w:pPr>
    </w:p>
    <w:p>
      <w:pPr>
        <w:spacing w:before="130" w:line="223" w:lineRule="auto"/>
        <w:ind w:left="2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6</w:t>
      </w:r>
      <w:r>
        <w:rPr>
          <w:rFonts w:ascii="SimHei" w:eastAsia="SimHei" w:hAnsi="SimHei" w:cs="SimHei"/>
          <w:spacing w:val="18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测定步骤</w:t>
      </w:r>
    </w:p>
    <w:p>
      <w:pPr>
        <w:pStyle w:val="BodyText"/>
        <w:spacing w:line="301" w:lineRule="auto"/>
      </w:pPr>
    </w:p>
    <w:p>
      <w:pPr>
        <w:spacing w:before="131" w:line="223" w:lineRule="auto"/>
        <w:ind w:left="26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6.1</w:t>
      </w:r>
      <w:r>
        <w:rPr>
          <w:rFonts w:ascii="SimHei" w:eastAsia="SimHei" w:hAnsi="SimHei" w:cs="SimHei"/>
          <w:spacing w:val="18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提取和净化</w:t>
      </w:r>
    </w:p>
    <w:p>
      <w:pPr>
        <w:spacing w:before="95" w:line="281" w:lineRule="auto"/>
        <w:ind w:left="20" w:right="73" w:firstLine="788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准确1</w:t>
      </w:r>
      <w:r>
        <w:rPr>
          <w:rFonts w:ascii="SimSun" w:eastAsia="SimSun" w:hAnsi="SimSun" w:cs="SimSun"/>
          <w:spacing w:val="-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</w:t>
      </w:r>
      <w:r>
        <w:rPr>
          <w:rFonts w:ascii="SimSun" w:eastAsia="SimSun" w:hAnsi="SimSun" w:cs="SimSun"/>
          <w:spacing w:val="-3"/>
          <w:sz w:val="40"/>
          <w:szCs w:val="40"/>
        </w:rPr>
        <w:t xml:space="preserve">(准确到0.001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g)</w:t>
      </w:r>
      <w:r>
        <w:rPr>
          <w:rFonts w:ascii="Times New Roman" w:eastAsia="Times New Roman" w:hAnsi="Times New Roman" w:cs="Times New Roman"/>
          <w:spacing w:val="-4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混合均匀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的样品于50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离心管中，加入20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>水，于超声波清洗器上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超声15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min,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冷却后加人2.5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乙酸铅溶液，2.5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草酸钾-磷酸氢二钠溶液，涡旋混匀器</w:t>
      </w:r>
      <w:r>
        <w:rPr>
          <w:rFonts w:ascii="SimSun" w:eastAsia="SimSun" w:hAnsi="SimSun" w:cs="SimSun"/>
          <w:spacing w:val="-8"/>
          <w:sz w:val="40"/>
          <w:szCs w:val="40"/>
        </w:rPr>
        <w:t>上混匀，于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4000r/min</w:t>
      </w:r>
      <w:r>
        <w:rPr>
          <w:rFonts w:ascii="SimSun" w:eastAsia="SimSun" w:hAnsi="SimSun" w:cs="SimSun"/>
          <w:spacing w:val="10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离心5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min </w:t>
      </w:r>
      <w:r>
        <w:rPr>
          <w:rFonts w:ascii="SimSun" w:eastAsia="SimSun" w:hAnsi="SimSun" w:cs="SimSun"/>
          <w:spacing w:val="-7"/>
          <w:sz w:val="40"/>
          <w:szCs w:val="40"/>
        </w:rPr>
        <w:t>后，取上清液过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C₈  </w:t>
      </w:r>
      <w:r>
        <w:rPr>
          <w:rFonts w:ascii="SimSun" w:eastAsia="SimSun" w:hAnsi="SimSun" w:cs="SimSun"/>
          <w:spacing w:val="-7"/>
          <w:sz w:val="40"/>
          <w:szCs w:val="40"/>
        </w:rPr>
        <w:t>固相萃取柱，以1</w:t>
      </w:r>
      <w:r>
        <w:rPr>
          <w:rFonts w:ascii="SimSun" w:eastAsia="SimSun" w:hAnsi="SimSun" w:cs="SimSun"/>
          <w:spacing w:val="-8"/>
          <w:sz w:val="40"/>
          <w:szCs w:val="40"/>
        </w:rPr>
        <w:t>滴/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洗脱速度，用5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水、5</w:t>
      </w:r>
      <w:r>
        <w:rPr>
          <w:rFonts w:ascii="SimSun" w:eastAsia="SimSun" w:hAnsi="SimSun" w:cs="SimSun"/>
          <w:spacing w:val="-1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 xml:space="preserve">mL20%  </w:t>
      </w:r>
      <w:r>
        <w:rPr>
          <w:rFonts w:ascii="SimSun" w:eastAsia="SimSun" w:hAnsi="SimSun" w:cs="SimSun"/>
          <w:spacing w:val="-8"/>
          <w:sz w:val="40"/>
          <w:szCs w:val="40"/>
        </w:rPr>
        <w:t>甲醇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水淋洗后，负压抽干，用2.0 mL60%  甲醇水溶液洗脱并收集并定容至2.0 mL, 混匀后，过0.45</w:t>
      </w:r>
      <w:r>
        <w:rPr>
          <w:rFonts w:ascii="SimSun" w:eastAsia="SimSun" w:hAnsi="SimSun" w:cs="SimSun"/>
          <w:spacing w:val="9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μm 滤</w:t>
      </w:r>
    </w:p>
    <w:p>
      <w:pPr>
        <w:spacing w:before="1" w:line="220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9"/>
          <w:sz w:val="40"/>
          <w:szCs w:val="40"/>
        </w:rPr>
        <w:t>膜，供液相色谱-质谱/质谱法测定。</w:t>
      </w:r>
    </w:p>
    <w:p>
      <w:pPr>
        <w:spacing w:before="180" w:line="226" w:lineRule="auto"/>
        <w:ind w:left="26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6.2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测定</w:t>
      </w:r>
    </w:p>
    <w:p>
      <w:pPr>
        <w:spacing w:before="147" w:line="223" w:lineRule="auto"/>
        <w:ind w:left="26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6.2.1</w:t>
      </w:r>
      <w:r>
        <w:rPr>
          <w:rFonts w:ascii="SimHei" w:eastAsia="SimHei" w:hAnsi="SimHei" w:cs="SimHei"/>
          <w:spacing w:val="4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液相色谱-四极杆串联质谱条件</w:t>
      </w:r>
    </w:p>
    <w:p>
      <w:pPr>
        <w:spacing w:before="124" w:line="214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a)    </w:t>
      </w:r>
      <w:r>
        <w:rPr>
          <w:rFonts w:ascii="SimSun" w:eastAsia="SimSun" w:hAnsi="SimSun" w:cs="SimSun"/>
          <w:spacing w:val="-7"/>
          <w:sz w:val="40"/>
          <w:szCs w:val="40"/>
        </w:rPr>
        <w:t>色谱柱：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C₁₈</w:t>
      </w:r>
      <w:r>
        <w:rPr>
          <w:rFonts w:ascii="Times New Roman" w:eastAsia="Times New Roman" w:hAnsi="Times New Roman" w:cs="Times New Roman"/>
          <w:spacing w:val="-4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色谱柱(4.6×150</w:t>
      </w:r>
      <w:r>
        <w:rPr>
          <w:rFonts w:ascii="SimSun" w:eastAsia="SimSun" w:hAnsi="SimSun" w:cs="SimSun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m,5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μm)</w:t>
      </w:r>
      <w:r>
        <w:rPr>
          <w:rFonts w:ascii="SimSun" w:eastAsia="SimSun" w:hAnsi="SimSun" w:cs="SimSun"/>
          <w:spacing w:val="-8"/>
          <w:sz w:val="40"/>
          <w:szCs w:val="40"/>
        </w:rPr>
        <w:t>或相当者；</w:t>
      </w:r>
    </w:p>
    <w:p>
      <w:pPr>
        <w:spacing w:before="154" w:line="214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3"/>
          <w:sz w:val="40"/>
          <w:szCs w:val="40"/>
        </w:rPr>
        <w:t>b)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23"/>
          <w:sz w:val="40"/>
          <w:szCs w:val="40"/>
        </w:rPr>
        <w:t>柱温：40</w:t>
      </w:r>
      <w:r>
        <w:rPr>
          <w:rFonts w:ascii="SimSun" w:eastAsia="SimSun" w:hAnsi="SimSun" w:cs="SimSun"/>
          <w:spacing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3"/>
          <w:sz w:val="40"/>
          <w:szCs w:val="40"/>
        </w:rPr>
        <w:t>℃;</w:t>
      </w:r>
    </w:p>
    <w:p>
      <w:pPr>
        <w:spacing w:before="112" w:line="214" w:lineRule="auto"/>
        <w:ind w:left="8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c)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7"/>
          <w:sz w:val="40"/>
          <w:szCs w:val="40"/>
        </w:rPr>
        <w:t xml:space="preserve">流动相和洗脱程序见表1;流速：0.50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/min;</w:t>
      </w:r>
    </w:p>
    <w:p>
      <w:pPr>
        <w:spacing w:before="210" w:line="223" w:lineRule="auto"/>
        <w:ind w:left="669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表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1</w:t>
      </w:r>
      <w:r>
        <w:rPr>
          <w:rFonts w:ascii="SimHei" w:eastAsia="SimHei" w:hAnsi="SimHei" w:cs="SimHei"/>
          <w:spacing w:val="16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流动相和洗脱程序</w:t>
      </w:r>
    </w:p>
    <w:p>
      <w:pPr>
        <w:spacing w:line="163" w:lineRule="exact"/>
      </w:pPr>
    </w:p>
    <w:tbl>
      <w:tblPr>
        <w:tblStyle w:val="TableNormal0"/>
        <w:tblW w:w="17496" w:type="dxa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25"/>
        <w:gridCol w:w="5827"/>
        <w:gridCol w:w="5844"/>
      </w:tblGrid>
      <w:tr>
        <w:tblPrEx>
          <w:tblW w:w="17496" w:type="dxa"/>
          <w:tblInd w:w="8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4"/>
        </w:trPr>
        <w:tc>
          <w:tcPr>
            <w:tcW w:w="5825" w:type="dxa"/>
            <w:vAlign w:val="top"/>
          </w:tcPr>
          <w:p>
            <w:pPr>
              <w:pStyle w:val="TableText"/>
              <w:spacing w:before="199" w:line="222" w:lineRule="auto"/>
              <w:ind w:left="2286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时间/</w:t>
            </w:r>
            <w:r>
              <w:rPr>
                <w:sz w:val="31"/>
                <w:szCs w:val="31"/>
              </w:rPr>
              <w:t>min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199" w:line="221" w:lineRule="auto"/>
              <w:ind w:left="1867"/>
              <w:rPr>
                <w:sz w:val="31"/>
                <w:szCs w:val="31"/>
              </w:rPr>
            </w:pPr>
            <w:r>
              <w:rPr>
                <w:spacing w:val="-19"/>
                <w:sz w:val="31"/>
                <w:szCs w:val="31"/>
              </w:rPr>
              <w:t>0</w:t>
            </w:r>
            <w:r>
              <w:rPr>
                <w:spacing w:val="-51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.</w:t>
            </w:r>
            <w:r>
              <w:rPr>
                <w:spacing w:val="-40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1</w:t>
            </w:r>
            <w:r>
              <w:rPr>
                <w:spacing w:val="-72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%</w:t>
            </w:r>
            <w:r>
              <w:rPr>
                <w:spacing w:val="-23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甲</w:t>
            </w:r>
            <w:r>
              <w:rPr>
                <w:spacing w:val="-63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酸</w:t>
            </w:r>
            <w:r>
              <w:rPr>
                <w:spacing w:val="-64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/</w:t>
            </w:r>
            <w:r>
              <w:rPr>
                <w:spacing w:val="-72"/>
                <w:sz w:val="31"/>
                <w:szCs w:val="31"/>
              </w:rPr>
              <w:t xml:space="preserve"> </w:t>
            </w:r>
            <w:r>
              <w:rPr>
                <w:spacing w:val="-19"/>
                <w:sz w:val="31"/>
                <w:szCs w:val="31"/>
              </w:rPr>
              <w:t>%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194" w:line="218" w:lineRule="auto"/>
              <w:ind w:left="2454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乙腈/%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660"/>
        </w:trPr>
        <w:tc>
          <w:tcPr>
            <w:tcW w:w="5825" w:type="dxa"/>
            <w:vAlign w:val="top"/>
          </w:tcPr>
          <w:p>
            <w:pPr>
              <w:pStyle w:val="TableText"/>
              <w:spacing w:before="264" w:line="183" w:lineRule="auto"/>
              <w:ind w:left="259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0.00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64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98.0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64" w:line="183" w:lineRule="auto"/>
              <w:ind w:left="2687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2.0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666"/>
        </w:trPr>
        <w:tc>
          <w:tcPr>
            <w:tcW w:w="5825" w:type="dxa"/>
            <w:vAlign w:val="top"/>
          </w:tcPr>
          <w:p>
            <w:pPr>
              <w:pStyle w:val="TableText"/>
              <w:spacing w:before="269" w:line="183" w:lineRule="auto"/>
              <w:ind w:left="2597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3.00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69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98.0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69" w:line="183" w:lineRule="auto"/>
              <w:ind w:left="2687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2.0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700"/>
        </w:trPr>
        <w:tc>
          <w:tcPr>
            <w:tcW w:w="5825" w:type="dxa"/>
            <w:vAlign w:val="top"/>
          </w:tcPr>
          <w:p>
            <w:pPr>
              <w:pStyle w:val="TableText"/>
              <w:spacing w:before="286" w:line="183" w:lineRule="auto"/>
              <w:ind w:left="259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8.00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86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30.0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86" w:line="183" w:lineRule="auto"/>
              <w:ind w:left="260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70.0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657"/>
        </w:trPr>
        <w:tc>
          <w:tcPr>
            <w:tcW w:w="5825" w:type="dxa"/>
            <w:vAlign w:val="top"/>
          </w:tcPr>
          <w:p>
            <w:pPr>
              <w:pStyle w:val="TableText"/>
              <w:spacing w:before="265" w:line="184" w:lineRule="auto"/>
              <w:ind w:left="2519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12.00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67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30.0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67" w:line="183" w:lineRule="auto"/>
              <w:ind w:left="260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70.0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661"/>
        </w:trPr>
        <w:tc>
          <w:tcPr>
            <w:tcW w:w="5825" w:type="dxa"/>
            <w:vAlign w:val="top"/>
          </w:tcPr>
          <w:p>
            <w:pPr>
              <w:pStyle w:val="TableText"/>
              <w:spacing w:before="268" w:line="184" w:lineRule="auto"/>
              <w:ind w:left="2519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12.01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70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98.0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70" w:line="183" w:lineRule="auto"/>
              <w:ind w:left="2687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2.0</w:t>
            </w:r>
          </w:p>
        </w:tc>
      </w:tr>
      <w:tr>
        <w:tblPrEx>
          <w:tblW w:w="17496" w:type="dxa"/>
          <w:tblInd w:w="88" w:type="dxa"/>
          <w:tblLayout w:type="fixed"/>
        </w:tblPrEx>
        <w:trPr>
          <w:trHeight w:val="679"/>
        </w:trPr>
        <w:tc>
          <w:tcPr>
            <w:tcW w:w="5825" w:type="dxa"/>
            <w:vAlign w:val="top"/>
          </w:tcPr>
          <w:p>
            <w:pPr>
              <w:pStyle w:val="TableText"/>
              <w:spacing w:before="278" w:line="183" w:lineRule="auto"/>
              <w:ind w:left="251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20.00</w:t>
            </w:r>
          </w:p>
        </w:tc>
        <w:tc>
          <w:tcPr>
            <w:tcW w:w="5827" w:type="dxa"/>
            <w:vAlign w:val="top"/>
          </w:tcPr>
          <w:p>
            <w:pPr>
              <w:pStyle w:val="TableText"/>
              <w:spacing w:before="278" w:line="183" w:lineRule="auto"/>
              <w:ind w:left="26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98.0</w:t>
            </w:r>
          </w:p>
        </w:tc>
        <w:tc>
          <w:tcPr>
            <w:tcW w:w="5844" w:type="dxa"/>
            <w:vAlign w:val="top"/>
          </w:tcPr>
          <w:p>
            <w:pPr>
              <w:pStyle w:val="TableText"/>
              <w:spacing w:before="278" w:line="183" w:lineRule="auto"/>
              <w:ind w:left="2687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2.0</w:t>
            </w:r>
          </w:p>
        </w:tc>
      </w:tr>
    </w:tbl>
    <w:p>
      <w:pPr>
        <w:spacing w:before="157" w:line="215" w:lineRule="auto"/>
        <w:ind w:left="809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43"/>
          <w:sz w:val="42"/>
          <w:szCs w:val="42"/>
        </w:rPr>
        <w:t xml:space="preserve">d)     </w:t>
      </w:r>
      <w:r>
        <w:rPr>
          <w:rFonts w:ascii="SimSun" w:eastAsia="SimSun" w:hAnsi="SimSun" w:cs="SimSun"/>
          <w:spacing w:val="-43"/>
          <w:sz w:val="42"/>
          <w:szCs w:val="42"/>
        </w:rPr>
        <w:t>进样量：10</w:t>
      </w:r>
      <w:r>
        <w:rPr>
          <w:rFonts w:ascii="SimSun" w:eastAsia="SimSun" w:hAnsi="SimSun" w:cs="SimSun"/>
          <w:spacing w:val="7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3"/>
          <w:sz w:val="42"/>
          <w:szCs w:val="42"/>
        </w:rPr>
        <w:t>μ</w:t>
      </w:r>
      <w:r>
        <w:rPr>
          <w:rFonts w:ascii="Times New Roman" w:eastAsia="Times New Roman" w:hAnsi="Times New Roman" w:cs="Times New Roman"/>
          <w:spacing w:val="-43"/>
          <w:sz w:val="42"/>
          <w:szCs w:val="42"/>
        </w:rPr>
        <w:t>L;</w:t>
      </w:r>
    </w:p>
    <w:p>
      <w:pPr>
        <w:spacing w:before="109" w:line="214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4"/>
          <w:sz w:val="40"/>
          <w:szCs w:val="40"/>
        </w:rPr>
        <w:t xml:space="preserve">e)     </w:t>
      </w:r>
      <w:r>
        <w:rPr>
          <w:rFonts w:ascii="SimSun" w:eastAsia="SimSun" w:hAnsi="SimSun" w:cs="SimSun"/>
          <w:spacing w:val="-24"/>
          <w:sz w:val="40"/>
          <w:szCs w:val="40"/>
        </w:rPr>
        <w:t>离子源：电喷雾，正离子；</w:t>
      </w:r>
    </w:p>
    <w:p>
      <w:pPr>
        <w:spacing w:before="176" w:line="214" w:lineRule="auto"/>
        <w:ind w:left="8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f)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3"/>
          <w:sz w:val="40"/>
          <w:szCs w:val="40"/>
        </w:rPr>
        <w:t>扫描方式：多反应监测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(MRM);</w:t>
      </w:r>
    </w:p>
    <w:p>
      <w:pPr>
        <w:spacing w:before="111" w:line="598" w:lineRule="exact"/>
        <w:ind w:right="74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4"/>
          <w:position w:val="14"/>
          <w:sz w:val="40"/>
          <w:szCs w:val="40"/>
        </w:rPr>
        <w:t xml:space="preserve">g)    </w:t>
      </w:r>
      <w:r>
        <w:rPr>
          <w:rFonts w:ascii="SimSun" w:eastAsia="SimSun" w:hAnsi="SimSun" w:cs="SimSun"/>
          <w:spacing w:val="-14"/>
          <w:position w:val="14"/>
          <w:sz w:val="40"/>
          <w:szCs w:val="40"/>
        </w:rPr>
        <w:t>雾化气、气帘气、辅助气、碰撞气均为高纯氮</w:t>
      </w:r>
      <w:r>
        <w:rPr>
          <w:rFonts w:ascii="SimSun" w:eastAsia="SimSun" w:hAnsi="SimSun" w:cs="SimSun"/>
          <w:spacing w:val="-15"/>
          <w:position w:val="14"/>
          <w:sz w:val="40"/>
          <w:szCs w:val="40"/>
        </w:rPr>
        <w:t>气或其他高纯气体；监测离子对</w:t>
      </w:r>
      <w:r>
        <w:rPr>
          <w:rFonts w:ascii="Times New Roman" w:eastAsia="Times New Roman" w:hAnsi="Times New Roman" w:cs="Times New Roman"/>
          <w:spacing w:val="-15"/>
          <w:position w:val="14"/>
          <w:sz w:val="40"/>
          <w:szCs w:val="40"/>
        </w:rPr>
        <w:t>(m/z)</w:t>
      </w:r>
      <w:r>
        <w:rPr>
          <w:rFonts w:ascii="Times New Roman" w:eastAsia="Times New Roman" w:hAnsi="Times New Roman" w:cs="Times New Roman"/>
          <w:spacing w:val="13"/>
          <w:position w:val="14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5"/>
          <w:position w:val="14"/>
          <w:sz w:val="40"/>
          <w:szCs w:val="40"/>
        </w:rPr>
        <w:t>和其他参考</w:t>
      </w:r>
    </w:p>
    <w:p>
      <w:pPr>
        <w:spacing w:before="1" w:line="220" w:lineRule="auto"/>
        <w:ind w:left="16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条件见附录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A </w:t>
      </w:r>
      <w:r>
        <w:rPr>
          <w:rFonts w:ascii="SimSun" w:eastAsia="SimSun" w:hAnsi="SimSun" w:cs="SimSun"/>
          <w:spacing w:val="-3"/>
          <w:sz w:val="40"/>
          <w:szCs w:val="40"/>
        </w:rPr>
        <w:t>表</w:t>
      </w:r>
      <w:r>
        <w:rPr>
          <w:rFonts w:ascii="SimSun" w:eastAsia="SimSun" w:hAnsi="SimSun" w:cs="SimSun"/>
          <w:spacing w:val="-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A.1</w:t>
      </w:r>
      <w:r>
        <w:rPr>
          <w:rFonts w:ascii="SimSun" w:eastAsia="SimSun" w:hAnsi="SimSun" w:cs="SimSun"/>
          <w:spacing w:val="-3"/>
          <w:sz w:val="40"/>
          <w:szCs w:val="40"/>
        </w:rPr>
        <w:t>。</w:t>
      </w:r>
    </w:p>
    <w:p>
      <w:pPr>
        <w:spacing w:before="160" w:line="226" w:lineRule="auto"/>
        <w:ind w:left="26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6.2.2</w:t>
      </w:r>
      <w:r>
        <w:rPr>
          <w:rFonts w:ascii="SimHei" w:eastAsia="SimHei" w:hAnsi="SimHei" w:cs="SimHei"/>
          <w:spacing w:val="31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LC-MS/MS</w:t>
      </w:r>
      <w:r>
        <w:rPr>
          <w:rFonts w:ascii="SimSun" w:eastAsia="SimSun" w:hAnsi="SimSun" w:cs="SimSun"/>
          <w:spacing w:val="8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测定</w:t>
      </w:r>
    </w:p>
    <w:p>
      <w:pPr>
        <w:spacing w:before="133" w:line="289" w:lineRule="auto"/>
        <w:ind w:left="20" w:right="101" w:firstLine="788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根据样液中待测物的含量，选定浓度相近的标准校正溶液，试液中待测物的响应</w:t>
      </w:r>
      <w:r>
        <w:rPr>
          <w:rFonts w:ascii="SimSun" w:eastAsia="SimSun" w:hAnsi="SimSun" w:cs="SimSun"/>
          <w:spacing w:val="-13"/>
          <w:sz w:val="40"/>
          <w:szCs w:val="40"/>
        </w:rPr>
        <w:t>值应在仪器检测的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6"/>
          <w:sz w:val="40"/>
          <w:szCs w:val="40"/>
        </w:rPr>
        <w:t>线性范围内。校正溶液及样液等体积进样测定，在上述色</w:t>
      </w:r>
      <w:r>
        <w:rPr>
          <w:rFonts w:ascii="SimSun" w:eastAsia="SimSun" w:hAnsi="SimSun" w:cs="SimSun"/>
          <w:spacing w:val="15"/>
          <w:sz w:val="40"/>
          <w:szCs w:val="40"/>
        </w:rPr>
        <w:t>谱条件下，咖啡因的保留时间分别约为</w:t>
      </w:r>
    </w:p>
    <w:p>
      <w:pPr>
        <w:spacing w:before="2" w:line="218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12.7 min,标准的提取离子质谱图见附录</w:t>
      </w:r>
      <w:r>
        <w:rPr>
          <w:rFonts w:ascii="SimSun" w:eastAsia="SimSun" w:hAnsi="SimSun" w:cs="SimSun"/>
          <w:spacing w:val="-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B </w:t>
      </w:r>
      <w:r>
        <w:rPr>
          <w:rFonts w:ascii="SimSun" w:eastAsia="SimSun" w:hAnsi="SimSun" w:cs="SimSun"/>
          <w:spacing w:val="-5"/>
          <w:sz w:val="40"/>
          <w:szCs w:val="40"/>
        </w:rPr>
        <w:t>中的图</w:t>
      </w:r>
      <w:r>
        <w:rPr>
          <w:rFonts w:ascii="SimSun" w:eastAsia="SimSun" w:hAnsi="SimSun" w:cs="SimSun"/>
          <w:spacing w:val="-10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B.1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。外标法定量。</w:t>
      </w:r>
    </w:p>
    <w:p>
      <w:pPr>
        <w:spacing w:before="120" w:line="223" w:lineRule="auto"/>
        <w:ind w:left="26"/>
        <w:outlineLvl w:val="0"/>
        <w:rPr>
          <w:rFonts w:ascii="SimHei" w:eastAsia="SimHei" w:hAnsi="SimHei" w:cs="SimHei"/>
          <w:sz w:val="40"/>
          <w:szCs w:val="40"/>
        </w:rPr>
        <w:sectPr>
          <w:footerReference w:type="default" r:id="rId14"/>
          <w:pgSz w:w="21824" w:h="31680"/>
          <w:pgMar w:top="2455" w:right="2554" w:bottom="2548" w:left="1682" w:header="0" w:footer="2275" w:gutter="0"/>
          <w:pgNumType w:start="11"/>
          <w:cols w:space="708"/>
        </w:sect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6.2.3</w:t>
      </w:r>
      <w:r>
        <w:rPr>
          <w:rFonts w:ascii="SimHei" w:eastAsia="SimHei" w:hAnsi="SimHei" w:cs="SimHei"/>
          <w:spacing w:val="-10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液相色谱-质谱确证</w:t>
      </w:r>
    </w:p>
    <w:p>
      <w:pPr>
        <w:spacing w:before="166" w:line="596" w:lineRule="exact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3"/>
          <w:sz w:val="40"/>
          <w:szCs w:val="40"/>
        </w:rPr>
        <w:t>在上述液相色谱-串联质谱条件下进行测定，</w:t>
      </w:r>
      <w:r>
        <w:rPr>
          <w:rFonts w:ascii="SimSun" w:eastAsia="SimSun" w:hAnsi="SimSun" w:cs="SimSun"/>
          <w:spacing w:val="-8"/>
          <w:position w:val="13"/>
          <w:sz w:val="40"/>
          <w:szCs w:val="40"/>
        </w:rPr>
        <w:t>试液中待测物的保留时间应在校正溶液保留时间的时</w:t>
      </w:r>
    </w:p>
    <w:p>
      <w:pPr>
        <w:spacing w:before="1" w:line="221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间窗内，各离子对的相对丰度应与校正溶液的相对丰度一致，误差不超过表2中规定的范围。</w:t>
      </w:r>
    </w:p>
    <w:p>
      <w:pPr>
        <w:spacing w:before="108" w:line="223" w:lineRule="auto"/>
        <w:ind w:left="467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表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2</w:t>
      </w:r>
      <w:r>
        <w:rPr>
          <w:rFonts w:ascii="SimHei" w:eastAsia="SimHei" w:hAnsi="SimHei" w:cs="SimHei"/>
          <w:spacing w:val="20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定性确证时相对离子丰度的最大允许误差</w:t>
      </w:r>
    </w:p>
    <w:p>
      <w:pPr>
        <w:spacing w:line="195" w:lineRule="exact"/>
      </w:pPr>
    </w:p>
    <w:tbl>
      <w:tblPr>
        <w:tblStyle w:val="TableNormal1"/>
        <w:tblW w:w="17514" w:type="dxa"/>
        <w:tblInd w:w="3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78"/>
        <w:gridCol w:w="3437"/>
        <w:gridCol w:w="3418"/>
        <w:gridCol w:w="3432"/>
        <w:gridCol w:w="3449"/>
      </w:tblGrid>
      <w:tr>
        <w:tblPrEx>
          <w:tblW w:w="17514" w:type="dxa"/>
          <w:tblInd w:w="3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2"/>
        </w:trPr>
        <w:tc>
          <w:tcPr>
            <w:tcW w:w="3778" w:type="dxa"/>
            <w:vAlign w:val="top"/>
          </w:tcPr>
          <w:p>
            <w:pPr>
              <w:pStyle w:val="TableText"/>
              <w:spacing w:before="205" w:line="222" w:lineRule="auto"/>
              <w:ind w:left="585"/>
            </w:pPr>
            <w:r>
              <w:rPr>
                <w:spacing w:val="-8"/>
              </w:rPr>
              <w:t>相</w:t>
            </w:r>
            <w:r>
              <w:rPr>
                <w:spacing w:val="-36"/>
              </w:rPr>
              <w:t xml:space="preserve"> </w:t>
            </w:r>
            <w:r>
              <w:rPr>
                <w:spacing w:val="-8"/>
              </w:rPr>
              <w:t>对</w:t>
            </w:r>
            <w:r>
              <w:rPr>
                <w:spacing w:val="-34"/>
              </w:rPr>
              <w:t xml:space="preserve"> </w:t>
            </w:r>
            <w:r>
              <w:rPr>
                <w:spacing w:val="-8"/>
              </w:rPr>
              <w:t>离</w:t>
            </w:r>
            <w:r>
              <w:rPr>
                <w:spacing w:val="-38"/>
              </w:rPr>
              <w:t xml:space="preserve"> </w:t>
            </w:r>
            <w:r>
              <w:rPr>
                <w:spacing w:val="-8"/>
              </w:rPr>
              <w:t>子</w:t>
            </w:r>
            <w:r>
              <w:rPr>
                <w:spacing w:val="-38"/>
              </w:rPr>
              <w:t xml:space="preserve"> </w:t>
            </w:r>
            <w:r>
              <w:rPr>
                <w:spacing w:val="-8"/>
              </w:rPr>
              <w:t>丰</w:t>
            </w:r>
            <w:r>
              <w:rPr>
                <w:spacing w:val="-40"/>
              </w:rPr>
              <w:t xml:space="preserve"> </w:t>
            </w:r>
            <w:r>
              <w:rPr>
                <w:spacing w:val="-8"/>
              </w:rPr>
              <w:t>度</w:t>
            </w:r>
            <w:r>
              <w:rPr>
                <w:spacing w:val="-40"/>
              </w:rPr>
              <w:t xml:space="preserve"> </w:t>
            </w:r>
            <w:r>
              <w:rPr>
                <w:spacing w:val="-8"/>
              </w:rPr>
              <w:t>/</w:t>
            </w:r>
            <w:r>
              <w:rPr>
                <w:spacing w:val="-47"/>
              </w:rPr>
              <w:t xml:space="preserve"> </w:t>
            </w:r>
            <w:r>
              <w:rPr>
                <w:spacing w:val="-8"/>
              </w:rPr>
              <w:t>%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31"/>
              <w:ind w:left="1431"/>
            </w:pPr>
            <w:r>
              <w:rPr>
                <w:spacing w:val="-8"/>
              </w:rPr>
              <w:t>≥50</w:t>
            </w:r>
          </w:p>
        </w:tc>
        <w:tc>
          <w:tcPr>
            <w:tcW w:w="3418" w:type="dxa"/>
            <w:vAlign w:val="top"/>
          </w:tcPr>
          <w:p>
            <w:pPr>
              <w:pStyle w:val="TableText"/>
              <w:spacing w:before="231"/>
              <w:ind w:left="1139"/>
            </w:pPr>
            <w:r>
              <w:rPr>
                <w:spacing w:val="-4"/>
              </w:rPr>
              <w:t>≥20～50</w:t>
            </w:r>
          </w:p>
        </w:tc>
        <w:tc>
          <w:tcPr>
            <w:tcW w:w="3432" w:type="dxa"/>
            <w:vAlign w:val="top"/>
          </w:tcPr>
          <w:p>
            <w:pPr>
              <w:pStyle w:val="TableText"/>
              <w:spacing w:before="232" w:line="242" w:lineRule="auto"/>
              <w:ind w:left="1219"/>
            </w:pPr>
            <w:r>
              <w:rPr>
                <w:spacing w:val="-1"/>
              </w:rPr>
              <w:t>&gt;10～20</w:t>
            </w:r>
          </w:p>
        </w:tc>
        <w:tc>
          <w:tcPr>
            <w:tcW w:w="3449" w:type="dxa"/>
            <w:vAlign w:val="top"/>
          </w:tcPr>
          <w:p>
            <w:pPr>
              <w:pStyle w:val="TableText"/>
              <w:spacing w:before="229" w:line="238" w:lineRule="auto"/>
              <w:ind w:left="1439"/>
            </w:pPr>
            <w:r>
              <w:rPr>
                <w:spacing w:val="-7"/>
              </w:rPr>
              <w:t>≤10</w:t>
            </w:r>
          </w:p>
        </w:tc>
      </w:tr>
      <w:tr>
        <w:tblPrEx>
          <w:tblW w:w="17514" w:type="dxa"/>
          <w:tblInd w:w="35" w:type="dxa"/>
          <w:tblLayout w:type="fixed"/>
        </w:tblPrEx>
        <w:trPr>
          <w:trHeight w:val="675"/>
        </w:trPr>
        <w:tc>
          <w:tcPr>
            <w:tcW w:w="3778" w:type="dxa"/>
            <w:vAlign w:val="top"/>
          </w:tcPr>
          <w:p>
            <w:pPr>
              <w:pStyle w:val="TableText"/>
              <w:spacing w:before="207" w:line="222" w:lineRule="auto"/>
              <w:ind w:left="414"/>
            </w:pPr>
            <w:r>
              <w:rPr>
                <w:spacing w:val="-12"/>
              </w:rPr>
              <w:t>允</w:t>
            </w:r>
            <w:r>
              <w:rPr>
                <w:spacing w:val="-41"/>
              </w:rPr>
              <w:t xml:space="preserve"> </w:t>
            </w:r>
            <w:r>
              <w:rPr>
                <w:spacing w:val="-12"/>
              </w:rPr>
              <w:t>许 的</w:t>
            </w:r>
            <w:r>
              <w:rPr>
                <w:spacing w:val="-42"/>
              </w:rPr>
              <w:t xml:space="preserve"> </w:t>
            </w:r>
            <w:r>
              <w:rPr>
                <w:spacing w:val="-12"/>
              </w:rPr>
              <w:t>相</w:t>
            </w:r>
            <w:r>
              <w:rPr>
                <w:spacing w:val="-43"/>
              </w:rPr>
              <w:t xml:space="preserve"> </w:t>
            </w:r>
            <w:r>
              <w:rPr>
                <w:spacing w:val="-12"/>
              </w:rPr>
              <w:t>对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误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差</w:t>
            </w:r>
            <w:r>
              <w:rPr>
                <w:spacing w:val="-43"/>
              </w:rPr>
              <w:t xml:space="preserve"> </w:t>
            </w:r>
            <w:r>
              <w:rPr>
                <w:spacing w:val="-12"/>
              </w:rPr>
              <w:t>/</w:t>
            </w:r>
            <w:r>
              <w:rPr>
                <w:spacing w:val="-49"/>
              </w:rPr>
              <w:t xml:space="preserve"> </w:t>
            </w:r>
            <w:r>
              <w:rPr>
                <w:spacing w:val="-12"/>
              </w:rPr>
              <w:t>%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33" w:line="237" w:lineRule="auto"/>
              <w:ind w:left="1431"/>
            </w:pPr>
            <w:r>
              <w:rPr>
                <w:spacing w:val="-10"/>
              </w:rPr>
              <w:t>±20</w:t>
            </w:r>
          </w:p>
        </w:tc>
        <w:tc>
          <w:tcPr>
            <w:tcW w:w="3418" w:type="dxa"/>
            <w:vAlign w:val="top"/>
          </w:tcPr>
          <w:p>
            <w:pPr>
              <w:pStyle w:val="TableText"/>
              <w:spacing w:before="230" w:line="237" w:lineRule="auto"/>
              <w:ind w:left="1423"/>
            </w:pPr>
            <w:r>
              <w:rPr>
                <w:spacing w:val="8"/>
              </w:rPr>
              <w:t>士25</w:t>
            </w:r>
          </w:p>
        </w:tc>
        <w:tc>
          <w:tcPr>
            <w:tcW w:w="3432" w:type="dxa"/>
            <w:vAlign w:val="top"/>
          </w:tcPr>
          <w:p>
            <w:pPr>
              <w:pStyle w:val="TableText"/>
              <w:spacing w:before="233" w:line="237" w:lineRule="auto"/>
              <w:ind w:left="1431"/>
            </w:pPr>
            <w:r>
              <w:rPr>
                <w:spacing w:val="-10"/>
              </w:rPr>
              <w:t>±30</w:t>
            </w:r>
          </w:p>
        </w:tc>
        <w:tc>
          <w:tcPr>
            <w:tcW w:w="3449" w:type="dxa"/>
            <w:vAlign w:val="top"/>
          </w:tcPr>
          <w:p>
            <w:pPr>
              <w:pStyle w:val="TableText"/>
              <w:spacing w:before="233" w:line="237" w:lineRule="auto"/>
              <w:ind w:left="1439"/>
            </w:pPr>
            <w:r>
              <w:rPr>
                <w:spacing w:val="-10"/>
              </w:rPr>
              <w:t>±50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type w:val="nextPage"/>
          <w:pgSz w:w="21824" w:h="31680"/>
          <w:pgMar w:top="2455" w:right="2554" w:bottom="2548" w:left="1682" w:header="0" w:footer="2275" w:gutter="0"/>
          <w:pgNumType w:start="12"/>
          <w:cols w:space="708"/>
          <w:titlePg w:val="0"/>
        </w:sectPr>
      </w:pPr>
    </w:p>
    <w:p>
      <w:pPr>
        <w:spacing w:before="99" w:line="193" w:lineRule="auto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>SN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/T    2440—2010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spacing w:before="124" w:line="223" w:lineRule="auto"/>
        <w:ind w:left="2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6.3</w:t>
      </w:r>
      <w:r>
        <w:rPr>
          <w:rFonts w:ascii="SimSun" w:eastAsia="SimSun" w:hAnsi="SimSun" w:cs="SimSun"/>
          <w:spacing w:val="2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8"/>
          <w:sz w:val="38"/>
          <w:szCs w:val="38"/>
        </w:rPr>
        <w:t>空白试验</w:t>
      </w:r>
    </w:p>
    <w:p>
      <w:pPr>
        <w:spacing w:before="135" w:line="221" w:lineRule="auto"/>
        <w:ind w:left="8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除不加试样外，均按上述测定步骤进行。</w:t>
      </w:r>
    </w:p>
    <w:p>
      <w:pPr>
        <w:spacing w:before="97" w:line="224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1"/>
          <w:sz w:val="38"/>
          <w:szCs w:val="38"/>
        </w:rPr>
        <w:t>6.4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11"/>
          <w:sz w:val="38"/>
          <w:szCs w:val="38"/>
        </w:rPr>
        <w:t>结果计算和表述</w:t>
      </w:r>
    </w:p>
    <w:sdt>
      <w:sdtPr>
        <w:rPr>
          <w:rFonts w:ascii="SimSun" w:eastAsia="SimSun" w:hAnsi="SimSun" w:cs="SimSun"/>
          <w:sz w:val="38"/>
          <w:szCs w:val="38"/>
        </w:rPr>
        <w:id w:val="159989924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8"/>
          <w:szCs w:val="38"/>
        </w:rPr>
      </w:sdtEndPr>
      <w:sdtContent>
        <w:p>
          <w:pPr>
            <w:spacing w:before="159" w:line="221" w:lineRule="auto"/>
            <w:ind w:left="831"/>
            <w:rPr>
              <w:rFonts w:ascii="SimSun" w:eastAsia="SimSun" w:hAnsi="SimSun" w:cs="SimSun"/>
              <w:sz w:val="38"/>
              <w:szCs w:val="38"/>
            </w:rPr>
          </w:pPr>
          <w:r>
            <w:rPr>
              <w:rFonts w:ascii="SimSun" w:eastAsia="SimSun" w:hAnsi="SimSun" w:cs="SimSun"/>
              <w:spacing w:val="5"/>
              <w:sz w:val="38"/>
              <w:szCs w:val="38"/>
            </w:rPr>
            <w:t>按照式(1)计算样品中咖啡因含量，计算结果需扣除空白。</w:t>
          </w:r>
        </w:p>
        <w:p>
          <w:pPr>
            <w:tabs>
              <w:tab w:val="right" w:leader="dot" w:pos="16843"/>
            </w:tabs>
            <w:spacing w:before="200"/>
            <w:ind w:left="7366"/>
            <w:rPr>
              <w:rFonts w:ascii="SimSun" w:eastAsia="SimSun" w:hAnsi="SimSun" w:cs="SimSun"/>
              <w:sz w:val="38"/>
              <w:szCs w:val="38"/>
            </w:rPr>
          </w:pPr>
          <w:r>
            <w:rPr>
              <w:rFonts w:ascii="SimSun" w:eastAsia="SimSun" w:hAnsi="SimSun" w:cs="SimSun"/>
              <w:position w:val="-32"/>
              <w:sz w:val="38"/>
              <w:szCs w:val="38"/>
            </w:rPr>
            <w:drawing>
              <wp:inline distT="0" distB="0" distL="0" distR="0">
                <wp:extent cx="1780967" cy="502814"/>
                <wp:effectExtent l="0" t="0" r="0" b="0"/>
                <wp:docPr id="12" name="IM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 12"/>
                        <pic:cNvPicPr/>
                      </pic:nvPicPr>
                      <pic:blipFill>
                        <a:blip xmlns:r="http://schemas.openxmlformats.org/officeDocument/2006/relationships"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0967" cy="5028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6"/>
              <w:sz w:val="38"/>
              <w:szCs w:val="38"/>
            </w:rPr>
            <w:t xml:space="preserve">            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1)</w:t>
            </w:r>
          </w:hyperlink>
        </w:p>
      </w:sdtContent>
    </w:sdt>
    <w:p>
      <w:pPr>
        <w:spacing w:before="218" w:line="222" w:lineRule="auto"/>
        <w:ind w:left="78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式中：</w:t>
      </w:r>
    </w:p>
    <w:p>
      <w:pPr>
        <w:spacing w:before="95" w:line="617" w:lineRule="exact"/>
        <w:ind w:left="852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position w:val="17"/>
          <w:sz w:val="38"/>
          <w:szCs w:val="38"/>
        </w:rPr>
        <w:t>X——</w:t>
      </w:r>
      <w:r>
        <w:rPr>
          <w:rFonts w:ascii="SimSun" w:eastAsia="SimSun" w:hAnsi="SimSun" w:cs="SimSun"/>
          <w:position w:val="17"/>
          <w:sz w:val="38"/>
          <w:szCs w:val="38"/>
        </w:rPr>
        <w:t>试样中咖啡因的含量，单位为微克每千克(μ</w:t>
      </w:r>
      <w:r>
        <w:rPr>
          <w:rFonts w:ascii="Times New Roman" w:eastAsia="Times New Roman" w:hAnsi="Times New Roman" w:cs="Times New Roman"/>
          <w:position w:val="17"/>
          <w:sz w:val="38"/>
          <w:szCs w:val="38"/>
        </w:rPr>
        <w:t>g/kg);</w:t>
      </w:r>
    </w:p>
    <w:p>
      <w:pPr>
        <w:spacing w:before="1" w:line="221" w:lineRule="auto"/>
        <w:ind w:left="852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>A——</w:t>
      </w:r>
      <w:r>
        <w:rPr>
          <w:rFonts w:ascii="SimSun" w:eastAsia="SimSun" w:hAnsi="SimSun" w:cs="SimSun"/>
          <w:spacing w:val="12"/>
          <w:sz w:val="38"/>
          <w:szCs w:val="38"/>
        </w:rPr>
        <w:t>样液中咖啡因的峰面积或峰高；</w:t>
      </w:r>
    </w:p>
    <w:p>
      <w:pPr>
        <w:spacing w:before="118" w:line="242" w:lineRule="auto"/>
        <w:ind w:left="851" w:right="2907" w:hanging="20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c₃——</w:t>
      </w:r>
      <w:r>
        <w:rPr>
          <w:rFonts w:ascii="SimSun" w:eastAsia="SimSun" w:hAnsi="SimSun" w:cs="SimSun"/>
          <w:spacing w:val="10"/>
          <w:sz w:val="38"/>
          <w:szCs w:val="38"/>
        </w:rPr>
        <w:t>标准工作曲线液上查得的标液中咖啡因的浓度，单</w:t>
      </w:r>
      <w:r>
        <w:rPr>
          <w:rFonts w:ascii="SimSun" w:eastAsia="SimSun" w:hAnsi="SimSun" w:cs="SimSun"/>
          <w:spacing w:val="9"/>
          <w:sz w:val="38"/>
          <w:szCs w:val="38"/>
        </w:rPr>
        <w:t>位为纳克每毫升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ng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);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V—    </w:t>
      </w:r>
      <w:r>
        <w:rPr>
          <w:rFonts w:ascii="SimSun" w:eastAsia="SimSun" w:hAnsi="SimSun" w:cs="SimSun"/>
          <w:spacing w:val="2"/>
          <w:sz w:val="38"/>
          <w:szCs w:val="38"/>
        </w:rPr>
        <w:t>样液最终定容体积，单位为毫升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);</w:t>
      </w:r>
    </w:p>
    <w:p>
      <w:pPr>
        <w:spacing w:before="200" w:line="221" w:lineRule="auto"/>
        <w:ind w:left="724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>A₃——</w:t>
      </w:r>
      <w:r>
        <w:rPr>
          <w:rFonts w:ascii="SimSun" w:eastAsia="SimSun" w:hAnsi="SimSun" w:cs="SimSun"/>
          <w:spacing w:val="12"/>
          <w:sz w:val="38"/>
          <w:szCs w:val="38"/>
        </w:rPr>
        <w:t>标准工作液中咖啡因的峰面积或峰高；</w:t>
      </w:r>
    </w:p>
    <w:p>
      <w:pPr>
        <w:spacing w:before="120" w:line="214" w:lineRule="auto"/>
        <w:ind w:left="81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m——</w:t>
      </w:r>
      <w:r>
        <w:rPr>
          <w:rFonts w:ascii="SimSun" w:eastAsia="SimSun" w:hAnsi="SimSun" w:cs="SimSun"/>
          <w:spacing w:val="5"/>
          <w:sz w:val="38"/>
          <w:szCs w:val="38"/>
        </w:rPr>
        <w:t>最终样液所代表的试样质量，单位为克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(g)</w:t>
      </w:r>
      <w:r>
        <w:rPr>
          <w:rFonts w:ascii="SimSun" w:eastAsia="SimSun" w:hAnsi="SimSun" w:cs="SimSun"/>
          <w:spacing w:val="5"/>
          <w:sz w:val="38"/>
          <w:szCs w:val="38"/>
        </w:rPr>
        <w:t>。</w:t>
      </w:r>
    </w:p>
    <w:p>
      <w:pPr>
        <w:pStyle w:val="BodyText"/>
        <w:spacing w:line="331" w:lineRule="auto"/>
      </w:pPr>
    </w:p>
    <w:p>
      <w:pPr>
        <w:spacing w:before="124" w:line="225" w:lineRule="auto"/>
        <w:ind w:left="2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-3"/>
          <w:sz w:val="38"/>
          <w:szCs w:val="38"/>
        </w:rPr>
        <w:t>7</w:t>
      </w:r>
      <w:r>
        <w:rPr>
          <w:rFonts w:ascii="SimHei" w:eastAsia="SimHei" w:hAnsi="SimHei" w:cs="SimHei"/>
          <w:spacing w:val="-3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-3"/>
          <w:sz w:val="38"/>
          <w:szCs w:val="38"/>
        </w:rPr>
        <w:t>测定低限、回收率</w:t>
      </w:r>
    </w:p>
    <w:p>
      <w:pPr>
        <w:pStyle w:val="BodyText"/>
        <w:spacing w:line="284" w:lineRule="auto"/>
      </w:pPr>
    </w:p>
    <w:p>
      <w:pPr>
        <w:spacing w:before="124" w:line="225" w:lineRule="auto"/>
        <w:ind w:left="2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8"/>
          <w:sz w:val="38"/>
          <w:szCs w:val="38"/>
        </w:rPr>
        <w:t>7.1</w:t>
      </w:r>
      <w:r>
        <w:rPr>
          <w:rFonts w:ascii="SimHei" w:eastAsia="SimHei" w:hAnsi="SimHei" w:cs="SimHei"/>
          <w:spacing w:val="21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8"/>
          <w:sz w:val="38"/>
          <w:szCs w:val="38"/>
        </w:rPr>
        <w:t>测定低限</w:t>
      </w:r>
    </w:p>
    <w:p>
      <w:pPr>
        <w:spacing w:before="132" w:line="214" w:lineRule="auto"/>
        <w:ind w:left="83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 xml:space="preserve">本方法测定低限为0.01 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rFonts w:ascii="SimSun" w:eastAsia="SimSun" w:hAnsi="SimSun" w:cs="SimSun"/>
          <w:spacing w:val="11"/>
          <w:sz w:val="38"/>
          <w:szCs w:val="38"/>
        </w:rPr>
        <w:t>。</w:t>
      </w:r>
    </w:p>
    <w:p>
      <w:pPr>
        <w:spacing w:before="137" w:line="225" w:lineRule="auto"/>
        <w:ind w:left="2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6"/>
          <w:sz w:val="38"/>
          <w:szCs w:val="38"/>
        </w:rPr>
        <w:t>7.2</w:t>
      </w:r>
      <w:r>
        <w:rPr>
          <w:rFonts w:ascii="SimHei" w:eastAsia="SimHei" w:hAnsi="SimHei" w:cs="SimHei"/>
          <w:spacing w:val="22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6"/>
          <w:sz w:val="38"/>
          <w:szCs w:val="38"/>
        </w:rPr>
        <w:t>回收率</w:t>
      </w:r>
    </w:p>
    <w:p>
      <w:pPr>
        <w:spacing w:before="109" w:line="681" w:lineRule="exact"/>
        <w:ind w:left="8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22"/>
          <w:sz w:val="38"/>
          <w:szCs w:val="38"/>
        </w:rPr>
        <w:t xml:space="preserve">蜂王浆中添加0.01 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6"/>
          <w:position w:val="22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-52"/>
          <w:position w:val="2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22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6"/>
          <w:position w:val="22"/>
          <w:sz w:val="38"/>
          <w:szCs w:val="38"/>
        </w:rPr>
        <w:t xml:space="preserve">0.02   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6"/>
          <w:position w:val="22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-53"/>
          <w:position w:val="2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22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6"/>
          <w:position w:val="22"/>
          <w:sz w:val="38"/>
          <w:szCs w:val="38"/>
        </w:rPr>
        <w:t xml:space="preserve">0.05   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6"/>
          <w:position w:val="22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22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-17"/>
          <w:position w:val="2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22"/>
          <w:sz w:val="38"/>
          <w:szCs w:val="38"/>
        </w:rPr>
        <w:t>浓度水平时，回收率范围见表3。</w:t>
      </w:r>
    </w:p>
    <w:p>
      <w:pPr>
        <w:spacing w:before="2" w:line="222" w:lineRule="auto"/>
        <w:ind w:left="684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8"/>
          <w:sz w:val="38"/>
          <w:szCs w:val="38"/>
        </w:rPr>
        <w:t>表</w:t>
      </w:r>
      <w:r>
        <w:rPr>
          <w:rFonts w:ascii="SimHei" w:eastAsia="SimHei" w:hAnsi="SimHei" w:cs="SimHei"/>
          <w:spacing w:val="-22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8"/>
          <w:sz w:val="38"/>
          <w:szCs w:val="38"/>
        </w:rPr>
        <w:t>3</w:t>
      </w:r>
      <w:r>
        <w:rPr>
          <w:rFonts w:ascii="SimHei" w:eastAsia="SimHei" w:hAnsi="SimHei" w:cs="SimHei"/>
          <w:spacing w:val="174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8"/>
          <w:sz w:val="38"/>
          <w:szCs w:val="38"/>
        </w:rPr>
        <w:t>回收率试验结果</w:t>
      </w:r>
    </w:p>
    <w:p>
      <w:pPr>
        <w:spacing w:line="126" w:lineRule="exact"/>
      </w:pPr>
    </w:p>
    <w:tbl>
      <w:tblPr>
        <w:tblStyle w:val="TableNormal2"/>
        <w:tblW w:w="17471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  <w:gridCol w:w="8945"/>
      </w:tblGrid>
      <w:tr>
        <w:tblPrEx>
          <w:tblW w:w="17471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8"/>
        </w:trPr>
        <w:tc>
          <w:tcPr>
            <w:tcW w:w="8526" w:type="dxa"/>
            <w:vAlign w:val="top"/>
          </w:tcPr>
          <w:p>
            <w:pPr>
              <w:pStyle w:val="TableText"/>
              <w:spacing w:before="164" w:line="214" w:lineRule="auto"/>
              <w:ind w:left="2933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添加浓度/(</w:t>
            </w:r>
            <w:r>
              <w:rPr>
                <w:sz w:val="33"/>
                <w:szCs w:val="33"/>
              </w:rPr>
              <w:t>mg</w:t>
            </w:r>
            <w:r>
              <w:rPr>
                <w:spacing w:val="10"/>
                <w:sz w:val="33"/>
                <w:szCs w:val="33"/>
              </w:rPr>
              <w:t>/</w:t>
            </w:r>
            <w:r>
              <w:rPr>
                <w:sz w:val="33"/>
                <w:szCs w:val="33"/>
              </w:rPr>
              <w:t>kg</w:t>
            </w:r>
            <w:r>
              <w:rPr>
                <w:spacing w:val="10"/>
                <w:sz w:val="33"/>
                <w:szCs w:val="33"/>
              </w:rPr>
              <w:t>)</w:t>
            </w:r>
          </w:p>
        </w:tc>
        <w:tc>
          <w:tcPr>
            <w:tcW w:w="8945" w:type="dxa"/>
            <w:vAlign w:val="top"/>
          </w:tcPr>
          <w:p>
            <w:pPr>
              <w:pStyle w:val="TableText"/>
              <w:spacing w:before="174" w:line="220" w:lineRule="auto"/>
              <w:ind w:left="380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回收率/%</w:t>
            </w:r>
          </w:p>
        </w:tc>
      </w:tr>
      <w:tr>
        <w:tblPrEx>
          <w:tblW w:w="17471" w:type="dxa"/>
          <w:tblInd w:w="10" w:type="dxa"/>
          <w:tblLayout w:type="fixed"/>
        </w:tblPrEx>
        <w:trPr>
          <w:trHeight w:val="661"/>
        </w:trPr>
        <w:tc>
          <w:tcPr>
            <w:tcW w:w="8526" w:type="dxa"/>
            <w:vAlign w:val="top"/>
          </w:tcPr>
          <w:p>
            <w:pPr>
              <w:pStyle w:val="TableText"/>
              <w:spacing w:before="261" w:line="184" w:lineRule="auto"/>
              <w:ind w:left="3927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0.01</w:t>
            </w:r>
          </w:p>
        </w:tc>
        <w:tc>
          <w:tcPr>
            <w:tcW w:w="8945" w:type="dxa"/>
            <w:vAlign w:val="top"/>
          </w:tcPr>
          <w:p>
            <w:pPr>
              <w:pStyle w:val="TableText"/>
              <w:spacing w:before="274" w:line="185" w:lineRule="auto"/>
              <w:ind w:left="374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96.6～101.3</w:t>
            </w:r>
          </w:p>
        </w:tc>
      </w:tr>
      <w:tr>
        <w:tblPrEx>
          <w:tblW w:w="17471" w:type="dxa"/>
          <w:tblInd w:w="10" w:type="dxa"/>
          <w:tblLayout w:type="fixed"/>
        </w:tblPrEx>
        <w:trPr>
          <w:trHeight w:val="663"/>
        </w:trPr>
        <w:tc>
          <w:tcPr>
            <w:tcW w:w="8526" w:type="dxa"/>
            <w:vAlign w:val="top"/>
          </w:tcPr>
          <w:p>
            <w:pPr>
              <w:pStyle w:val="TableText"/>
              <w:spacing w:before="264" w:line="184" w:lineRule="auto"/>
              <w:ind w:left="3927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0.02</w:t>
            </w:r>
          </w:p>
        </w:tc>
        <w:tc>
          <w:tcPr>
            <w:tcW w:w="8945" w:type="dxa"/>
            <w:vAlign w:val="top"/>
          </w:tcPr>
          <w:p>
            <w:pPr>
              <w:pStyle w:val="TableText"/>
              <w:spacing w:before="278" w:line="185" w:lineRule="auto"/>
              <w:ind w:left="374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94.2～103.0</w:t>
            </w:r>
          </w:p>
        </w:tc>
      </w:tr>
      <w:tr>
        <w:tblPrEx>
          <w:tblW w:w="17471" w:type="dxa"/>
          <w:tblInd w:w="10" w:type="dxa"/>
          <w:tblLayout w:type="fixed"/>
        </w:tblPrEx>
        <w:trPr>
          <w:trHeight w:val="694"/>
        </w:trPr>
        <w:tc>
          <w:tcPr>
            <w:tcW w:w="8526" w:type="dxa"/>
            <w:vAlign w:val="top"/>
          </w:tcPr>
          <w:p>
            <w:pPr>
              <w:pStyle w:val="TableText"/>
              <w:spacing w:before="280" w:line="184" w:lineRule="auto"/>
              <w:ind w:left="3927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0.05</w:t>
            </w:r>
          </w:p>
        </w:tc>
        <w:tc>
          <w:tcPr>
            <w:tcW w:w="8945" w:type="dxa"/>
            <w:vAlign w:val="top"/>
          </w:tcPr>
          <w:p>
            <w:pPr>
              <w:pStyle w:val="TableText"/>
              <w:spacing w:before="294" w:line="185" w:lineRule="auto"/>
              <w:ind w:left="374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93.1～100.4</w:t>
            </w:r>
          </w:p>
        </w:tc>
      </w:tr>
    </w:tbl>
    <w:p>
      <w:pPr>
        <w:pStyle w:val="BodyText"/>
      </w:pPr>
    </w:p>
    <w:p>
      <w:pPr>
        <w:sectPr>
          <w:footerReference w:type="default" r:id="rId17"/>
          <w:pgSz w:w="21824" w:h="31680"/>
          <w:pgMar w:top="2692" w:right="1798" w:bottom="400" w:left="2491" w:header="0" w:footer="0" w:gutter="0"/>
          <w:pgNumType w:start="13"/>
          <w:cols w:space="708"/>
        </w:sectPr>
      </w:pPr>
    </w:p>
    <w:p>
      <w:pPr>
        <w:spacing w:before="81" w:line="226" w:lineRule="auto"/>
        <w:ind w:left="5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4830289</wp:posOffset>
            </wp:positionH>
            <wp:positionV relativeFrom="page">
              <wp:posOffset>6911371</wp:posOffset>
            </wp:positionV>
            <wp:extent cx="209883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883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8685109</wp:posOffset>
            </wp:positionH>
            <wp:positionV relativeFrom="page">
              <wp:posOffset>5791224</wp:posOffset>
            </wp:positionV>
            <wp:extent cx="6350" cy="115088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50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4830289</wp:posOffset>
            </wp:positionH>
            <wp:positionV relativeFrom="page">
              <wp:posOffset>5828686</wp:posOffset>
            </wp:positionV>
            <wp:extent cx="389860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98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1136514</wp:posOffset>
            </wp:positionH>
            <wp:positionV relativeFrom="page">
              <wp:posOffset>17508298</wp:posOffset>
            </wp:positionV>
            <wp:extent cx="2557399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73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4519726</wp:posOffset>
            </wp:positionH>
            <wp:positionV relativeFrom="page">
              <wp:posOffset>10074292</wp:posOffset>
            </wp:positionV>
            <wp:extent cx="4323771" cy="3688214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23771" cy="3688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SN/T</w:t>
      </w:r>
      <w:r>
        <w:rPr>
          <w:rFonts w:ascii="SimSun" w:eastAsia="SimSun" w:hAnsi="SimSun" w:cs="SimSun"/>
          <w:spacing w:val="129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2440—2010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30" w:line="576" w:lineRule="exact"/>
        <w:ind w:left="78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9"/>
          <w:position w:val="12"/>
          <w:sz w:val="40"/>
          <w:szCs w:val="40"/>
        </w:rPr>
        <w:t>附</w:t>
      </w:r>
      <w:r>
        <w:rPr>
          <w:rFonts w:ascii="SimSun" w:eastAsia="SimSun" w:hAnsi="SimSun" w:cs="SimSun"/>
          <w:spacing w:val="15"/>
          <w:position w:val="12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9"/>
          <w:position w:val="12"/>
          <w:sz w:val="40"/>
          <w:szCs w:val="40"/>
        </w:rPr>
        <w:t>录</w:t>
      </w:r>
      <w:r>
        <w:rPr>
          <w:rFonts w:ascii="SimSun" w:eastAsia="SimSun" w:hAnsi="SimSun" w:cs="SimSun"/>
          <w:spacing w:val="159"/>
          <w:position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12"/>
          <w:sz w:val="40"/>
          <w:szCs w:val="40"/>
        </w:rPr>
        <w:t>A</w:t>
      </w:r>
    </w:p>
    <w:p>
      <w:pPr>
        <w:spacing w:before="1" w:line="223" w:lineRule="auto"/>
        <w:ind w:left="767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3"/>
          <w:sz w:val="40"/>
          <w:szCs w:val="40"/>
        </w:rPr>
        <w:t>(资料性附录)</w:t>
      </w:r>
    </w:p>
    <w:p>
      <w:pPr>
        <w:spacing w:before="83" w:line="223" w:lineRule="auto"/>
        <w:ind w:left="4390"/>
        <w:rPr>
          <w:rFonts w:ascii="SimHei" w:eastAsia="SimHei" w:hAnsi="SimHei" w:cs="SimHei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API</w:t>
      </w:r>
      <w:r>
        <w:rPr>
          <w:rFonts w:ascii="Times New Roman" w:eastAsia="Times New Roman" w:hAnsi="Times New Roman" w:cs="Times New Roman"/>
          <w:b/>
          <w:bCs/>
          <w:spacing w:val="7"/>
          <w:sz w:val="40"/>
          <w:szCs w:val="40"/>
        </w:rPr>
        <w:t xml:space="preserve">4000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LC</w:t>
      </w:r>
      <w:r>
        <w:rPr>
          <w:rFonts w:ascii="Times New Roman" w:eastAsia="Times New Roman" w:hAnsi="Times New Roman" w:cs="Times New Roman"/>
          <w:b/>
          <w:bCs/>
          <w:spacing w:val="7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MS</w:t>
      </w:r>
      <w:r>
        <w:rPr>
          <w:rFonts w:ascii="Times New Roman" w:eastAsia="Times New Roman" w:hAnsi="Times New Roman" w:cs="Times New Roman"/>
          <w:b/>
          <w:bCs/>
          <w:spacing w:val="7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MS</w:t>
      </w:r>
      <w:r>
        <w:rPr>
          <w:rFonts w:ascii="Times New Roman" w:eastAsia="Times New Roman" w:hAnsi="Times New Roman" w:cs="Times New Roman"/>
          <w:b/>
          <w:bCs/>
          <w:spacing w:val="6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40"/>
          <w:szCs w:val="40"/>
        </w:rPr>
        <w:t>系统电喷雾离子源参考条件”</w:t>
      </w:r>
    </w:p>
    <w:p>
      <w:pPr>
        <w:pStyle w:val="BodyText"/>
        <w:spacing w:line="372" w:lineRule="auto"/>
      </w:pPr>
    </w:p>
    <w:p>
      <w:pPr>
        <w:spacing w:before="130" w:line="221" w:lineRule="auto"/>
        <w:ind w:left="74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监测离子对及电压参数：</w:t>
      </w:r>
    </w:p>
    <w:p>
      <w:pPr>
        <w:spacing w:before="115" w:line="597" w:lineRule="exact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3"/>
          <w:position w:val="14"/>
          <w:sz w:val="40"/>
          <w:szCs w:val="40"/>
        </w:rPr>
        <w:t xml:space="preserve">a)    </w:t>
      </w:r>
      <w:r>
        <w:rPr>
          <w:rFonts w:ascii="SimSun" w:eastAsia="SimSun" w:hAnsi="SimSun" w:cs="SimSun"/>
          <w:spacing w:val="3"/>
          <w:position w:val="14"/>
          <w:sz w:val="40"/>
          <w:szCs w:val="40"/>
        </w:rPr>
        <w:t>气帘气</w:t>
      </w:r>
      <w:r>
        <w:rPr>
          <w:rFonts w:ascii="Times New Roman" w:eastAsia="Times New Roman" w:hAnsi="Times New Roman" w:cs="Times New Roman"/>
          <w:spacing w:val="3"/>
          <w:position w:val="1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CUR</w:t>
      </w:r>
      <w:r>
        <w:rPr>
          <w:rFonts w:ascii="Times New Roman" w:eastAsia="Times New Roman" w:hAnsi="Times New Roman" w:cs="Times New Roman"/>
          <w:spacing w:val="3"/>
          <w:position w:val="14"/>
          <w:sz w:val="40"/>
          <w:szCs w:val="40"/>
        </w:rPr>
        <w:t xml:space="preserve">):68.95     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kPa</w:t>
      </w:r>
      <w:r>
        <w:rPr>
          <w:rFonts w:ascii="Times New Roman" w:eastAsia="Times New Roman" w:hAnsi="Times New Roman" w:cs="Times New Roman"/>
          <w:spacing w:val="3"/>
          <w:position w:val="14"/>
          <w:sz w:val="40"/>
          <w:szCs w:val="40"/>
        </w:rPr>
        <w:t xml:space="preserve">(10.00    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psi</w:t>
      </w:r>
      <w:r>
        <w:rPr>
          <w:rFonts w:ascii="Times New Roman" w:eastAsia="Times New Roman" w:hAnsi="Times New Roman" w:cs="Times New Roman"/>
          <w:spacing w:val="3"/>
          <w:position w:val="14"/>
          <w:sz w:val="40"/>
          <w:szCs w:val="40"/>
        </w:rPr>
        <w:t>);</w:t>
      </w:r>
    </w:p>
    <w:p>
      <w:pPr>
        <w:spacing w:before="1" w:line="214" w:lineRule="auto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b)    </w:t>
      </w:r>
      <w:r>
        <w:rPr>
          <w:rFonts w:ascii="SimSun" w:eastAsia="SimSun" w:hAnsi="SimSun" w:cs="SimSun"/>
          <w:spacing w:val="4"/>
          <w:sz w:val="40"/>
          <w:szCs w:val="40"/>
        </w:rPr>
        <w:t>雾化气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GS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1):379.23    </w:t>
      </w:r>
      <w:r>
        <w:rPr>
          <w:rFonts w:ascii="Times New Roman" w:eastAsia="Times New Roman" w:hAnsi="Times New Roman" w:cs="Times New Roman"/>
          <w:sz w:val="40"/>
          <w:szCs w:val="40"/>
        </w:rPr>
        <w:t>kPa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(55.00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z w:val="40"/>
          <w:szCs w:val="40"/>
        </w:rPr>
        <w:t>psi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);</w:t>
      </w:r>
    </w:p>
    <w:p>
      <w:pPr>
        <w:spacing w:before="69" w:line="214" w:lineRule="auto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c)    </w:t>
      </w:r>
      <w:r>
        <w:rPr>
          <w:rFonts w:ascii="SimSun" w:eastAsia="SimSun" w:hAnsi="SimSun" w:cs="SimSun"/>
          <w:spacing w:val="3"/>
          <w:sz w:val="40"/>
          <w:szCs w:val="40"/>
        </w:rPr>
        <w:t>辅助加热器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GS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2):344.75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z w:val="40"/>
          <w:szCs w:val="40"/>
        </w:rPr>
        <w:t>kPa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(50.00    </w:t>
      </w:r>
      <w:r>
        <w:rPr>
          <w:rFonts w:ascii="Times New Roman" w:eastAsia="Times New Roman" w:hAnsi="Times New Roman" w:cs="Times New Roman"/>
          <w:sz w:val="40"/>
          <w:szCs w:val="40"/>
        </w:rPr>
        <w:t>psi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);</w:t>
      </w:r>
    </w:p>
    <w:p>
      <w:pPr>
        <w:spacing w:before="219" w:line="553" w:lineRule="exact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6.1pt;height:20.25pt;margin-top:13.45pt;margin-left:304.61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Times New Roman" w:eastAsia="Times New Roman" w:hAnsi="Times New Roman" w:cs="Times New Roman"/>
                      <w:sz w:val="40"/>
                      <w:szCs w:val="4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40"/>
                      <w:szCs w:val="40"/>
                    </w:rPr>
                    <w:t>.00V;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3"/>
          <w:position w:val="10"/>
          <w:sz w:val="40"/>
          <w:szCs w:val="40"/>
        </w:rPr>
        <w:t xml:space="preserve">d)    </w:t>
      </w:r>
      <w:r>
        <w:rPr>
          <w:rFonts w:ascii="SimSun" w:eastAsia="SimSun" w:hAnsi="SimSun" w:cs="SimSun"/>
          <w:spacing w:val="3"/>
          <w:position w:val="10"/>
          <w:sz w:val="40"/>
          <w:szCs w:val="40"/>
        </w:rPr>
        <w:t>离子源喷雾器电压</w:t>
      </w:r>
      <w:r>
        <w:rPr>
          <w:rFonts w:ascii="Times New Roman" w:eastAsia="Times New Roman" w:hAnsi="Times New Roman" w:cs="Times New Roman"/>
          <w:spacing w:val="3"/>
          <w:position w:val="1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position w:val="10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"/>
          <w:position w:val="10"/>
          <w:sz w:val="40"/>
          <w:szCs w:val="40"/>
        </w:rPr>
        <w:t>):800</w:t>
      </w:r>
    </w:p>
    <w:p>
      <w:pPr>
        <w:spacing w:line="214" w:lineRule="auto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e)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"/>
          <w:sz w:val="40"/>
          <w:szCs w:val="40"/>
        </w:rPr>
        <w:t>喷雾针温度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(TEM):550.00℃;</w:t>
      </w:r>
    </w:p>
    <w:p>
      <w:pPr>
        <w:spacing w:before="136" w:line="194" w:lineRule="auto"/>
        <w:ind w:left="745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1"/>
          <w:sz w:val="42"/>
          <w:szCs w:val="42"/>
        </w:rPr>
        <w:t xml:space="preserve">f)    </w:t>
      </w:r>
      <w:r>
        <w:rPr>
          <w:rFonts w:ascii="Times New Roman" w:eastAsia="Times New Roman" w:hAnsi="Times New Roman" w:cs="Times New Roman"/>
          <w:sz w:val="42"/>
          <w:szCs w:val="42"/>
        </w:rPr>
        <w:t>ihe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>:</w:t>
      </w:r>
      <w:r>
        <w:rPr>
          <w:rFonts w:ascii="Times New Roman" w:eastAsia="Times New Roman" w:hAnsi="Times New Roman" w:cs="Times New Roman"/>
          <w:sz w:val="42"/>
          <w:szCs w:val="42"/>
        </w:rPr>
        <w:t>OFF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>;</w:t>
      </w:r>
    </w:p>
    <w:p>
      <w:pPr>
        <w:spacing w:before="139" w:line="214" w:lineRule="auto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g)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2"/>
          <w:sz w:val="40"/>
          <w:szCs w:val="40"/>
        </w:rPr>
        <w:t>碰撞气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CAD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):6.00V;</w:t>
      </w:r>
    </w:p>
    <w:p>
      <w:pPr>
        <w:spacing w:before="200" w:line="214" w:lineRule="auto"/>
        <w:ind w:left="745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pacing w:val="14"/>
          <w:sz w:val="36"/>
          <w:szCs w:val="36"/>
        </w:rPr>
        <w:t xml:space="preserve">h)      </w:t>
      </w:r>
      <w:r>
        <w:rPr>
          <w:rFonts w:ascii="SimSun" w:eastAsia="SimSun" w:hAnsi="SimSun" w:cs="SimSun"/>
          <w:spacing w:val="14"/>
          <w:sz w:val="36"/>
          <w:szCs w:val="36"/>
        </w:rPr>
        <w:t>定性离子对、定量离子对、去</w:t>
      </w:r>
      <w:r>
        <w:rPr>
          <w:rFonts w:ascii="SimSun" w:eastAsia="SimSun" w:hAnsi="SimSun" w:cs="SimSun"/>
          <w:spacing w:val="13"/>
          <w:sz w:val="36"/>
          <w:szCs w:val="36"/>
        </w:rPr>
        <w:t>簇电压、碰撞能量、碰撞室出口电压见表</w:t>
      </w:r>
      <w:r>
        <w:rPr>
          <w:rFonts w:ascii="Times New Roman" w:eastAsia="Times New Roman" w:hAnsi="Times New Roman" w:cs="Times New Roman"/>
          <w:spacing w:val="13"/>
          <w:sz w:val="36"/>
          <w:szCs w:val="36"/>
        </w:rPr>
        <w:t>A.1.</w:t>
      </w:r>
    </w:p>
    <w:p>
      <w:pPr>
        <w:spacing w:before="5" w:line="211" w:lineRule="auto"/>
        <w:ind w:left="5788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b/>
          <w:bCs/>
          <w:i/>
          <w:iCs/>
          <w:spacing w:val="-28"/>
          <w:w w:val="93"/>
          <w:sz w:val="49"/>
          <w:szCs w:val="49"/>
        </w:rPr>
        <w:t>表</w:t>
      </w:r>
      <w:r>
        <w:rPr>
          <w:rFonts w:ascii="Times New Roman" w:eastAsia="Times New Roman" w:hAnsi="Times New Roman" w:cs="Times New Roman"/>
          <w:b/>
          <w:bCs/>
          <w:i/>
          <w:iCs/>
          <w:spacing w:val="-28"/>
          <w:w w:val="93"/>
          <w:sz w:val="46"/>
          <w:szCs w:val="46"/>
        </w:rPr>
        <w:t>A.1</w:t>
      </w:r>
      <w:r>
        <w:rPr>
          <w:rFonts w:ascii="Times New Roman" w:eastAsia="Times New Roman" w:hAnsi="Times New Roman" w:cs="Times New Roman"/>
          <w:b/>
          <w:bCs/>
          <w:i/>
          <w:iCs/>
          <w:spacing w:val="42"/>
          <w:sz w:val="46"/>
          <w:szCs w:val="46"/>
        </w:rPr>
        <w:t xml:space="preserve">  </w:t>
      </w:r>
      <w:r>
        <w:rPr>
          <w:rFonts w:ascii="SimSun" w:eastAsia="SimSun" w:hAnsi="SimSun" w:cs="SimSun"/>
          <w:b/>
          <w:bCs/>
          <w:i/>
          <w:iCs/>
          <w:spacing w:val="-28"/>
          <w:w w:val="93"/>
          <w:sz w:val="49"/>
          <w:szCs w:val="49"/>
        </w:rPr>
        <w:t>监测离子对及电压参数表</w:t>
      </w:r>
    </w:p>
    <w:p>
      <w:pPr>
        <w:spacing w:line="199" w:lineRule="exact"/>
      </w:pPr>
    </w:p>
    <w:tbl>
      <w:tblPr>
        <w:tblStyle w:val="TableNormal3"/>
        <w:tblW w:w="17489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64"/>
        <w:gridCol w:w="2216"/>
        <w:gridCol w:w="1547"/>
        <w:gridCol w:w="667"/>
        <w:gridCol w:w="2235"/>
        <w:gridCol w:w="2233"/>
        <w:gridCol w:w="2214"/>
        <w:gridCol w:w="2219"/>
        <w:gridCol w:w="2094"/>
      </w:tblGrid>
      <w:tr>
        <w:tblPrEx>
          <w:tblW w:w="17489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2"/>
        </w:trPr>
        <w:tc>
          <w:tcPr>
            <w:tcW w:w="2064" w:type="dxa"/>
            <w:vAlign w:val="top"/>
          </w:tcPr>
          <w:p>
            <w:pPr>
              <w:pStyle w:val="TableText"/>
              <w:spacing w:before="191" w:line="220" w:lineRule="auto"/>
              <w:ind w:left="560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待测物</w:t>
            </w:r>
          </w:p>
        </w:tc>
        <w:tc>
          <w:tcPr>
            <w:tcW w:w="2216" w:type="dxa"/>
            <w:vAlign w:val="top"/>
          </w:tcPr>
          <w:p>
            <w:pPr>
              <w:pStyle w:val="TableText"/>
              <w:spacing w:before="200" w:line="225" w:lineRule="auto"/>
              <w:ind w:left="48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Q1</w:t>
            </w:r>
            <w:r>
              <w:rPr>
                <w:spacing w:val="38"/>
                <w:sz w:val="31"/>
                <w:szCs w:val="31"/>
              </w:rPr>
              <w:t xml:space="preserve">   </w:t>
            </w:r>
            <w:r>
              <w:rPr>
                <w:spacing w:val="-1"/>
                <w:sz w:val="31"/>
                <w:szCs w:val="31"/>
              </w:rPr>
              <w:t>Mass/amu</w:t>
            </w:r>
          </w:p>
        </w:tc>
        <w:tc>
          <w:tcPr>
            <w:tcW w:w="2214" w:type="dxa"/>
            <w:gridSpan w:val="2"/>
            <w:vAlign w:val="top"/>
          </w:tcPr>
          <w:p>
            <w:pPr>
              <w:pStyle w:val="TableText"/>
              <w:spacing w:before="155" w:line="227" w:lineRule="auto"/>
              <w:jc w:val="right"/>
              <w:rPr>
                <w:sz w:val="41"/>
                <w:szCs w:val="41"/>
              </w:rPr>
            </w:pPr>
            <w:r>
              <w:rPr>
                <w:spacing w:val="-7"/>
                <w:sz w:val="41"/>
                <w:szCs w:val="41"/>
              </w:rPr>
              <w:t>Q3 Mass/amt</w:t>
            </w:r>
          </w:p>
        </w:tc>
        <w:tc>
          <w:tcPr>
            <w:tcW w:w="2235" w:type="dxa"/>
            <w:vAlign w:val="top"/>
          </w:tcPr>
          <w:p>
            <w:pPr>
              <w:pStyle w:val="TableText"/>
              <w:spacing w:before="200" w:line="225" w:lineRule="auto"/>
              <w:ind w:left="494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Dwell/ms</w:t>
            </w:r>
          </w:p>
        </w:tc>
        <w:tc>
          <w:tcPr>
            <w:tcW w:w="2233" w:type="dxa"/>
            <w:vAlign w:val="top"/>
          </w:tcPr>
          <w:p>
            <w:pPr>
              <w:pStyle w:val="TableText"/>
              <w:spacing w:before="155" w:line="227" w:lineRule="auto"/>
              <w:ind w:left="697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DP</w:t>
            </w:r>
            <w:r>
              <w:rPr>
                <w:spacing w:val="1"/>
                <w:sz w:val="41"/>
                <w:szCs w:val="41"/>
              </w:rPr>
              <w:t>/V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spacing w:before="155" w:line="227" w:lineRule="auto"/>
              <w:ind w:left="689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EP/V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200" w:line="225" w:lineRule="auto"/>
              <w:ind w:left="797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CE/V</w:t>
            </w:r>
          </w:p>
        </w:tc>
        <w:tc>
          <w:tcPr>
            <w:tcW w:w="2094" w:type="dxa"/>
            <w:vAlign w:val="top"/>
          </w:tcPr>
          <w:p>
            <w:pPr>
              <w:pStyle w:val="TableText"/>
              <w:spacing w:before="200" w:line="225" w:lineRule="auto"/>
              <w:ind w:left="65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CXP/V</w:t>
            </w:r>
          </w:p>
        </w:tc>
      </w:tr>
      <w:tr>
        <w:tblPrEx>
          <w:tblW w:w="17489" w:type="dxa"/>
          <w:tblInd w:w="40" w:type="dxa"/>
          <w:tblLayout w:type="fixed"/>
        </w:tblPrEx>
        <w:trPr>
          <w:trHeight w:val="141"/>
        </w:trPr>
        <w:tc>
          <w:tcPr>
            <w:tcW w:w="206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2" w:lineRule="auto"/>
              <w:ind w:left="560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咖啡因</w:t>
            </w:r>
          </w:p>
        </w:tc>
        <w:tc>
          <w:tcPr>
            <w:tcW w:w="22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8" w:line="184" w:lineRule="auto"/>
              <w:ind w:left="871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195</w:t>
            </w:r>
          </w:p>
        </w:tc>
        <w:tc>
          <w:tcPr>
            <w:tcW w:w="15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5" w:line="304" w:lineRule="exact"/>
              <w:ind w:left="865"/>
              <w:rPr>
                <w:sz w:val="23"/>
                <w:szCs w:val="23"/>
              </w:rPr>
            </w:pPr>
            <w:r>
              <w:rPr>
                <w:spacing w:val="-2"/>
                <w:position w:val="1"/>
                <w:sz w:val="23"/>
                <w:szCs w:val="23"/>
              </w:rPr>
              <w:t>138°</w:t>
            </w:r>
          </w:p>
        </w:tc>
        <w:tc>
          <w:tcPr>
            <w:tcW w:w="66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9" w:line="183" w:lineRule="auto"/>
              <w:ind w:left="882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200</w:t>
            </w:r>
          </w:p>
        </w:tc>
        <w:tc>
          <w:tcPr>
            <w:tcW w:w="2233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22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7" w:line="184" w:lineRule="auto"/>
              <w:ind w:left="897"/>
              <w:rPr>
                <w:sz w:val="41"/>
                <w:szCs w:val="41"/>
              </w:rPr>
            </w:pPr>
            <w:r>
              <w:rPr>
                <w:spacing w:val="-11"/>
                <w:sz w:val="41"/>
                <w:szCs w:val="41"/>
              </w:rPr>
              <w:t>10</w:t>
            </w:r>
          </w:p>
        </w:tc>
        <w:tc>
          <w:tcPr>
            <w:tcW w:w="2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9" w:line="183" w:lineRule="auto"/>
              <w:ind w:left="952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28</w:t>
            </w:r>
          </w:p>
        </w:tc>
        <w:tc>
          <w:tcPr>
            <w:tcW w:w="20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9" w:line="183" w:lineRule="auto"/>
              <w:ind w:left="891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24</w:t>
            </w:r>
          </w:p>
        </w:tc>
      </w:tr>
      <w:tr>
        <w:tblPrEx>
          <w:tblW w:w="17489" w:type="dxa"/>
          <w:tblInd w:w="40" w:type="dxa"/>
          <w:tblLayout w:type="fixed"/>
        </w:tblPrEx>
        <w:trPr>
          <w:trHeight w:val="520"/>
        </w:trPr>
        <w:tc>
          <w:tcPr>
            <w:tcW w:w="20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pStyle w:val="TableText"/>
              <w:spacing w:before="197" w:line="183" w:lineRule="auto"/>
              <w:ind w:left="95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70</w:t>
            </w:r>
          </w:p>
        </w:tc>
        <w:tc>
          <w:tcPr>
            <w:tcW w:w="2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489" w:type="dxa"/>
          <w:tblInd w:w="40" w:type="dxa"/>
          <w:tblLayout w:type="fixed"/>
        </w:tblPrEx>
        <w:trPr>
          <w:trHeight w:val="682"/>
        </w:trPr>
        <w:tc>
          <w:tcPr>
            <w:tcW w:w="20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Align w:val="top"/>
          </w:tcPr>
          <w:p>
            <w:pPr>
              <w:pStyle w:val="TableText"/>
              <w:spacing w:before="276" w:line="184" w:lineRule="auto"/>
              <w:ind w:left="871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195</w:t>
            </w:r>
          </w:p>
        </w:tc>
        <w:tc>
          <w:tcPr>
            <w:tcW w:w="1547" w:type="dxa"/>
            <w:vAlign w:val="top"/>
          </w:tcPr>
          <w:p>
            <w:pPr>
              <w:pStyle w:val="TableText"/>
              <w:spacing w:before="276" w:line="184" w:lineRule="auto"/>
              <w:ind w:left="989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110</w:t>
            </w: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vAlign w:val="top"/>
          </w:tcPr>
          <w:p>
            <w:pPr>
              <w:pStyle w:val="TableText"/>
              <w:spacing w:before="277" w:line="183" w:lineRule="auto"/>
              <w:ind w:left="882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200</w:t>
            </w:r>
          </w:p>
        </w:tc>
        <w:tc>
          <w:tcPr>
            <w:tcW w:w="2233" w:type="dxa"/>
            <w:vAlign w:val="top"/>
          </w:tcPr>
          <w:p>
            <w:pPr>
              <w:pStyle w:val="TableText"/>
              <w:spacing w:before="277" w:line="183" w:lineRule="auto"/>
              <w:ind w:left="95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70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spacing w:before="253" w:line="186" w:lineRule="auto"/>
              <w:ind w:left="897"/>
              <w:rPr>
                <w:sz w:val="41"/>
                <w:szCs w:val="41"/>
              </w:rPr>
            </w:pPr>
            <w:r>
              <w:rPr>
                <w:spacing w:val="-11"/>
                <w:sz w:val="41"/>
                <w:szCs w:val="41"/>
              </w:rPr>
              <w:t>10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277" w:line="183" w:lineRule="auto"/>
              <w:ind w:left="952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34</w:t>
            </w:r>
          </w:p>
        </w:tc>
        <w:tc>
          <w:tcPr>
            <w:tcW w:w="2094" w:type="dxa"/>
            <w:vAlign w:val="top"/>
          </w:tcPr>
          <w:p>
            <w:pPr>
              <w:pStyle w:val="TableText"/>
              <w:spacing w:before="276" w:line="184" w:lineRule="auto"/>
              <w:ind w:left="891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19</w:t>
            </w:r>
          </w:p>
        </w:tc>
      </w:tr>
      <w:tr>
        <w:tblPrEx>
          <w:tblW w:w="17489" w:type="dxa"/>
          <w:tblInd w:w="40" w:type="dxa"/>
          <w:tblLayout w:type="fixed"/>
        </w:tblPrEx>
        <w:trPr>
          <w:trHeight w:val="488"/>
        </w:trPr>
        <w:tc>
          <w:tcPr>
            <w:tcW w:w="20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184" w:lineRule="auto"/>
              <w:ind w:left="871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195</w:t>
            </w:r>
          </w:p>
        </w:tc>
        <w:tc>
          <w:tcPr>
            <w:tcW w:w="15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8" w:line="183" w:lineRule="auto"/>
              <w:ind w:left="114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83</w:t>
            </w:r>
          </w:p>
        </w:tc>
        <w:tc>
          <w:tcPr>
            <w:tcW w:w="66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vAlign w:val="top"/>
          </w:tcPr>
          <w:p>
            <w:pPr>
              <w:pStyle w:val="TableText"/>
              <w:spacing w:before="262" w:line="216" w:lineRule="exact"/>
              <w:ind w:left="804"/>
              <w:rPr>
                <w:sz w:val="31"/>
                <w:szCs w:val="31"/>
              </w:rPr>
            </w:pPr>
            <w:r>
              <w:rPr>
                <w:spacing w:val="-3"/>
                <w:position w:val="-4"/>
                <w:sz w:val="31"/>
                <w:szCs w:val="31"/>
              </w:rPr>
              <w:t>200.</w:t>
            </w:r>
          </w:p>
        </w:tc>
        <w:tc>
          <w:tcPr>
            <w:tcW w:w="2233" w:type="dxa"/>
            <w:vAlign w:val="top"/>
          </w:tcPr>
          <w:p>
            <w:pPr>
              <w:pStyle w:val="TableText"/>
              <w:spacing w:before="230" w:line="248" w:lineRule="exact"/>
              <w:ind w:left="880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70.</w:t>
            </w:r>
          </w:p>
        </w:tc>
        <w:tc>
          <w:tcPr>
            <w:tcW w:w="22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6" w:line="178" w:lineRule="auto"/>
              <w:ind w:left="876"/>
              <w:rPr>
                <w:sz w:val="45"/>
                <w:szCs w:val="45"/>
              </w:rPr>
            </w:pPr>
            <w:r>
              <w:rPr>
                <w:spacing w:val="-11"/>
                <w:sz w:val="45"/>
                <w:szCs w:val="45"/>
              </w:rPr>
              <w:t>10</w:t>
            </w:r>
          </w:p>
        </w:tc>
        <w:tc>
          <w:tcPr>
            <w:tcW w:w="2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8" w:line="183" w:lineRule="auto"/>
              <w:ind w:left="952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40</w:t>
            </w:r>
          </w:p>
        </w:tc>
        <w:tc>
          <w:tcPr>
            <w:tcW w:w="20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184" w:lineRule="auto"/>
              <w:ind w:left="891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13</w:t>
            </w:r>
          </w:p>
        </w:tc>
      </w:tr>
      <w:tr>
        <w:tblPrEx>
          <w:tblW w:w="17489" w:type="dxa"/>
          <w:tblInd w:w="40" w:type="dxa"/>
          <w:tblLayout w:type="fixed"/>
        </w:tblPrEx>
        <w:trPr>
          <w:trHeight w:val="207"/>
        </w:trPr>
        <w:tc>
          <w:tcPr>
            <w:tcW w:w="20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tcBorders>
              <w:right w:val="single" w:sz="2" w:space="0" w:color="FFFFFF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2233" w:type="dxa"/>
            <w:tcBorders>
              <w:left w:val="single" w:sz="2" w:space="0" w:color="FFFFFF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489" w:type="dxa"/>
          <w:tblInd w:w="40" w:type="dxa"/>
          <w:tblLayout w:type="fixed"/>
        </w:tblPrEx>
        <w:trPr>
          <w:trHeight w:val="658"/>
        </w:trPr>
        <w:tc>
          <w:tcPr>
            <w:tcW w:w="17489" w:type="dxa"/>
            <w:gridSpan w:val="9"/>
            <w:shd w:val="clear" w:color="auto" w:fill="FFFFFF"/>
            <w:vAlign w:val="top"/>
          </w:tcPr>
          <w:p>
            <w:pPr>
              <w:pStyle w:val="TableText"/>
              <w:spacing w:before="188" w:line="221" w:lineRule="auto"/>
              <w:ind w:left="882"/>
              <w:rPr>
                <w:sz w:val="31"/>
                <w:szCs w:val="31"/>
              </w:rPr>
            </w:pPr>
            <w:r>
              <w:rPr>
                <w:spacing w:val="52"/>
                <w:sz w:val="31"/>
                <w:szCs w:val="31"/>
              </w:rPr>
              <w:t>a为定量离子对。</w:t>
            </w:r>
          </w:p>
        </w:tc>
      </w:tr>
    </w:tbl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footerReference w:type="default" r:id="rId23"/>
          <w:pgSz w:w="21824" w:h="31680"/>
          <w:pgMar w:top="2583" w:right="2387" w:bottom="2375" w:left="1789" w:header="0" w:footer="2165" w:gutter="0"/>
          <w:pgNumType w:start="14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11" w:line="556" w:lineRule="exact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4"/>
          <w:position w:val="15"/>
          <w:sz w:val="34"/>
          <w:szCs w:val="34"/>
        </w:rPr>
        <w:t>1)   非商业性声明：附录表</w:t>
      </w:r>
      <w:r>
        <w:rPr>
          <w:rFonts w:ascii="Times New Roman" w:eastAsia="Times New Roman" w:hAnsi="Times New Roman" w:cs="Times New Roman"/>
          <w:spacing w:val="-4"/>
          <w:position w:val="15"/>
          <w:sz w:val="34"/>
          <w:szCs w:val="34"/>
        </w:rPr>
        <w:t xml:space="preserve">A </w:t>
      </w:r>
      <w:r>
        <w:rPr>
          <w:rFonts w:ascii="SimSun" w:eastAsia="SimSun" w:hAnsi="SimSun" w:cs="SimSun"/>
          <w:spacing w:val="-4"/>
          <w:position w:val="15"/>
          <w:sz w:val="34"/>
          <w:szCs w:val="34"/>
        </w:rPr>
        <w:t>所列参数是在API400</w:t>
      </w:r>
      <w:r>
        <w:rPr>
          <w:rFonts w:ascii="SimSun" w:eastAsia="SimSun" w:hAnsi="SimSun" w:cs="SimSun"/>
          <w:spacing w:val="-5"/>
          <w:position w:val="15"/>
          <w:sz w:val="34"/>
          <w:szCs w:val="34"/>
        </w:rPr>
        <w:t>0 质谱仪完成的，此处列出试验用仪器型号仅是为了提供参考，</w:t>
      </w:r>
    </w:p>
    <w:p>
      <w:pPr>
        <w:spacing w:before="1" w:line="219" w:lineRule="auto"/>
        <w:ind w:left="1426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5"/>
          <w:sz w:val="34"/>
          <w:szCs w:val="34"/>
        </w:rPr>
        <w:t>并不涉及商业目的，鼓励标准使用者尝试不同厂家和型号的仪器。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  <w:sectPr>
          <w:footerReference w:type="default" r:id="rId24"/>
          <w:type w:val="nextPage"/>
          <w:pgSz w:w="21824" w:h="31680"/>
          <w:pgMar w:top="2583" w:right="2387" w:bottom="2375" w:left="1789" w:header="0" w:footer="2165" w:gutter="0"/>
          <w:pgNumType w:start="15"/>
          <w:cols w:space="708"/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73" w:line="225" w:lineRule="auto"/>
        <w:ind w:left="16813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55"/>
          <w:w w:val="99"/>
          <w:sz w:val="53"/>
          <w:szCs w:val="53"/>
        </w:rPr>
        <w:t>SN/T 2440—2010</w: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24" w:line="555" w:lineRule="exact"/>
        <w:ind w:left="10313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-16"/>
          <w:position w:val="12"/>
          <w:sz w:val="38"/>
          <w:szCs w:val="38"/>
        </w:rPr>
        <w:t>附</w:t>
      </w:r>
      <w:r>
        <w:rPr>
          <w:rFonts w:ascii="SimHei" w:eastAsia="SimHei" w:hAnsi="SimHei" w:cs="SimHei"/>
          <w:spacing w:val="42"/>
          <w:position w:val="12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-16"/>
          <w:position w:val="12"/>
          <w:sz w:val="38"/>
          <w:szCs w:val="38"/>
        </w:rPr>
        <w:t>录</w:t>
      </w:r>
      <w:r>
        <w:rPr>
          <w:rFonts w:ascii="SimHei" w:eastAsia="SimHei" w:hAnsi="SimHei" w:cs="SimHei"/>
          <w:spacing w:val="189"/>
          <w:position w:val="12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2"/>
          <w:sz w:val="38"/>
          <w:szCs w:val="38"/>
        </w:rPr>
        <w:t>B</w:t>
      </w:r>
    </w:p>
    <w:p>
      <w:pPr>
        <w:spacing w:before="2" w:line="224" w:lineRule="auto"/>
        <w:ind w:left="10036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31"/>
          <w:w w:val="98"/>
          <w:sz w:val="44"/>
          <w:szCs w:val="44"/>
        </w:rPr>
        <w:t>(资料性附录)</w:t>
      </w:r>
    </w:p>
    <w:p>
      <w:pPr>
        <w:spacing w:before="102" w:line="223" w:lineRule="auto"/>
        <w:ind w:left="8671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5"/>
          <w:sz w:val="40"/>
          <w:szCs w:val="40"/>
        </w:rPr>
        <w:t>咖啡因标准品提取离子色谱图</w:t>
      </w:r>
    </w:p>
    <w:p>
      <w:pPr>
        <w:pStyle w:val="BodyText"/>
        <w:spacing w:line="302" w:lineRule="auto"/>
      </w:pP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line="16795" w:lineRule="exact"/>
        <w:ind w:firstLine="2523"/>
      </w:pPr>
      <w:r>
        <w:rPr>
          <w:position w:val="-335"/>
        </w:rPr>
        <w:drawing>
          <wp:inline distT="0" distB="0" distL="0" distR="0">
            <wp:extent cx="11189004" cy="1066512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189004" cy="1066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84" w:line="198" w:lineRule="auto"/>
        <w:ind w:left="11124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d)</w:t>
      </w:r>
    </w:p>
    <w:p>
      <w:pPr>
        <w:spacing w:before="50" w:line="223" w:lineRule="auto"/>
        <w:ind w:left="776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图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8"/>
          <w:sz w:val="38"/>
          <w:szCs w:val="38"/>
        </w:rPr>
        <w:t>B.1</w:t>
      </w:r>
      <w:r>
        <w:rPr>
          <w:rFonts w:ascii="SimSun" w:eastAsia="SimSun" w:hAnsi="SimSun" w:cs="SimSun"/>
          <w:spacing w:val="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咖啡因标准品的提取离子色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谱图</w:t>
      </w:r>
    </w:p>
    <w:p>
      <w:pPr>
        <w:spacing w:line="223" w:lineRule="auto"/>
        <w:rPr>
          <w:rFonts w:ascii="SimHei" w:eastAsia="SimHei" w:hAnsi="SimHei" w:cs="SimHei"/>
          <w:sz w:val="38"/>
          <w:szCs w:val="38"/>
        </w:rPr>
        <w:sectPr>
          <w:footerReference w:type="default" r:id="rId26"/>
          <w:pgSz w:w="21824" w:h="31680"/>
          <w:pgMar w:top="0" w:right="0" w:bottom="2482" w:left="0" w:header="0" w:footer="2211" w:gutter="0"/>
          <w:pgNumType w:start="16"/>
          <w:cols w:space="708"/>
        </w:sectPr>
      </w:pPr>
    </w:p>
    <w:p>
      <w:pPr>
        <w:spacing w:before="81" w:line="22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SN/T</w:t>
      </w:r>
      <w:r>
        <w:rPr>
          <w:rFonts w:ascii="SimSun" w:eastAsia="SimSun" w:hAnsi="SimSun" w:cs="SimSun"/>
          <w:spacing w:val="13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2440—2010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before="195" w:line="196" w:lineRule="auto"/>
        <w:ind w:left="7332"/>
        <w:rPr>
          <w:sz w:val="68"/>
          <w:szCs w:val="68"/>
        </w:rPr>
      </w:pPr>
      <w:r>
        <w:rPr>
          <w:b/>
          <w:bCs/>
          <w:spacing w:val="-22"/>
          <w:sz w:val="68"/>
          <w:szCs w:val="68"/>
        </w:rPr>
        <w:t>Foreword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before="115" w:line="551" w:lineRule="exact"/>
        <w:rPr>
          <w:sz w:val="40"/>
          <w:szCs w:val="40"/>
        </w:rPr>
      </w:pPr>
      <w:r>
        <w:rPr>
          <w:spacing w:val="-3"/>
          <w:position w:val="2"/>
          <w:sz w:val="40"/>
          <w:szCs w:val="40"/>
        </w:rPr>
        <w:t>Annex A and annex</w:t>
      </w:r>
      <w:r>
        <w:rPr>
          <w:spacing w:val="39"/>
          <w:position w:val="2"/>
          <w:sz w:val="40"/>
          <w:szCs w:val="40"/>
        </w:rPr>
        <w:t xml:space="preserve"> </w:t>
      </w:r>
      <w:r>
        <w:rPr>
          <w:spacing w:val="-3"/>
          <w:position w:val="2"/>
          <w:sz w:val="40"/>
          <w:szCs w:val="40"/>
        </w:rPr>
        <w:t>B of this standard are informative</w:t>
      </w:r>
      <w:r>
        <w:rPr>
          <w:spacing w:val="12"/>
          <w:position w:val="2"/>
          <w:sz w:val="40"/>
          <w:szCs w:val="40"/>
        </w:rPr>
        <w:t xml:space="preserve"> </w:t>
      </w:r>
      <w:r>
        <w:rPr>
          <w:spacing w:val="-3"/>
          <w:position w:val="2"/>
          <w:sz w:val="40"/>
          <w:szCs w:val="40"/>
        </w:rPr>
        <w:t>annex.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before="116" w:line="297" w:lineRule="auto"/>
        <w:ind w:right="107"/>
        <w:rPr>
          <w:sz w:val="40"/>
          <w:szCs w:val="40"/>
        </w:rPr>
      </w:pPr>
      <w:r>
        <w:rPr>
          <w:spacing w:val="-3"/>
          <w:sz w:val="40"/>
          <w:szCs w:val="40"/>
        </w:rPr>
        <w:t>This standard was propose</w:t>
      </w:r>
      <w:r>
        <w:rPr>
          <w:spacing w:val="-4"/>
          <w:sz w:val="40"/>
          <w:szCs w:val="40"/>
        </w:rPr>
        <w:t>d by and</w:t>
      </w:r>
      <w:r>
        <w:rPr>
          <w:spacing w:val="25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is</w:t>
      </w:r>
      <w:r>
        <w:rPr>
          <w:spacing w:val="23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under the charge</w:t>
      </w:r>
      <w:r>
        <w:rPr>
          <w:spacing w:val="1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of the</w:t>
      </w:r>
      <w:r>
        <w:rPr>
          <w:spacing w:val="18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Certification</w:t>
      </w:r>
      <w:r>
        <w:rPr>
          <w:spacing w:val="13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and Accreditation Admin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istration</w:t>
      </w:r>
      <w:r>
        <w:rPr>
          <w:spacing w:val="9"/>
          <w:sz w:val="40"/>
          <w:szCs w:val="40"/>
        </w:rPr>
        <w:t xml:space="preserve"> </w:t>
      </w:r>
      <w:r>
        <w:rPr>
          <w:sz w:val="40"/>
          <w:szCs w:val="40"/>
        </w:rPr>
        <w:t>of</w:t>
      </w:r>
      <w:r>
        <w:rPr>
          <w:spacing w:val="9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9"/>
          <w:sz w:val="40"/>
          <w:szCs w:val="40"/>
        </w:rPr>
        <w:t xml:space="preserve"> </w:t>
      </w:r>
      <w:r>
        <w:rPr>
          <w:sz w:val="40"/>
          <w:szCs w:val="40"/>
        </w:rPr>
        <w:t>People</w:t>
      </w:r>
      <w:r>
        <w:rPr>
          <w:spacing w:val="9"/>
          <w:sz w:val="40"/>
          <w:szCs w:val="40"/>
        </w:rPr>
        <w:t>'</w:t>
      </w:r>
      <w:r>
        <w:rPr>
          <w:sz w:val="40"/>
          <w:szCs w:val="40"/>
        </w:rPr>
        <w:t>s</w:t>
      </w:r>
      <w:r>
        <w:rPr>
          <w:spacing w:val="40"/>
          <w:sz w:val="40"/>
          <w:szCs w:val="40"/>
        </w:rPr>
        <w:t xml:space="preserve"> </w:t>
      </w:r>
      <w:r>
        <w:rPr>
          <w:sz w:val="40"/>
          <w:szCs w:val="40"/>
        </w:rPr>
        <w:t>Republic</w:t>
      </w:r>
      <w:r>
        <w:rPr>
          <w:spacing w:val="9"/>
          <w:sz w:val="40"/>
          <w:szCs w:val="40"/>
        </w:rPr>
        <w:t xml:space="preserve"> </w:t>
      </w:r>
      <w:r>
        <w:rPr>
          <w:sz w:val="40"/>
          <w:szCs w:val="40"/>
        </w:rPr>
        <w:t>of</w:t>
      </w:r>
      <w:r>
        <w:rPr>
          <w:spacing w:val="9"/>
          <w:sz w:val="40"/>
          <w:szCs w:val="40"/>
        </w:rPr>
        <w:t xml:space="preserve"> </w:t>
      </w:r>
      <w:r>
        <w:rPr>
          <w:sz w:val="40"/>
          <w:szCs w:val="40"/>
        </w:rPr>
        <w:t>China</w:t>
      </w:r>
      <w:r>
        <w:rPr>
          <w:spacing w:val="9"/>
          <w:sz w:val="40"/>
          <w:szCs w:val="40"/>
        </w:rPr>
        <w:t>.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before="109" w:line="316" w:lineRule="auto"/>
        <w:ind w:right="1"/>
        <w:rPr>
          <w:sz w:val="38"/>
          <w:szCs w:val="38"/>
        </w:rPr>
      </w:pPr>
      <w:r>
        <w:rPr>
          <w:sz w:val="38"/>
          <w:szCs w:val="38"/>
        </w:rPr>
        <w:t>This</w:t>
      </w:r>
      <w:r>
        <w:rPr>
          <w:spacing w:val="29"/>
          <w:sz w:val="38"/>
          <w:szCs w:val="38"/>
        </w:rPr>
        <w:t xml:space="preserve"> </w:t>
      </w:r>
      <w:r>
        <w:rPr>
          <w:sz w:val="38"/>
          <w:szCs w:val="38"/>
        </w:rPr>
        <w:t>standard was</w:t>
      </w:r>
      <w:r>
        <w:rPr>
          <w:spacing w:val="30"/>
          <w:sz w:val="38"/>
          <w:szCs w:val="38"/>
        </w:rPr>
        <w:t xml:space="preserve"> </w:t>
      </w:r>
      <w:r>
        <w:rPr>
          <w:sz w:val="38"/>
          <w:szCs w:val="38"/>
        </w:rPr>
        <w:t>drafted</w:t>
      </w:r>
      <w:r>
        <w:rPr>
          <w:spacing w:val="42"/>
          <w:sz w:val="38"/>
          <w:szCs w:val="38"/>
        </w:rPr>
        <w:t xml:space="preserve"> </w:t>
      </w:r>
      <w:r>
        <w:rPr>
          <w:sz w:val="38"/>
          <w:szCs w:val="38"/>
        </w:rPr>
        <w:t>by</w:t>
      </w:r>
      <w:r>
        <w:rPr>
          <w:spacing w:val="47"/>
          <w:sz w:val="38"/>
          <w:szCs w:val="38"/>
        </w:rPr>
        <w:t xml:space="preserve"> </w:t>
      </w:r>
      <w:r>
        <w:rPr>
          <w:sz w:val="38"/>
          <w:szCs w:val="38"/>
        </w:rPr>
        <w:t>Hunan,Hubei</w:t>
      </w:r>
      <w:r>
        <w:rPr>
          <w:spacing w:val="31"/>
          <w:sz w:val="38"/>
          <w:szCs w:val="38"/>
        </w:rPr>
        <w:t xml:space="preserve"> </w:t>
      </w:r>
      <w:r>
        <w:rPr>
          <w:sz w:val="38"/>
          <w:szCs w:val="38"/>
        </w:rPr>
        <w:t>and Zhejiang</w:t>
      </w:r>
      <w:r>
        <w:rPr>
          <w:spacing w:val="47"/>
          <w:sz w:val="38"/>
          <w:szCs w:val="38"/>
        </w:rPr>
        <w:t xml:space="preserve"> </w:t>
      </w:r>
      <w:r>
        <w:rPr>
          <w:sz w:val="38"/>
          <w:szCs w:val="38"/>
        </w:rPr>
        <w:t>En</w:t>
      </w:r>
      <w:r>
        <w:rPr>
          <w:spacing w:val="-1"/>
          <w:sz w:val="38"/>
          <w:szCs w:val="38"/>
        </w:rPr>
        <w:t>try-Exit</w:t>
      </w:r>
      <w:r>
        <w:rPr>
          <w:spacing w:val="5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Inspection</w:t>
      </w:r>
      <w:r>
        <w:rPr>
          <w:spacing w:val="30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and</w:t>
      </w:r>
      <w:r>
        <w:rPr>
          <w:spacing w:val="34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Quarantine</w:t>
      </w:r>
      <w:r>
        <w:rPr>
          <w:spacing w:val="44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Bureau</w:t>
      </w:r>
      <w:r>
        <w:rPr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39"/>
          <w:sz w:val="38"/>
          <w:szCs w:val="38"/>
        </w:rPr>
        <w:t xml:space="preserve"> </w:t>
      </w:r>
      <w:r>
        <w:rPr>
          <w:sz w:val="38"/>
          <w:szCs w:val="38"/>
        </w:rPr>
        <w:t>the</w:t>
      </w:r>
      <w:r>
        <w:rPr>
          <w:spacing w:val="76"/>
          <w:sz w:val="38"/>
          <w:szCs w:val="38"/>
        </w:rPr>
        <w:t xml:space="preserve"> </w:t>
      </w:r>
      <w:r>
        <w:rPr>
          <w:sz w:val="38"/>
          <w:szCs w:val="38"/>
        </w:rPr>
        <w:t>People's</w:t>
      </w:r>
      <w:r>
        <w:rPr>
          <w:spacing w:val="76"/>
          <w:sz w:val="38"/>
          <w:szCs w:val="38"/>
        </w:rPr>
        <w:t xml:space="preserve"> </w:t>
      </w:r>
      <w:r>
        <w:rPr>
          <w:sz w:val="38"/>
          <w:szCs w:val="38"/>
        </w:rPr>
        <w:t>Republic</w:t>
      </w:r>
      <w:r>
        <w:rPr>
          <w:spacing w:val="58"/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51"/>
          <w:sz w:val="38"/>
          <w:szCs w:val="38"/>
        </w:rPr>
        <w:t xml:space="preserve"> </w:t>
      </w:r>
      <w:r>
        <w:rPr>
          <w:sz w:val="38"/>
          <w:szCs w:val="38"/>
        </w:rPr>
        <w:t>China.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116" w:line="551" w:lineRule="exact"/>
        <w:jc w:val="right"/>
        <w:rPr>
          <w:sz w:val="40"/>
          <w:szCs w:val="40"/>
        </w:rPr>
      </w:pPr>
      <w:r>
        <w:rPr>
          <w:position w:val="6"/>
          <w:sz w:val="40"/>
          <w:szCs w:val="40"/>
        </w:rPr>
        <w:t>The</w:t>
      </w:r>
      <w:r>
        <w:rPr>
          <w:spacing w:val="96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main</w:t>
      </w:r>
      <w:r>
        <w:rPr>
          <w:spacing w:val="83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drafters</w:t>
      </w:r>
      <w:r>
        <w:rPr>
          <w:spacing w:val="83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of</w:t>
      </w:r>
      <w:r>
        <w:rPr>
          <w:spacing w:val="62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this</w:t>
      </w:r>
      <w:r>
        <w:rPr>
          <w:spacing w:val="81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standard</w:t>
      </w:r>
      <w:r>
        <w:rPr>
          <w:spacing w:val="84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are</w:t>
      </w:r>
      <w:r>
        <w:rPr>
          <w:spacing w:val="74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Wang</w:t>
      </w:r>
      <w:r>
        <w:rPr>
          <w:spacing w:val="99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Meiling,Wang</w:t>
      </w:r>
      <w:r>
        <w:rPr>
          <w:spacing w:val="101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Peng,Wei</w:t>
      </w:r>
      <w:r>
        <w:rPr>
          <w:spacing w:val="70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Ying,Chen</w:t>
      </w:r>
      <w:r>
        <w:rPr>
          <w:spacing w:val="71"/>
          <w:position w:val="6"/>
          <w:sz w:val="40"/>
          <w:szCs w:val="40"/>
        </w:rPr>
        <w:t xml:space="preserve"> </w:t>
      </w:r>
      <w:r>
        <w:rPr>
          <w:position w:val="6"/>
          <w:sz w:val="40"/>
          <w:szCs w:val="40"/>
        </w:rPr>
        <w:t>Xiaomei</w:t>
      </w:r>
      <w:r>
        <w:rPr>
          <w:spacing w:val="84"/>
          <w:position w:val="6"/>
          <w:sz w:val="40"/>
          <w:szCs w:val="40"/>
        </w:rPr>
        <w:t xml:space="preserve"> </w:t>
      </w:r>
      <w:r>
        <w:rPr>
          <w:spacing w:val="-1"/>
          <w:position w:val="6"/>
          <w:sz w:val="40"/>
          <w:szCs w:val="40"/>
        </w:rPr>
        <w:t>and</w:t>
      </w:r>
    </w:p>
    <w:p>
      <w:pPr>
        <w:pStyle w:val="BodyText"/>
        <w:spacing w:before="215" w:line="196" w:lineRule="auto"/>
        <w:rPr>
          <w:sz w:val="34"/>
          <w:szCs w:val="34"/>
        </w:rPr>
      </w:pPr>
      <w:r>
        <w:rPr>
          <w:spacing w:val="-3"/>
          <w:sz w:val="34"/>
          <w:szCs w:val="34"/>
        </w:rPr>
        <w:t>Dai</w:t>
      </w:r>
      <w:r>
        <w:rPr>
          <w:spacing w:val="36"/>
          <w:sz w:val="34"/>
          <w:szCs w:val="34"/>
        </w:rPr>
        <w:t xml:space="preserve">  </w:t>
      </w:r>
      <w:r>
        <w:rPr>
          <w:spacing w:val="-3"/>
          <w:sz w:val="34"/>
          <w:szCs w:val="34"/>
        </w:rPr>
        <w:t>Hua.</w:t>
      </w: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pStyle w:val="BodyText"/>
        <w:spacing w:before="109" w:line="523" w:lineRule="exact"/>
        <w:rPr>
          <w:sz w:val="38"/>
          <w:szCs w:val="38"/>
        </w:rPr>
      </w:pPr>
      <w:r>
        <w:rPr>
          <w:position w:val="6"/>
          <w:sz w:val="38"/>
          <w:szCs w:val="38"/>
        </w:rPr>
        <w:t>This</w:t>
      </w:r>
      <w:r>
        <w:rPr>
          <w:spacing w:val="62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standard</w:t>
      </w:r>
      <w:r>
        <w:rPr>
          <w:spacing w:val="76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is</w:t>
      </w:r>
      <w:r>
        <w:rPr>
          <w:spacing w:val="65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a</w:t>
      </w:r>
      <w:r>
        <w:rPr>
          <w:spacing w:val="76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professional</w:t>
      </w:r>
      <w:r>
        <w:rPr>
          <w:spacing w:val="63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standard</w:t>
      </w:r>
      <w:r>
        <w:rPr>
          <w:spacing w:val="77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promulgated</w:t>
      </w:r>
      <w:r>
        <w:rPr>
          <w:spacing w:val="54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for</w:t>
      </w:r>
      <w:r>
        <w:rPr>
          <w:spacing w:val="53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the</w:t>
      </w:r>
      <w:r>
        <w:rPr>
          <w:spacing w:val="54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first</w:t>
      </w:r>
      <w:r>
        <w:rPr>
          <w:spacing w:val="58"/>
          <w:position w:val="6"/>
          <w:sz w:val="38"/>
          <w:szCs w:val="38"/>
        </w:rPr>
        <w:t xml:space="preserve"> </w:t>
      </w:r>
      <w:r>
        <w:rPr>
          <w:position w:val="6"/>
          <w:sz w:val="38"/>
          <w:szCs w:val="38"/>
        </w:rPr>
        <w:t>time</w:t>
      </w:r>
      <w:r>
        <w:rPr>
          <w:spacing w:val="3"/>
          <w:position w:val="6"/>
          <w:sz w:val="38"/>
          <w:szCs w:val="38"/>
        </w:rPr>
        <w:t>.</w:t>
      </w:r>
    </w:p>
    <w:p>
      <w:pPr>
        <w:spacing w:line="523" w:lineRule="exact"/>
        <w:rPr>
          <w:sz w:val="38"/>
          <w:szCs w:val="38"/>
        </w:rPr>
      </w:pP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https://d.book118.com/868077055065006045</w:t>
        </w:r>
      </w:hyperlink>
    </w:p>
    <w:p>
      <w:pPr>
        <w:spacing w:line="523" w:lineRule="exact"/>
        <w:rPr>
          <w:sz w:val="38"/>
          <w:szCs w:val="38"/>
        </w:rPr>
      </w:pPr>
    </w:p>
    <w:sectPr>
      <w:footerReference w:type="default" r:id="rId28"/>
      <w:pgSz w:w="21824" w:h="31680"/>
      <w:pgMar w:top="2498" w:right="2487" w:bottom="2479" w:left="1830" w:header="0" w:footer="2246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7092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1727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1727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1727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1727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23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23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255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255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9606"/>
      <w:rPr>
        <w:rFonts w:ascii="SimSun" w:eastAsia="SimSun" w:hAnsi="SimSun" w:cs="SimSun"/>
        <w:sz w:val="27"/>
        <w:szCs w:val="27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-18539758</wp:posOffset>
              </wp:positionV>
              <wp:extent cx="13858239" cy="20116800"/>
              <wp:effectExtent l="0" t="0" r="0" b="0"/>
              <wp:wrapNone/>
              <wp:docPr id="24" name="Rect 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18539758"/>
                        <a:ext cx="13858239" cy="20116800"/>
                      </a:xfrm>
                      <a:prstGeom prst="rect">
                        <a:avLst/>
                      </a:prstGeom>
                      <a:solidFill>
                        <a:srgbClr val="F8F8F8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4" o:spid="_x0000_s2049" style="width:1091.2pt;height:22in;margin-top:-1459.82pt;margin-left:0;mso-wrap-distance-bottom:0;mso-wrap-distance-left:0;mso-wrap-distance-right:0;mso-wrap-distance-top:0;position:absolute;v-text-anchor:top;z-index:-251658240" fillcolor="#f8f8f8" stroked="f"/>
          </w:pict>
        </mc:Fallback>
      </mc:AlternateContent>
    </w:r>
    <w:r>
      <w:rPr>
        <w:rFonts w:ascii="SimSun" w:eastAsia="SimSun" w:hAnsi="SimSun" w:cs="SimSun"/>
        <w:sz w:val="27"/>
        <w:szCs w:val="27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28"/>
      <w:rPr>
        <w:rFonts w:ascii="SimHei" w:eastAsia="SimHei" w:hAnsi="SimHei" w:cs="SimHei"/>
        <w:sz w:val="23"/>
        <w:szCs w:val="23"/>
      </w:rPr>
    </w:pPr>
    <w:r>
      <w:rPr>
        <w:rFonts w:ascii="SimHei" w:eastAsia="SimHei" w:hAnsi="SimHei" w:cs="SimHei"/>
        <w:sz w:val="23"/>
        <w:szCs w:val="23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image" Target="media/image6.png" /><Relationship Id="rId17" Type="http://schemas.openxmlformats.org/officeDocument/2006/relationships/footer" Target="footer8.xml" /><Relationship Id="rId18" Type="http://schemas.openxmlformats.org/officeDocument/2006/relationships/image" Target="media/image7.jpe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image" Target="media/image12.png" /><Relationship Id="rId26" Type="http://schemas.openxmlformats.org/officeDocument/2006/relationships/footer" Target="footer11.xml" /><Relationship Id="rId27" Type="http://schemas.openxmlformats.org/officeDocument/2006/relationships/hyperlink" Target="https://d.book118.com/868077055065006045" TargetMode="Externa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2024-03-13T11:47:30Z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2024-03-13T11:47:39Z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65f1216dcc71d6001fe88f99wl</vt:lpwstr>
  </property>
</Properties>
</file>