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分子诊断相关行业公司成立报告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_Toc7006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_Toc21826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_Toc7467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_Toc18961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_Toc14523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" w:history="1">
        <w:r>
          <w:rPr>
            <w:rFonts w:ascii="仿宋" w:eastAsia="仿宋" w:hAnsi="仿宋" w:cs="仿宋" w:hint="eastAsia"/>
            <w:lang w:eastAsia="zh-CN"/>
          </w:rPr>
          <w:t>(一)、分子诊断项目选址原则</w:t>
        </w:r>
        <w:r>
          <w:tab/>
        </w:r>
        <w:r>
          <w:fldChar w:fldCharType="begin"/>
        </w:r>
        <w:r>
          <w:instrText xml:space="preserve"> PAGEREF _Toc1118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eastAsia="zh-CN"/>
          </w:rPr>
          <w:t>(五)、分子诊断项目选址综合评价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_Toc23822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(七)、分子诊断项目建设必要性分析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_Toc27912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_Toc29299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1" w:history="1">
        <w:r>
          <w:rPr>
            <w:rFonts w:ascii="仿宋" w:eastAsia="仿宋" w:hAnsi="仿宋" w:cs="仿宋" w:hint="eastAsia"/>
            <w:lang w:eastAsia="zh-CN"/>
          </w:rPr>
          <w:t>五、分子诊断项目概况</w:t>
        </w:r>
        <w:r>
          <w:tab/>
        </w:r>
        <w:r>
          <w:fldChar w:fldCharType="begin"/>
        </w:r>
        <w:r>
          <w:instrText xml:space="preserve"> PAGEREF _Toc31831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_Toc13614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(二)、分子诊断项目提出的理由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仿宋" w:eastAsia="仿宋" w:hAnsi="仿宋" w:cs="仿宋" w:hint="eastAsia"/>
            <w:lang w:eastAsia="zh-CN"/>
          </w:rPr>
          <w:t>(三)、分子诊断项目选址</w:t>
        </w:r>
        <w:r>
          <w:tab/>
        </w:r>
        <w:r>
          <w:fldChar w:fldCharType="begin"/>
        </w:r>
        <w:r>
          <w:instrText xml:space="preserve"> PAGEREF _Toc21088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(六)、分子诊断项目投资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(七)、分子诊断项目进度规划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(九)、分子诊断项目综合评价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5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_Toc12759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(一)、分子诊断项目进度安排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(二)、分子诊断项目实施保障措施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1" w:history="1">
        <w:r>
          <w:rPr>
            <w:rFonts w:ascii="仿宋" w:eastAsia="仿宋" w:hAnsi="仿宋" w:cs="仿宋" w:hint="eastAsia"/>
            <w:lang w:eastAsia="zh-CN"/>
          </w:rPr>
          <w:t>八、分子诊断项目风险分析</w:t>
        </w:r>
        <w:r>
          <w:tab/>
        </w:r>
        <w:r>
          <w:fldChar w:fldCharType="begin"/>
        </w:r>
        <w:r>
          <w:instrText xml:space="preserve"> PAGEREF _Toc28391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(一)、分子诊断项目风险分析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6" w:history="1">
        <w:r>
          <w:rPr>
            <w:rFonts w:ascii="仿宋" w:eastAsia="仿宋" w:hAnsi="仿宋" w:cs="仿宋" w:hint="eastAsia"/>
            <w:lang w:eastAsia="zh-CN"/>
          </w:rPr>
          <w:t>(二)、分子诊断项目风险对策</w:t>
        </w:r>
        <w:r>
          <w:tab/>
        </w:r>
        <w:r>
          <w:fldChar w:fldCharType="begin"/>
        </w:r>
        <w:r>
          <w:instrText xml:space="preserve"> PAGEREF _Toc21776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(一)、分子诊断项目背景分析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(二)、分子诊断项目建设必要性分析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_Toc6532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_Toc5868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_Toc17062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_Toc22864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_Toc28225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0" w:history="1">
        <w:r>
          <w:rPr>
            <w:rFonts w:ascii="仿宋" w:eastAsia="仿宋" w:hAnsi="仿宋" w:cs="仿宋" w:hint="eastAsia"/>
            <w:lang w:eastAsia="zh-CN"/>
          </w:rPr>
          <w:t>(二)、合作分子诊断项目</w:t>
        </w:r>
        <w:r>
          <w:tab/>
        </w:r>
        <w:r>
          <w:fldChar w:fldCharType="begin"/>
        </w:r>
        <w:r>
          <w:instrText xml:space="preserve"> PAGEREF _Toc12420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_Toc19477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4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0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2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07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https://d.book118.com/868105056134006027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8105056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2024-01-17T04:37:00Z</dcterms:created>
  <dcterms:modified xsi:type="dcterms:W3CDTF">2024-01-17T04:37:36Z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1DCD05B5887E4FFF91AF15F0CD141D49_11</vt:lpwstr>
  </property>
  <property fmtid="{D5CDD505-2E9C-101B-9397-08002B2CF9AE}" pid="3" name="KSOProductBuildVer">
    <vt:lpwstr>2052-12.1.0.16120</vt:lpwstr>
  </property>
</Properties>
</file>