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Title"/>
      </w:pPr>
      <w:r>
        <w:t>本</w:t>
      </w:r>
      <w:r>
        <w:rPr>
          <w:spacing w:val="56"/>
          <w:w w:val="150"/>
        </w:rPr>
        <w:t xml:space="preserve"> </w:t>
      </w:r>
      <w:r>
        <w:t>科</w:t>
      </w:r>
      <w:r>
        <w:rPr>
          <w:spacing w:val="56"/>
          <w:w w:val="150"/>
        </w:rPr>
        <w:t xml:space="preserve"> </w:t>
      </w:r>
      <w:r>
        <w:t>生</w:t>
      </w:r>
      <w:r>
        <w:rPr>
          <w:spacing w:val="57"/>
          <w:w w:val="150"/>
        </w:rPr>
        <w:t xml:space="preserve"> </w:t>
      </w:r>
      <w:r>
        <w:t>毕</w:t>
      </w:r>
      <w:r>
        <w:rPr>
          <w:spacing w:val="56"/>
          <w:w w:val="150"/>
        </w:rPr>
        <w:t xml:space="preserve"> </w:t>
      </w:r>
      <w:r>
        <w:t>业</w:t>
      </w:r>
      <w:r>
        <w:rPr>
          <w:spacing w:val="57"/>
          <w:w w:val="150"/>
        </w:rPr>
        <w:t xml:space="preserve"> </w:t>
      </w:r>
      <w:r>
        <w:t>论</w:t>
      </w:r>
      <w:r>
        <w:rPr>
          <w:spacing w:val="56"/>
          <w:w w:val="150"/>
        </w:rPr>
        <w:t xml:space="preserve"> </w:t>
      </w:r>
      <w:r>
        <w:t>文（设</w:t>
      </w:r>
      <w:r>
        <w:rPr>
          <w:spacing w:val="57"/>
          <w:w w:val="150"/>
        </w:rPr>
        <w:t xml:space="preserve"> </w:t>
      </w:r>
      <w:r>
        <w:t>计</w:t>
      </w:r>
      <w:r>
        <w:rPr>
          <w:spacing w:val="-10"/>
        </w:rPr>
        <w:t>）</w:t>
      </w:r>
    </w:p>
    <w:p>
      <w:pPr>
        <w:pStyle w:val="BodyText"/>
        <w:rPr>
          <w:rFonts w:ascii="Microsoft JhengHei"/>
          <w:b/>
          <w:sz w:val="44"/>
        </w:rPr>
      </w:pPr>
    </w:p>
    <w:p>
      <w:pPr>
        <w:pStyle w:val="BodyText"/>
        <w:rPr>
          <w:rFonts w:ascii="Microsoft JhengHei"/>
          <w:b/>
          <w:sz w:val="44"/>
        </w:rPr>
      </w:pPr>
    </w:p>
    <w:p>
      <w:pPr>
        <w:pStyle w:val="BodyText"/>
        <w:spacing w:before="16"/>
        <w:rPr>
          <w:rFonts w:ascii="Microsoft JhengHei"/>
          <w:b/>
          <w:sz w:val="65"/>
        </w:rPr>
      </w:pPr>
    </w:p>
    <w:p>
      <w:pPr>
        <w:pStyle w:val="Heading1"/>
        <w:tabs>
          <w:tab w:val="left" w:pos="961"/>
        </w:tabs>
        <w:spacing w:before="0"/>
        <w:ind w:right="105" w:firstLine="0"/>
        <w:jc w:val="center"/>
      </w:pPr>
      <w:r>
        <w:rPr>
          <w:rFonts w:ascii="Microsoft JhengHei" w:eastAsia="Microsoft JhengHei"/>
          <w:b/>
          <w:spacing w:val="-10"/>
        </w:rPr>
        <w:t>题</w:t>
      </w:r>
      <w:r>
        <w:rPr>
          <w:rFonts w:ascii="Microsoft JhengHei" w:eastAsia="Microsoft JhengHei"/>
          <w:b/>
        </w:rPr>
        <w:tab/>
        <w:t>目</w:t>
      </w:r>
      <w:r>
        <w:rPr>
          <w:rFonts w:ascii="Microsoft JhengHei" w:eastAsia="Microsoft JhengHei"/>
          <w:b/>
        </w:rPr>
        <w:t>：</w:t>
      </w:r>
      <w:r>
        <w:rPr>
          <w:rFonts w:ascii="Times New Roman" w:eastAsia="Times New Roman"/>
          <w:spacing w:val="40"/>
          <w:w w:val="150"/>
          <w:u w:val="single"/>
        </w:rPr>
        <w:t xml:space="preserve"> </w:t>
      </w:r>
      <w:r>
        <w:rPr>
          <w:u w:val="single"/>
        </w:rPr>
        <w:t>高层建筑结构发展现状及前沿发展方</w:t>
      </w:r>
      <w:r>
        <w:rPr>
          <w:spacing w:val="-10"/>
          <w:u w:val="single"/>
        </w:rPr>
        <w:t>向</w:t>
      </w:r>
    </w:p>
    <w:p>
      <w:pPr>
        <w:pStyle w:val="BodyText"/>
        <w:rPr>
          <w:rFonts w:ascii="黑体"/>
          <w:sz w:val="20"/>
        </w:rPr>
      </w:pPr>
    </w:p>
    <w:p>
      <w:pPr>
        <w:pStyle w:val="BodyText"/>
        <w:spacing w:before="6"/>
        <w:rPr>
          <w:rFonts w:ascii="黑体"/>
          <w:sz w:val="14"/>
        </w:rPr>
      </w:pPr>
    </w:p>
    <w:p>
      <w:pPr>
        <w:tabs>
          <w:tab w:val="left" w:pos="3467"/>
        </w:tabs>
        <w:spacing w:before="61" w:line="348" w:lineRule="auto"/>
        <w:ind w:left="2628" w:right="5078" w:firstLine="0"/>
        <w:jc w:val="left"/>
        <w:rPr>
          <w:rFonts w:ascii="黑体" w:eastAsia="黑体"/>
          <w:sz w:val="28"/>
        </w:rPr>
      </w:pPr>
      <w:r>
        <w:pict>
          <v:line id="_x0000_s1025" style="mso-position-horizontal-relative:page;position:absolute;z-index:251658240" from="290.15pt,20pt" to="431pt,20.05pt" stroked="t" strokecolor="black" strokeweight="0.75pt">
            <v:stroke dashstyle="solid"/>
          </v:line>
        </w:pict>
      </w:r>
      <w:r>
        <w:pict>
          <v:line id="_x0000_s1026" style="mso-position-horizontal-relative:page;position:absolute;z-index:251659264" from="290.15pt,46.7pt" to="431pt,46.75pt" stroked="t" strokecolor="black" strokeweight="0.75pt">
            <v:stroke dashstyle="solid"/>
          </v:line>
        </w:pict>
      </w:r>
      <w:r>
        <w:rPr>
          <w:rFonts w:ascii="黑体" w:eastAsia="黑体"/>
          <w:spacing w:val="-2"/>
          <w:sz w:val="28"/>
        </w:rPr>
        <w:t>学</w:t>
      </w:r>
      <w:r>
        <w:rPr>
          <w:rFonts w:ascii="黑体" w:eastAsia="黑体"/>
          <w:spacing w:val="-2"/>
          <w:sz w:val="28"/>
        </w:rPr>
        <w:t>习</w:t>
      </w:r>
      <w:r>
        <w:rPr>
          <w:rFonts w:ascii="黑体" w:eastAsia="黑体"/>
          <w:spacing w:val="-2"/>
          <w:sz w:val="28"/>
        </w:rPr>
        <w:t>中</w:t>
      </w:r>
      <w:r>
        <w:rPr>
          <w:rFonts w:ascii="黑体" w:eastAsia="黑体"/>
          <w:spacing w:val="-2"/>
          <w:sz w:val="28"/>
        </w:rPr>
        <w:t>心</w:t>
      </w:r>
      <w:r>
        <w:rPr>
          <w:rFonts w:ascii="黑体" w:eastAsia="黑体"/>
          <w:spacing w:val="-2"/>
          <w:sz w:val="28"/>
        </w:rPr>
        <w:t>：</w:t>
      </w:r>
      <w:r>
        <w:rPr>
          <w:rFonts w:ascii="黑体" w:eastAsia="黑体"/>
          <w:spacing w:val="-10"/>
          <w:sz w:val="28"/>
        </w:rPr>
        <w:t>层</w:t>
      </w:r>
      <w:r>
        <w:rPr>
          <w:rFonts w:ascii="黑体" w:eastAsia="黑体"/>
          <w:sz w:val="28"/>
        </w:rPr>
        <w:tab/>
        <w:t>次</w:t>
      </w:r>
      <w:r>
        <w:rPr>
          <w:rFonts w:ascii="黑体" w:eastAsia="黑体"/>
          <w:spacing w:val="-10"/>
          <w:sz w:val="28"/>
        </w:rPr>
        <w:t>：</w:t>
      </w:r>
    </w:p>
    <w:p>
      <w:pPr>
        <w:tabs>
          <w:tab w:val="left" w:pos="3467"/>
          <w:tab w:val="left" w:pos="5007"/>
        </w:tabs>
        <w:spacing w:before="0" w:line="348" w:lineRule="auto"/>
        <w:ind w:left="2628" w:right="2978" w:firstLine="0"/>
        <w:jc w:val="left"/>
        <w:rPr>
          <w:rFonts w:ascii="黑体" w:eastAsia="黑体"/>
          <w:sz w:val="28"/>
        </w:rPr>
      </w:pPr>
      <w:r>
        <w:pict>
          <v:line id="_x0000_s1027" style="mso-position-horizontal-relative:page;position:absolute;z-index:251660288" from="290.15pt,18.4pt" to="431pt,18.45pt" stroked="t" strokecolor="black" strokeweight="0.75pt">
            <v:stroke dashstyle="solid"/>
          </v:line>
        </w:pict>
      </w:r>
      <w:r>
        <w:pict>
          <v:line id="_x0000_s1028" style="mso-position-horizontal-relative:page;position:absolute;z-index:251661312" from="290.15pt,44.25pt" to="431pt,44.3pt" stroked="t" strokecolor="black" strokeweight="0.75pt">
            <v:stroke dashstyle="solid"/>
          </v:line>
        </w:pict>
      </w:r>
      <w:r>
        <w:rPr>
          <w:rFonts w:ascii="黑体" w:eastAsia="黑体"/>
          <w:spacing w:val="-10"/>
          <w:sz w:val="28"/>
        </w:rPr>
        <w:t>专</w:t>
      </w:r>
      <w:r>
        <w:rPr>
          <w:rFonts w:ascii="黑体" w:eastAsia="黑体"/>
          <w:sz w:val="28"/>
        </w:rPr>
        <w:tab/>
      </w:r>
      <w:r>
        <w:rPr>
          <w:rFonts w:ascii="黑体" w:eastAsia="黑体"/>
          <w:spacing w:val="-6"/>
          <w:sz w:val="28"/>
        </w:rPr>
        <w:t>业</w:t>
      </w:r>
      <w:r>
        <w:rPr>
          <w:rFonts w:ascii="黑体" w:eastAsia="黑体"/>
          <w:spacing w:val="-6"/>
          <w:sz w:val="28"/>
        </w:rPr>
        <w:t>：</w:t>
      </w:r>
      <w:r>
        <w:rPr>
          <w:rFonts w:ascii="黑体" w:eastAsia="黑体"/>
          <w:sz w:val="28"/>
        </w:rPr>
        <w:tab/>
      </w:r>
      <w:r>
        <w:rPr>
          <w:rFonts w:ascii="黑体" w:eastAsia="黑体"/>
          <w:spacing w:val="-4"/>
          <w:sz w:val="28"/>
        </w:rPr>
        <w:t>土</w:t>
      </w:r>
      <w:r>
        <w:rPr>
          <w:rFonts w:ascii="黑体" w:eastAsia="黑体"/>
          <w:spacing w:val="-4"/>
          <w:sz w:val="28"/>
        </w:rPr>
        <w:t>木</w:t>
      </w:r>
      <w:r>
        <w:rPr>
          <w:rFonts w:ascii="黑体" w:eastAsia="黑体"/>
          <w:spacing w:val="-4"/>
          <w:sz w:val="28"/>
        </w:rPr>
        <w:t>工</w:t>
      </w:r>
      <w:r>
        <w:rPr>
          <w:rFonts w:ascii="黑体" w:eastAsia="黑体"/>
          <w:spacing w:val="-4"/>
          <w:sz w:val="28"/>
        </w:rPr>
        <w:t>程</w:t>
      </w:r>
      <w:r>
        <w:rPr>
          <w:rFonts w:ascii="黑体" w:eastAsia="黑体"/>
          <w:spacing w:val="-10"/>
          <w:sz w:val="28"/>
        </w:rPr>
        <w:t>年</w:t>
      </w:r>
      <w:r>
        <w:rPr>
          <w:rFonts w:ascii="黑体" w:eastAsia="黑体"/>
          <w:sz w:val="28"/>
        </w:rPr>
        <w:tab/>
      </w:r>
      <w:r>
        <w:rPr>
          <w:rFonts w:ascii="黑体" w:eastAsia="黑体"/>
          <w:spacing w:val="-6"/>
          <w:sz w:val="28"/>
        </w:rPr>
        <w:t>级</w:t>
      </w:r>
      <w:r>
        <w:rPr>
          <w:rFonts w:ascii="黑体" w:eastAsia="黑体"/>
          <w:spacing w:val="-6"/>
          <w:sz w:val="28"/>
        </w:rPr>
        <w:t>：</w:t>
      </w:r>
    </w:p>
    <w:p>
      <w:pPr>
        <w:tabs>
          <w:tab w:val="left" w:pos="3467"/>
        </w:tabs>
        <w:spacing w:before="0" w:line="358" w:lineRule="exact"/>
        <w:ind w:left="2628" w:right="0" w:firstLine="0"/>
        <w:jc w:val="left"/>
        <w:rPr>
          <w:rFonts w:ascii="黑体" w:eastAsia="黑体"/>
          <w:sz w:val="28"/>
        </w:rPr>
      </w:pPr>
      <w:r>
        <w:pict>
          <v:line id="_x0000_s1029" style="mso-position-horizontal-relative:page;mso-wrap-distance-left:0;mso-wrap-distance-right:0;position:absolute;z-index:-251651072" from="290.15pt,18.85pt" to="431pt,18.9pt" stroked="t" strokecolor="black" strokeweight="0.75pt">
            <v:stroke dashstyle="solid"/>
            <w10:wrap type="topAndBottom"/>
          </v:line>
        </w:pict>
      </w:r>
      <w:r>
        <w:pict>
          <v:line id="_x0000_s1030" style="mso-position-horizontal-relative:page;position:absolute;z-index:251662336" from="290.15pt,44.75pt" to="431pt,44.8pt" stroked="t" strokecolor="black" strokeweight="0.75pt">
            <v:stroke dashstyle="solid"/>
          </v:line>
        </w:pict>
      </w:r>
      <w:r>
        <w:rPr>
          <w:rFonts w:ascii="黑体" w:eastAsia="黑体"/>
          <w:spacing w:val="-10"/>
          <w:sz w:val="28"/>
        </w:rPr>
        <w:t>学</w:t>
      </w:r>
      <w:r>
        <w:rPr>
          <w:rFonts w:ascii="黑体" w:eastAsia="黑体"/>
          <w:sz w:val="28"/>
        </w:rPr>
        <w:tab/>
        <w:t>号</w:t>
      </w:r>
      <w:r>
        <w:rPr>
          <w:rFonts w:ascii="黑体" w:eastAsia="黑体"/>
          <w:spacing w:val="-10"/>
          <w:sz w:val="28"/>
        </w:rPr>
        <w:t>：</w:t>
      </w:r>
    </w:p>
    <w:p>
      <w:pPr>
        <w:tabs>
          <w:tab w:val="left" w:pos="3467"/>
        </w:tabs>
        <w:spacing w:before="134" w:line="348" w:lineRule="auto"/>
        <w:ind w:left="2628" w:right="5078" w:firstLine="0"/>
        <w:jc w:val="left"/>
        <w:rPr>
          <w:rFonts w:ascii="黑体" w:eastAsia="黑体"/>
          <w:sz w:val="28"/>
        </w:rPr>
      </w:pPr>
      <w:r>
        <w:rPr>
          <w:rFonts w:ascii="黑体" w:eastAsia="黑体"/>
          <w:spacing w:val="-10"/>
          <w:sz w:val="28"/>
        </w:rPr>
        <w:t>学</w:t>
      </w:r>
      <w:r>
        <w:rPr>
          <w:rFonts w:ascii="黑体" w:eastAsia="黑体"/>
          <w:sz w:val="28"/>
        </w:rPr>
        <w:tab/>
      </w:r>
      <w:r>
        <w:rPr>
          <w:rFonts w:ascii="黑体" w:eastAsia="黑体"/>
          <w:spacing w:val="-6"/>
          <w:sz w:val="28"/>
        </w:rPr>
        <w:t>生</w:t>
      </w:r>
      <w:r>
        <w:rPr>
          <w:rFonts w:ascii="黑体" w:eastAsia="黑体"/>
          <w:spacing w:val="-6"/>
          <w:sz w:val="28"/>
        </w:rPr>
        <w:t>：</w:t>
      </w:r>
      <w:r>
        <w:rPr>
          <w:rFonts w:ascii="黑体" w:eastAsia="黑体"/>
          <w:sz w:val="28"/>
        </w:rPr>
        <w:t>指导教师</w:t>
      </w:r>
      <w:r>
        <w:rPr>
          <w:rFonts w:ascii="黑体" w:eastAsia="黑体"/>
          <w:spacing w:val="-10"/>
          <w:sz w:val="28"/>
        </w:rPr>
        <w:t>：</w:t>
      </w:r>
    </w:p>
    <w:p>
      <w:pPr>
        <w:tabs>
          <w:tab w:val="left" w:pos="4708"/>
          <w:tab w:val="left" w:pos="5391"/>
          <w:tab w:val="left" w:pos="6211"/>
        </w:tabs>
        <w:spacing w:before="0" w:line="358" w:lineRule="exact"/>
        <w:ind w:left="2628" w:right="0" w:firstLine="0"/>
        <w:jc w:val="left"/>
        <w:rPr>
          <w:rFonts w:ascii="黑体" w:eastAsia="黑体"/>
          <w:sz w:val="28"/>
        </w:rPr>
      </w:pPr>
      <w:r>
        <w:pict>
          <v:line id="_x0000_s1031" style="mso-position-horizontal-relative:page;position:absolute;z-index:251663360" from="290.15pt,-7.45pt" to="431pt,-7.4pt" stroked="t" strokecolor="black" strokeweight="0.75pt">
            <v:stroke dashstyle="solid"/>
          </v:line>
        </w:pict>
      </w:r>
      <w:r>
        <w:pict>
          <v:line id="_x0000_s1032" style="mso-position-horizontal-relative:page;position:absolute;z-index:-251652096" from="290.15pt,15.9pt" to="431pt,15.95pt" stroked="t" strokecolor="black" strokeweight="0.75pt">
            <v:stroke dashstyle="solid"/>
          </v:line>
        </w:pict>
      </w:r>
      <w:r>
        <w:rPr>
          <w:rFonts w:ascii="黑体" w:eastAsia="黑体"/>
          <w:sz w:val="28"/>
        </w:rPr>
        <w:t>完成日期</w:t>
      </w:r>
      <w:r>
        <w:rPr>
          <w:rFonts w:ascii="黑体" w:eastAsia="黑体"/>
          <w:spacing w:val="-10"/>
          <w:sz w:val="28"/>
        </w:rPr>
        <w:t>：</w:t>
      </w:r>
      <w:r>
        <w:rPr>
          <w:rFonts w:ascii="黑体" w:eastAsia="黑体"/>
          <w:sz w:val="28"/>
        </w:rPr>
        <w:tab/>
      </w:r>
      <w:r>
        <w:rPr>
          <w:rFonts w:ascii="黑体" w:eastAsia="黑体"/>
          <w:spacing w:val="-10"/>
          <w:sz w:val="28"/>
        </w:rPr>
        <w:t>年</w:t>
      </w:r>
      <w:r>
        <w:rPr>
          <w:rFonts w:ascii="黑体" w:eastAsia="黑体"/>
          <w:sz w:val="28"/>
        </w:rPr>
        <w:tab/>
      </w:r>
      <w:r>
        <w:rPr>
          <w:rFonts w:ascii="黑体" w:eastAsia="黑体"/>
          <w:spacing w:val="-10"/>
          <w:sz w:val="28"/>
        </w:rPr>
        <w:t>月</w:t>
      </w:r>
      <w:r>
        <w:rPr>
          <w:rFonts w:ascii="黑体" w:eastAsia="黑体"/>
          <w:sz w:val="28"/>
        </w:rPr>
        <w:tab/>
      </w:r>
      <w:bookmarkStart w:id="0" w:name="_bookmark0"/>
      <w:bookmarkEnd w:id="0"/>
      <w:r>
        <w:rPr>
          <w:rFonts w:ascii="黑体" w:eastAsia="黑体"/>
          <w:spacing w:val="-10"/>
          <w:sz w:val="28"/>
        </w:rPr>
        <w:t>日</w:t>
      </w:r>
    </w:p>
    <w:p>
      <w:pPr>
        <w:spacing w:after="0" w:line="358" w:lineRule="exact"/>
        <w:jc w:val="left"/>
        <w:rPr>
          <w:rFonts w:ascii="黑体" w:eastAsia="黑体"/>
          <w:sz w:val="28"/>
        </w:rPr>
        <w:sectPr>
          <w:headerReference w:type="default" r:id="rId4"/>
          <w:footerReference w:type="default" r:id="rId5"/>
          <w:type w:val="continuous"/>
          <w:pgSz w:w="11910" w:h="16840"/>
          <w:pgMar w:top="1460" w:right="1120" w:bottom="1180" w:left="1680" w:header="879" w:footer="990"/>
          <w:pgNumType w:start="1"/>
          <w:cols w:space="708"/>
        </w:sectPr>
      </w:pPr>
    </w:p>
    <w:p>
      <w:pPr>
        <w:pStyle w:val="Heading1"/>
        <w:ind w:right="105" w:firstLine="0"/>
        <w:jc w:val="center"/>
      </w:pPr>
      <w:r>
        <w:rPr>
          <w:spacing w:val="-3"/>
        </w:rPr>
        <w:t>内容摘要</w:t>
      </w:r>
    </w:p>
    <w:p>
      <w:pPr>
        <w:pStyle w:val="BodyText"/>
        <w:spacing w:before="11"/>
        <w:rPr>
          <w:rFonts w:ascii="黑体"/>
          <w:sz w:val="42"/>
        </w:rPr>
      </w:pPr>
    </w:p>
    <w:p>
      <w:pPr>
        <w:spacing w:before="1" w:line="343" w:lineRule="auto"/>
        <w:ind w:left="248" w:right="352" w:firstLine="480"/>
        <w:jc w:val="both"/>
        <w:rPr>
          <w:i/>
          <w:sz w:val="24"/>
        </w:rPr>
      </w:pPr>
      <w:r>
        <w:rPr>
          <w:i/>
          <w:spacing w:val="-2"/>
          <w:sz w:val="24"/>
        </w:rPr>
        <w:t>在建筑高速发展的未来，高层建筑的应用与发展势头迅猛，钢筋混凝土结构</w:t>
      </w:r>
      <w:r>
        <w:rPr>
          <w:i/>
          <w:spacing w:val="-2"/>
          <w:sz w:val="24"/>
        </w:rPr>
        <w:t>体系也将大量应用于实际施工当中，更多优秀优化的标志性建筑会大量涌现，高</w:t>
      </w:r>
      <w:r>
        <w:rPr>
          <w:i/>
          <w:spacing w:val="-2"/>
          <w:sz w:val="24"/>
        </w:rPr>
        <w:t>层建筑结构的应用发展会成为建筑的主导方向。针对我国高层建筑超高、复杂、</w:t>
      </w:r>
      <w:r>
        <w:rPr>
          <w:i/>
          <w:spacing w:val="-2"/>
          <w:sz w:val="24"/>
        </w:rPr>
        <w:t>混合的特点，本文简要阐述了目前我国高层建筑的结构特点以及建筑高度不断增</w:t>
      </w:r>
      <w:r>
        <w:rPr>
          <w:i/>
          <w:spacing w:val="-2"/>
          <w:sz w:val="24"/>
        </w:rPr>
        <w:t>加、结构体型日趋复杂的现状，同时对我国高层建筑在抗震、抗风、防火等问题</w:t>
      </w:r>
      <w:r>
        <w:rPr>
          <w:i/>
          <w:spacing w:val="-2"/>
          <w:sz w:val="24"/>
        </w:rPr>
        <w:t>进行了研究。</w:t>
      </w:r>
    </w:p>
    <w:p>
      <w:pPr>
        <w:pStyle w:val="BodyText"/>
        <w:spacing w:before="9"/>
        <w:rPr>
          <w:i/>
          <w:sz w:val="29"/>
        </w:rPr>
      </w:pPr>
    </w:p>
    <w:p>
      <w:pPr>
        <w:spacing w:before="1"/>
        <w:ind w:left="248" w:right="0" w:firstLine="0"/>
        <w:jc w:val="left"/>
        <w:rPr>
          <w:i/>
          <w:sz w:val="24"/>
        </w:rPr>
      </w:pPr>
      <w:r>
        <w:rPr>
          <w:rFonts w:ascii="黑体" w:eastAsia="黑体"/>
          <w:sz w:val="30"/>
        </w:rPr>
        <w:t>关键词：</w:t>
      </w:r>
      <w:r>
        <w:rPr>
          <w:i/>
          <w:spacing w:val="-1"/>
          <w:sz w:val="24"/>
        </w:rPr>
        <w:t>高层建筑；结构；发展现状；发展方向</w:t>
      </w:r>
    </w:p>
    <w:p>
      <w:pPr>
        <w:spacing w:after="0"/>
        <w:jc w:val="left"/>
        <w:rPr>
          <w:sz w:val="24"/>
        </w:rPr>
        <w:sectPr>
          <w:headerReference w:type="default" r:id="rId6"/>
          <w:footerReference w:type="default" r:id="rId7"/>
          <w:pgSz w:w="11910" w:h="16840"/>
          <w:pgMar w:top="1460" w:right="1120" w:bottom="1180" w:left="1680" w:header="879" w:footer="990"/>
          <w:pgNumType w:start="2"/>
          <w:cols w:space="708"/>
        </w:sectPr>
      </w:pPr>
    </w:p>
    <w:p>
      <w:pPr>
        <w:pStyle w:val="Heading1"/>
        <w:tabs>
          <w:tab w:val="left" w:pos="959"/>
        </w:tabs>
        <w:ind w:right="105" w:firstLine="0"/>
        <w:jc w:val="center"/>
      </w:pPr>
      <w:r>
        <w:rPr>
          <w:spacing w:val="-10"/>
        </w:rPr>
        <w:t>目</w:t>
      </w:r>
      <w:r>
        <w:tab/>
      </w:r>
      <w:r>
        <w:rPr>
          <w:spacing w:val="-10"/>
        </w:rPr>
        <w:t>录</w:t>
      </w:r>
    </w:p>
    <w:sdt>
      <w:sdtPr>
        <w:id w:val="265577600"/>
        <w:docPartObj>
          <w:docPartGallery w:val="Table of Contents"/>
          <w:docPartUnique/>
        </w:docPartObj>
      </w:sdtPr>
      <w:sdtContent>
        <w:p>
          <w:pPr>
            <w:pStyle w:val="TOC1"/>
            <w:tabs>
              <w:tab w:val="left" w:leader="dot" w:pos="8424"/>
            </w:tabs>
            <w:spacing w:before="441"/>
            <w:ind w:right="104"/>
            <w:rPr>
              <w:rFonts w:ascii="Times New Roman" w:eastAsia="Times New Roman"/>
              <w:b w:val="0"/>
              <w:i w:val="0"/>
              <w:sz w:val="24"/>
            </w:rPr>
          </w:pPr>
          <w:hyperlink w:anchor="_bookmark0" w:history="1">
            <w:r>
              <w:rPr>
                <w:b w:val="0"/>
                <w:sz w:val="24"/>
              </w:rPr>
              <w:t>内容摘</w:t>
            </w:r>
            <w:r>
              <w:rPr>
                <w:b w:val="0"/>
                <w:spacing w:val="-10"/>
                <w:sz w:val="24"/>
              </w:rPr>
              <w:t>要</w:t>
            </w:r>
          </w:hyperlink>
          <w:r>
            <w:rPr>
              <w:rFonts w:ascii="Times New Roman" w:eastAsia="Times New Roman"/>
              <w:b w:val="0"/>
              <w:i w:val="0"/>
              <w:sz w:val="24"/>
            </w:rPr>
            <w:tab/>
          </w:r>
          <w:r>
            <w:rPr>
              <w:rFonts w:ascii="Times New Roman" w:eastAsia="Times New Roman"/>
              <w:b w:val="0"/>
              <w:i w:val="0"/>
              <w:spacing w:val="-10"/>
              <w:sz w:val="24"/>
            </w:rPr>
            <w:t>I</w:t>
          </w:r>
        </w:p>
        <w:p>
          <w:pPr>
            <w:pStyle w:val="TOC1"/>
            <w:tabs>
              <w:tab w:val="left" w:pos="599"/>
              <w:tab w:val="left" w:leader="dot" w:pos="8385"/>
            </w:tabs>
            <w:spacing w:before="160"/>
            <w:rPr>
              <w:rFonts w:ascii="Times New Roman" w:eastAsia="Times New Roman"/>
              <w:b w:val="0"/>
              <w:i w:val="0"/>
              <w:sz w:val="24"/>
            </w:rPr>
          </w:pPr>
          <w:hyperlink w:anchor="_TOC_250024" w:history="1">
            <w:r>
              <w:rPr>
                <w:b w:val="0"/>
                <w:spacing w:val="-10"/>
                <w:sz w:val="24"/>
              </w:rPr>
              <w:t>引</w:t>
            </w:r>
            <w:r>
              <w:rPr>
                <w:b w:val="0"/>
                <w:sz w:val="24"/>
              </w:rPr>
              <w:tab/>
            </w:r>
            <w:r>
              <w:rPr>
                <w:b w:val="0"/>
                <w:spacing w:val="-10"/>
                <w:sz w:val="24"/>
              </w:rPr>
              <w:t>言</w:t>
            </w:r>
            <w:r>
              <w:rPr>
                <w:rFonts w:ascii="Times New Roman" w:eastAsia="Times New Roman"/>
                <w:b w:val="0"/>
                <w:i w:val="0"/>
                <w:sz w:val="24"/>
              </w:rPr>
              <w:tab/>
            </w:r>
            <w:r>
              <w:rPr>
                <w:rFonts w:ascii="Times New Roman" w:eastAsia="Times New Roman"/>
                <w:b w:val="0"/>
                <w:i w:val="0"/>
                <w:spacing w:val="-10"/>
                <w:sz w:val="24"/>
              </w:rPr>
              <w:t>3</w:t>
            </w:r>
          </w:hyperlink>
        </w:p>
        <w:p>
          <w:pPr>
            <w:pStyle w:val="TOC3"/>
            <w:numPr>
              <w:ilvl w:val="0"/>
              <w:numId w:val="6"/>
            </w:numPr>
            <w:tabs>
              <w:tab w:val="left" w:pos="607"/>
              <w:tab w:val="left" w:pos="608"/>
              <w:tab w:val="left" w:leader="dot" w:pos="8633"/>
            </w:tabs>
            <w:spacing w:before="159" w:after="0" w:line="240" w:lineRule="auto"/>
            <w:ind w:left="608" w:right="0" w:hanging="360"/>
            <w:jc w:val="left"/>
            <w:rPr>
              <w:rFonts w:ascii="Times New Roman" w:eastAsia="Times New Roman"/>
              <w:b w:val="0"/>
              <w:i w:val="0"/>
              <w:sz w:val="24"/>
            </w:rPr>
          </w:pPr>
          <w:hyperlink w:anchor="_TOC_250023" w:history="1">
            <w:r>
              <w:rPr>
                <w:b w:val="0"/>
                <w:sz w:val="24"/>
              </w:rPr>
              <w:t>绪</w:t>
            </w:r>
            <w:r>
              <w:rPr>
                <w:b w:val="0"/>
                <w:spacing w:val="-10"/>
                <w:sz w:val="24"/>
              </w:rPr>
              <w:t>言</w:t>
            </w:r>
            <w:r>
              <w:rPr>
                <w:rFonts w:ascii="Times New Roman" w:eastAsia="Times New Roman"/>
                <w:b w:val="0"/>
                <w:i w:val="0"/>
                <w:sz w:val="24"/>
              </w:rPr>
              <w:tab/>
            </w:r>
            <w:r>
              <w:rPr>
                <w:rFonts w:ascii="Times New Roman" w:eastAsia="Times New Roman"/>
                <w:b w:val="0"/>
                <w:i w:val="0"/>
                <w:spacing w:val="-10"/>
                <w:sz w:val="24"/>
              </w:rPr>
              <w:t>4</w:t>
            </w:r>
          </w:hyperlink>
        </w:p>
        <w:p>
          <w:pPr>
            <w:pStyle w:val="TOC3"/>
            <w:numPr>
              <w:ilvl w:val="0"/>
              <w:numId w:val="6"/>
            </w:numPr>
            <w:tabs>
              <w:tab w:val="left" w:pos="607"/>
              <w:tab w:val="left" w:pos="608"/>
              <w:tab w:val="left" w:leader="dot" w:pos="8633"/>
            </w:tabs>
            <w:spacing w:before="160" w:after="0" w:line="240" w:lineRule="auto"/>
            <w:ind w:left="608" w:right="0" w:hanging="360"/>
            <w:jc w:val="left"/>
            <w:rPr>
              <w:rFonts w:ascii="Times New Roman" w:eastAsia="Times New Roman"/>
              <w:b w:val="0"/>
              <w:i w:val="0"/>
              <w:sz w:val="24"/>
            </w:rPr>
          </w:pPr>
          <w:hyperlink w:anchor="_TOC_250022" w:history="1">
            <w:r>
              <w:rPr>
                <w:b w:val="0"/>
                <w:sz w:val="24"/>
              </w:rPr>
              <w:t>发展现</w:t>
            </w:r>
            <w:r>
              <w:rPr>
                <w:b w:val="0"/>
                <w:spacing w:val="-10"/>
                <w:sz w:val="24"/>
              </w:rPr>
              <w:t>状</w:t>
            </w:r>
            <w:r>
              <w:rPr>
                <w:rFonts w:ascii="Times New Roman" w:eastAsia="Times New Roman"/>
                <w:b w:val="0"/>
                <w:i w:val="0"/>
                <w:sz w:val="24"/>
              </w:rPr>
              <w:tab/>
            </w:r>
            <w:r>
              <w:rPr>
                <w:rFonts w:ascii="Times New Roman" w:eastAsia="Times New Roman"/>
                <w:b w:val="0"/>
                <w:i w:val="0"/>
                <w:spacing w:val="-10"/>
                <w:sz w:val="24"/>
              </w:rPr>
              <w:t>5</w:t>
            </w:r>
          </w:hyperlink>
        </w:p>
        <w:p>
          <w:pPr>
            <w:pStyle w:val="TOC4"/>
            <w:numPr>
              <w:ilvl w:val="1"/>
              <w:numId w:val="6"/>
            </w:numPr>
            <w:tabs>
              <w:tab w:val="left" w:pos="1267"/>
              <w:tab w:val="left" w:pos="1268"/>
              <w:tab w:val="left" w:leader="dot" w:pos="8633"/>
            </w:tabs>
            <w:spacing w:before="159" w:after="0" w:line="240" w:lineRule="auto"/>
            <w:ind w:left="1268" w:right="0" w:hanging="600"/>
            <w:jc w:val="left"/>
            <w:rPr>
              <w:rFonts w:ascii="Times New Roman" w:eastAsia="Times New Roman"/>
              <w:i w:val="0"/>
            </w:rPr>
          </w:pPr>
          <w:hyperlink w:anchor="_TOC_250021" w:history="1">
            <w:r>
              <w:t>高层建筑的发展特</w:t>
            </w:r>
            <w:r>
              <w:rPr>
                <w:spacing w:val="-10"/>
              </w:rPr>
              <w:t>点</w:t>
            </w:r>
            <w:r>
              <w:rPr>
                <w:rFonts w:ascii="Times New Roman" w:eastAsia="Times New Roman"/>
                <w:i w:val="0"/>
              </w:rPr>
              <w:tab/>
            </w:r>
            <w:r>
              <w:rPr>
                <w:rFonts w:ascii="Times New Roman" w:eastAsia="Times New Roman"/>
                <w:i w:val="0"/>
                <w:spacing w:val="-10"/>
              </w:rPr>
              <w:t>5</w:t>
            </w:r>
          </w:hyperlink>
        </w:p>
        <w:p>
          <w:pPr>
            <w:pStyle w:val="TOC6"/>
            <w:numPr>
              <w:ilvl w:val="2"/>
              <w:numId w:val="6"/>
            </w:numPr>
            <w:tabs>
              <w:tab w:val="left" w:pos="1927"/>
              <w:tab w:val="left" w:pos="1928"/>
              <w:tab w:val="left" w:leader="dot" w:pos="8633"/>
            </w:tabs>
            <w:spacing w:before="159" w:after="0" w:line="240" w:lineRule="auto"/>
            <w:ind w:left="1928" w:right="0" w:hanging="840"/>
            <w:jc w:val="left"/>
            <w:rPr>
              <w:rFonts w:ascii="Times New Roman" w:eastAsia="Times New Roman"/>
              <w:i w:val="0"/>
            </w:rPr>
          </w:pPr>
          <w:hyperlink w:anchor="_TOC_250020" w:history="1">
            <w:r>
              <w:t>高层建筑发展迅速，数量多，分布</w:t>
            </w:r>
            <w:r>
              <w:rPr>
                <w:spacing w:val="-10"/>
              </w:rPr>
              <w:t>广</w:t>
            </w:r>
            <w:r>
              <w:rPr>
                <w:rFonts w:ascii="Times New Roman" w:eastAsia="Times New Roman"/>
                <w:i w:val="0"/>
              </w:rPr>
              <w:tab/>
            </w:r>
            <w:r>
              <w:rPr>
                <w:rFonts w:ascii="Times New Roman" w:eastAsia="Times New Roman"/>
                <w:i w:val="0"/>
                <w:spacing w:val="-10"/>
              </w:rPr>
              <w:t>5</w:t>
            </w:r>
          </w:hyperlink>
        </w:p>
        <w:p>
          <w:pPr>
            <w:pStyle w:val="TOC6"/>
            <w:numPr>
              <w:ilvl w:val="2"/>
              <w:numId w:val="6"/>
            </w:numPr>
            <w:tabs>
              <w:tab w:val="left" w:pos="1927"/>
              <w:tab w:val="left" w:pos="1928"/>
              <w:tab w:val="left" w:leader="dot" w:pos="8632"/>
            </w:tabs>
            <w:spacing w:before="160" w:after="0" w:line="240" w:lineRule="auto"/>
            <w:ind w:left="1928" w:right="0" w:hanging="840"/>
            <w:jc w:val="left"/>
            <w:rPr>
              <w:rFonts w:ascii="Times New Roman" w:eastAsia="Times New Roman"/>
              <w:i w:val="0"/>
            </w:rPr>
          </w:pPr>
          <w:hyperlink w:anchor="_TOC_250019" w:history="1">
            <w:r>
              <w:t>建筑高度不断增加，超高层建筑以混合结构、组合结构为</w:t>
            </w:r>
            <w:r>
              <w:rPr>
                <w:spacing w:val="-10"/>
              </w:rPr>
              <w:t>主</w:t>
            </w:r>
            <w:r>
              <w:rPr>
                <w:rFonts w:ascii="Times New Roman" w:eastAsia="Times New Roman"/>
                <w:i w:val="0"/>
              </w:rPr>
              <w:tab/>
            </w:r>
            <w:r>
              <w:rPr>
                <w:rFonts w:ascii="Times New Roman" w:eastAsia="Times New Roman"/>
                <w:i w:val="0"/>
                <w:spacing w:val="-10"/>
              </w:rPr>
              <w:t>5</w:t>
            </w:r>
          </w:hyperlink>
        </w:p>
        <w:p>
          <w:pPr>
            <w:pStyle w:val="TOC6"/>
            <w:numPr>
              <w:ilvl w:val="2"/>
              <w:numId w:val="6"/>
            </w:numPr>
            <w:tabs>
              <w:tab w:val="left" w:pos="1927"/>
              <w:tab w:val="left" w:pos="1928"/>
              <w:tab w:val="left" w:leader="dot" w:pos="8633"/>
            </w:tabs>
            <w:spacing w:before="159" w:after="0" w:line="240" w:lineRule="auto"/>
            <w:ind w:left="1928" w:right="0" w:hanging="840"/>
            <w:jc w:val="left"/>
            <w:rPr>
              <w:rFonts w:ascii="Times New Roman" w:eastAsia="Times New Roman"/>
              <w:i w:val="0"/>
            </w:rPr>
          </w:pPr>
          <w:hyperlink w:anchor="_TOC_250018" w:history="1">
            <w:r>
              <w:t>结构体型日趋复</w:t>
            </w:r>
            <w:r>
              <w:rPr>
                <w:spacing w:val="-10"/>
              </w:rPr>
              <w:t>杂</w:t>
            </w:r>
            <w:r>
              <w:rPr>
                <w:rFonts w:ascii="Times New Roman" w:eastAsia="Times New Roman"/>
                <w:i w:val="0"/>
              </w:rPr>
              <w:tab/>
            </w:r>
            <w:r>
              <w:rPr>
                <w:rFonts w:ascii="Times New Roman" w:eastAsia="Times New Roman"/>
                <w:i w:val="0"/>
                <w:spacing w:val="-10"/>
              </w:rPr>
              <w:t>6</w:t>
            </w:r>
          </w:hyperlink>
        </w:p>
        <w:p>
          <w:pPr>
            <w:pStyle w:val="TOC6"/>
            <w:numPr>
              <w:ilvl w:val="2"/>
              <w:numId w:val="6"/>
            </w:numPr>
            <w:tabs>
              <w:tab w:val="left" w:pos="1927"/>
              <w:tab w:val="left" w:pos="1928"/>
              <w:tab w:val="left" w:leader="dot" w:pos="8633"/>
            </w:tabs>
            <w:spacing w:before="159" w:after="0" w:line="240" w:lineRule="auto"/>
            <w:ind w:left="1928" w:right="0" w:hanging="840"/>
            <w:jc w:val="left"/>
            <w:rPr>
              <w:rFonts w:ascii="Times New Roman" w:eastAsia="Times New Roman"/>
              <w:i w:val="0"/>
            </w:rPr>
          </w:pPr>
          <w:hyperlink w:anchor="_TOC_250017" w:history="1">
            <w:r>
              <w:t>新型结构不断涌</w:t>
            </w:r>
            <w:r>
              <w:rPr>
                <w:spacing w:val="-10"/>
              </w:rPr>
              <w:t>现</w:t>
            </w:r>
            <w:r>
              <w:rPr>
                <w:rFonts w:ascii="Times New Roman" w:eastAsia="Times New Roman"/>
                <w:i w:val="0"/>
              </w:rPr>
              <w:tab/>
            </w:r>
            <w:r>
              <w:rPr>
                <w:rFonts w:ascii="Times New Roman" w:eastAsia="Times New Roman"/>
                <w:i w:val="0"/>
                <w:spacing w:val="-10"/>
              </w:rPr>
              <w:t>7</w:t>
            </w:r>
          </w:hyperlink>
        </w:p>
        <w:p>
          <w:pPr>
            <w:pStyle w:val="TOC5"/>
            <w:numPr>
              <w:ilvl w:val="1"/>
              <w:numId w:val="6"/>
            </w:numPr>
            <w:tabs>
              <w:tab w:val="left" w:pos="1267"/>
              <w:tab w:val="left" w:pos="1268"/>
              <w:tab w:val="left" w:leader="dot" w:pos="8633"/>
            </w:tabs>
            <w:spacing w:before="160" w:after="0" w:line="240" w:lineRule="auto"/>
            <w:ind w:left="1268" w:right="0" w:hanging="600"/>
            <w:jc w:val="left"/>
            <w:rPr>
              <w:rFonts w:ascii="Times New Roman" w:eastAsia="Times New Roman"/>
              <w:b w:val="0"/>
              <w:i w:val="0"/>
              <w:sz w:val="24"/>
            </w:rPr>
          </w:pPr>
          <w:hyperlink w:anchor="_TOC_250016" w:history="1">
            <w:r>
              <w:rPr>
                <w:b w:val="0"/>
                <w:sz w:val="24"/>
              </w:rPr>
              <w:t>设计工</w:t>
            </w:r>
            <w:r>
              <w:rPr>
                <w:b w:val="0"/>
                <w:spacing w:val="-10"/>
                <w:sz w:val="24"/>
              </w:rPr>
              <w:t>作</w:t>
            </w:r>
            <w:r>
              <w:rPr>
                <w:rFonts w:ascii="Times New Roman" w:eastAsia="Times New Roman"/>
                <w:b w:val="0"/>
                <w:i w:val="0"/>
                <w:sz w:val="24"/>
              </w:rPr>
              <w:tab/>
            </w:r>
            <w:r>
              <w:rPr>
                <w:rFonts w:ascii="Times New Roman" w:eastAsia="Times New Roman"/>
                <w:b w:val="0"/>
                <w:i w:val="0"/>
                <w:spacing w:val="-10"/>
                <w:sz w:val="24"/>
              </w:rPr>
              <w:t>8</w:t>
            </w:r>
          </w:hyperlink>
        </w:p>
        <w:p>
          <w:pPr>
            <w:pStyle w:val="TOC7"/>
            <w:numPr>
              <w:ilvl w:val="2"/>
              <w:numId w:val="6"/>
            </w:numPr>
            <w:tabs>
              <w:tab w:val="left" w:pos="1927"/>
              <w:tab w:val="left" w:pos="1928"/>
              <w:tab w:val="left" w:leader="dot" w:pos="8633"/>
            </w:tabs>
            <w:spacing w:before="159" w:after="0" w:line="240" w:lineRule="auto"/>
            <w:ind w:left="1928" w:right="0" w:hanging="840"/>
            <w:jc w:val="left"/>
            <w:rPr>
              <w:rFonts w:ascii="Times New Roman" w:eastAsia="Times New Roman"/>
              <w:b w:val="0"/>
              <w:i w:val="0"/>
              <w:sz w:val="24"/>
            </w:rPr>
          </w:pPr>
          <w:hyperlink w:anchor="_TOC_250015" w:history="1">
            <w:r>
              <w:rPr>
                <w:b w:val="0"/>
                <w:sz w:val="24"/>
              </w:rPr>
              <w:t>抗震设计工</w:t>
            </w:r>
            <w:r>
              <w:rPr>
                <w:b w:val="0"/>
                <w:spacing w:val="-10"/>
                <w:sz w:val="24"/>
              </w:rPr>
              <w:t>作</w:t>
            </w:r>
            <w:r>
              <w:rPr>
                <w:rFonts w:ascii="Times New Roman" w:eastAsia="Times New Roman"/>
                <w:b w:val="0"/>
                <w:i w:val="0"/>
                <w:sz w:val="24"/>
              </w:rPr>
              <w:tab/>
            </w:r>
            <w:r>
              <w:rPr>
                <w:rFonts w:ascii="Times New Roman" w:eastAsia="Times New Roman"/>
                <w:b w:val="0"/>
                <w:i w:val="0"/>
                <w:spacing w:val="-10"/>
                <w:sz w:val="24"/>
              </w:rPr>
              <w:t>8</w:t>
            </w:r>
          </w:hyperlink>
        </w:p>
        <w:p>
          <w:pPr>
            <w:pStyle w:val="TOC7"/>
            <w:numPr>
              <w:ilvl w:val="2"/>
              <w:numId w:val="6"/>
            </w:numPr>
            <w:tabs>
              <w:tab w:val="left" w:pos="1927"/>
              <w:tab w:val="left" w:pos="1928"/>
              <w:tab w:val="left" w:leader="dot" w:pos="8633"/>
            </w:tabs>
            <w:spacing w:before="159" w:after="0" w:line="240" w:lineRule="auto"/>
            <w:ind w:left="1928" w:right="0" w:hanging="840"/>
            <w:jc w:val="left"/>
            <w:rPr>
              <w:rFonts w:ascii="Times New Roman" w:eastAsia="Times New Roman"/>
              <w:b w:val="0"/>
              <w:i w:val="0"/>
              <w:sz w:val="24"/>
            </w:rPr>
          </w:pPr>
          <w:hyperlink w:anchor="_TOC_250014" w:history="1">
            <w:r>
              <w:rPr>
                <w:b w:val="0"/>
                <w:sz w:val="24"/>
              </w:rPr>
              <w:t>防风设计工</w:t>
            </w:r>
            <w:r>
              <w:rPr>
                <w:b w:val="0"/>
                <w:spacing w:val="-10"/>
                <w:sz w:val="24"/>
              </w:rPr>
              <w:t>作</w:t>
            </w:r>
            <w:r>
              <w:rPr>
                <w:rFonts w:ascii="Times New Roman" w:eastAsia="Times New Roman"/>
                <w:b w:val="0"/>
                <w:i w:val="0"/>
                <w:sz w:val="24"/>
              </w:rPr>
              <w:tab/>
            </w:r>
            <w:r>
              <w:rPr>
                <w:rFonts w:ascii="Times New Roman" w:eastAsia="Times New Roman"/>
                <w:b w:val="0"/>
                <w:i w:val="0"/>
                <w:spacing w:val="-10"/>
                <w:sz w:val="24"/>
              </w:rPr>
              <w:t>9</w:t>
            </w:r>
          </w:hyperlink>
        </w:p>
        <w:p>
          <w:pPr>
            <w:pStyle w:val="TOC7"/>
            <w:numPr>
              <w:ilvl w:val="2"/>
              <w:numId w:val="6"/>
            </w:numPr>
            <w:tabs>
              <w:tab w:val="left" w:pos="1927"/>
              <w:tab w:val="left" w:pos="1928"/>
              <w:tab w:val="left" w:leader="dot" w:pos="8513"/>
            </w:tabs>
            <w:spacing w:before="160" w:after="0" w:line="240" w:lineRule="auto"/>
            <w:ind w:left="1928" w:right="0" w:hanging="840"/>
            <w:jc w:val="left"/>
            <w:rPr>
              <w:rFonts w:ascii="Times New Roman" w:eastAsia="Times New Roman"/>
              <w:b w:val="0"/>
              <w:i w:val="0"/>
              <w:sz w:val="24"/>
            </w:rPr>
          </w:pPr>
          <w:hyperlink w:anchor="_TOC_250013" w:history="1">
            <w:r>
              <w:rPr>
                <w:b w:val="0"/>
                <w:sz w:val="24"/>
              </w:rPr>
              <w:t>防火设计工</w:t>
            </w:r>
            <w:r>
              <w:rPr>
                <w:b w:val="0"/>
                <w:spacing w:val="-10"/>
                <w:sz w:val="24"/>
              </w:rPr>
              <w:t>作</w:t>
            </w:r>
            <w:r>
              <w:rPr>
                <w:rFonts w:ascii="Times New Roman" w:eastAsia="Times New Roman"/>
                <w:b w:val="0"/>
                <w:i w:val="0"/>
                <w:sz w:val="24"/>
              </w:rPr>
              <w:tab/>
            </w:r>
            <w:r>
              <w:rPr>
                <w:rFonts w:ascii="Times New Roman" w:eastAsia="Times New Roman"/>
                <w:b w:val="0"/>
                <w:i w:val="0"/>
                <w:spacing w:val="-5"/>
                <w:sz w:val="24"/>
              </w:rPr>
              <w:t>10</w:t>
            </w:r>
          </w:hyperlink>
        </w:p>
        <w:p>
          <w:pPr>
            <w:pStyle w:val="TOC5"/>
            <w:numPr>
              <w:ilvl w:val="1"/>
              <w:numId w:val="6"/>
            </w:numPr>
            <w:tabs>
              <w:tab w:val="left" w:pos="1267"/>
              <w:tab w:val="left" w:pos="1268"/>
              <w:tab w:val="left" w:leader="dot" w:pos="8513"/>
            </w:tabs>
            <w:spacing w:before="159" w:after="0" w:line="240" w:lineRule="auto"/>
            <w:ind w:left="1268" w:right="0" w:hanging="600"/>
            <w:jc w:val="left"/>
            <w:rPr>
              <w:rFonts w:ascii="Times New Roman" w:eastAsia="Times New Roman"/>
              <w:b w:val="0"/>
              <w:i w:val="0"/>
              <w:sz w:val="24"/>
            </w:rPr>
          </w:pPr>
          <w:hyperlink w:anchor="_TOC_250012" w:history="1">
            <w:r>
              <w:rPr>
                <w:b w:val="0"/>
                <w:sz w:val="24"/>
              </w:rPr>
              <w:t>计算分析工</w:t>
            </w:r>
            <w:r>
              <w:rPr>
                <w:b w:val="0"/>
                <w:spacing w:val="-10"/>
                <w:sz w:val="24"/>
              </w:rPr>
              <w:t>作</w:t>
            </w:r>
            <w:r>
              <w:rPr>
                <w:rFonts w:ascii="Times New Roman" w:eastAsia="Times New Roman"/>
                <w:b w:val="0"/>
                <w:i w:val="0"/>
                <w:sz w:val="24"/>
              </w:rPr>
              <w:tab/>
            </w:r>
            <w:r>
              <w:rPr>
                <w:rFonts w:ascii="Times New Roman" w:eastAsia="Times New Roman"/>
                <w:b w:val="0"/>
                <w:i w:val="0"/>
                <w:spacing w:val="-5"/>
                <w:sz w:val="24"/>
              </w:rPr>
              <w:t>10</w:t>
            </w:r>
          </w:hyperlink>
        </w:p>
        <w:p>
          <w:pPr>
            <w:pStyle w:val="TOC5"/>
            <w:numPr>
              <w:ilvl w:val="1"/>
              <w:numId w:val="6"/>
            </w:numPr>
            <w:tabs>
              <w:tab w:val="left" w:pos="1267"/>
              <w:tab w:val="left" w:pos="1268"/>
              <w:tab w:val="left" w:leader="dot" w:pos="8513"/>
            </w:tabs>
            <w:spacing w:before="159" w:after="0" w:line="240" w:lineRule="auto"/>
            <w:ind w:left="1268" w:right="0" w:hanging="600"/>
            <w:jc w:val="left"/>
            <w:rPr>
              <w:rFonts w:ascii="Times New Roman" w:eastAsia="Times New Roman"/>
              <w:b w:val="0"/>
              <w:i w:val="0"/>
              <w:sz w:val="24"/>
            </w:rPr>
          </w:pPr>
          <w:hyperlink w:anchor="_TOC_250011" w:history="1">
            <w:r>
              <w:rPr>
                <w:b w:val="0"/>
                <w:sz w:val="24"/>
              </w:rPr>
              <w:t>试验研究工</w:t>
            </w:r>
            <w:r>
              <w:rPr>
                <w:b w:val="0"/>
                <w:spacing w:val="-10"/>
                <w:sz w:val="24"/>
              </w:rPr>
              <w:t>作</w:t>
            </w:r>
            <w:r>
              <w:rPr>
                <w:rFonts w:ascii="Times New Roman" w:eastAsia="Times New Roman"/>
                <w:b w:val="0"/>
                <w:i w:val="0"/>
                <w:sz w:val="24"/>
              </w:rPr>
              <w:tab/>
            </w:r>
            <w:r>
              <w:rPr>
                <w:rFonts w:ascii="Times New Roman" w:eastAsia="Times New Roman"/>
                <w:b w:val="0"/>
                <w:i w:val="0"/>
                <w:spacing w:val="-5"/>
                <w:sz w:val="24"/>
              </w:rPr>
              <w:t>10</w:t>
            </w:r>
          </w:hyperlink>
        </w:p>
        <w:p>
          <w:pPr>
            <w:pStyle w:val="TOC5"/>
            <w:numPr>
              <w:ilvl w:val="1"/>
              <w:numId w:val="6"/>
            </w:numPr>
            <w:tabs>
              <w:tab w:val="left" w:pos="1267"/>
              <w:tab w:val="left" w:pos="1268"/>
              <w:tab w:val="left" w:leader="dot" w:pos="8513"/>
            </w:tabs>
            <w:spacing w:before="160" w:after="0" w:line="240" w:lineRule="auto"/>
            <w:ind w:left="1268" w:right="0" w:hanging="600"/>
            <w:jc w:val="left"/>
            <w:rPr>
              <w:rFonts w:ascii="Times New Roman" w:eastAsia="Times New Roman"/>
              <w:b w:val="0"/>
              <w:i w:val="0"/>
              <w:sz w:val="24"/>
            </w:rPr>
          </w:pPr>
          <w:hyperlink w:anchor="_TOC_250010" w:history="1">
            <w:r>
              <w:rPr>
                <w:b w:val="0"/>
                <w:sz w:val="24"/>
              </w:rPr>
              <w:t>存在的问题与不</w:t>
            </w:r>
            <w:r>
              <w:rPr>
                <w:b w:val="0"/>
                <w:spacing w:val="-10"/>
                <w:sz w:val="24"/>
              </w:rPr>
              <w:t>足</w:t>
            </w:r>
            <w:r>
              <w:rPr>
                <w:rFonts w:ascii="Times New Roman" w:eastAsia="Times New Roman"/>
                <w:b w:val="0"/>
                <w:i w:val="0"/>
                <w:sz w:val="24"/>
              </w:rPr>
              <w:tab/>
            </w:r>
            <w:r>
              <w:rPr>
                <w:rFonts w:ascii="Times New Roman" w:eastAsia="Times New Roman"/>
                <w:b w:val="0"/>
                <w:i w:val="0"/>
                <w:spacing w:val="-5"/>
                <w:sz w:val="24"/>
              </w:rPr>
              <w:t>11</w:t>
            </w:r>
          </w:hyperlink>
        </w:p>
        <w:p>
          <w:pPr>
            <w:pStyle w:val="TOC3"/>
            <w:numPr>
              <w:ilvl w:val="0"/>
              <w:numId w:val="6"/>
            </w:numPr>
            <w:tabs>
              <w:tab w:val="left" w:pos="607"/>
              <w:tab w:val="left" w:pos="608"/>
              <w:tab w:val="left" w:leader="dot" w:pos="8513"/>
            </w:tabs>
            <w:spacing w:before="159" w:after="0" w:line="240" w:lineRule="auto"/>
            <w:ind w:left="608" w:right="0" w:hanging="360"/>
            <w:jc w:val="left"/>
            <w:rPr>
              <w:rFonts w:ascii="Times New Roman" w:eastAsia="Times New Roman"/>
              <w:b w:val="0"/>
              <w:i w:val="0"/>
              <w:sz w:val="24"/>
            </w:rPr>
          </w:pPr>
          <w:hyperlink w:anchor="_TOC_250009" w:history="1">
            <w:r>
              <w:rPr>
                <w:b w:val="0"/>
                <w:sz w:val="24"/>
              </w:rPr>
              <w:t>发展战</w:t>
            </w:r>
            <w:r>
              <w:rPr>
                <w:b w:val="0"/>
                <w:spacing w:val="-10"/>
                <w:sz w:val="24"/>
              </w:rPr>
              <w:t>略</w:t>
            </w:r>
            <w:r>
              <w:rPr>
                <w:rFonts w:ascii="Times New Roman" w:eastAsia="Times New Roman"/>
                <w:b w:val="0"/>
                <w:i w:val="0"/>
                <w:sz w:val="24"/>
              </w:rPr>
              <w:tab/>
            </w:r>
            <w:r>
              <w:rPr>
                <w:rFonts w:ascii="Times New Roman" w:eastAsia="Times New Roman"/>
                <w:b w:val="0"/>
                <w:i w:val="0"/>
                <w:spacing w:val="-5"/>
                <w:sz w:val="24"/>
              </w:rPr>
              <w:t>12</w:t>
            </w:r>
          </w:hyperlink>
        </w:p>
        <w:p>
          <w:pPr>
            <w:pStyle w:val="TOC4"/>
            <w:numPr>
              <w:ilvl w:val="1"/>
              <w:numId w:val="6"/>
            </w:numPr>
            <w:tabs>
              <w:tab w:val="left" w:pos="1267"/>
              <w:tab w:val="left" w:pos="1268"/>
              <w:tab w:val="left" w:leader="dot" w:pos="8513"/>
            </w:tabs>
            <w:spacing w:before="160" w:after="0" w:line="240" w:lineRule="auto"/>
            <w:ind w:left="1268" w:right="0" w:hanging="600"/>
            <w:jc w:val="left"/>
            <w:rPr>
              <w:rFonts w:ascii="Times New Roman" w:eastAsia="Times New Roman"/>
              <w:i w:val="0"/>
            </w:rPr>
          </w:pPr>
          <w:hyperlink w:anchor="_TOC_250008" w:history="1">
            <w:r>
              <w:t>超高层建筑结构体系及设计方法的研</w:t>
            </w:r>
            <w:r>
              <w:rPr>
                <w:spacing w:val="-10"/>
              </w:rPr>
              <w:t>究</w:t>
            </w:r>
            <w:r>
              <w:rPr>
                <w:rFonts w:ascii="Times New Roman" w:eastAsia="Times New Roman"/>
                <w:i w:val="0"/>
              </w:rPr>
              <w:tab/>
            </w:r>
            <w:r>
              <w:rPr>
                <w:rFonts w:ascii="Times New Roman" w:eastAsia="Times New Roman"/>
                <w:i w:val="0"/>
                <w:spacing w:val="-5"/>
              </w:rPr>
              <w:t>12</w:t>
            </w:r>
          </w:hyperlink>
        </w:p>
        <w:p>
          <w:pPr>
            <w:pStyle w:val="TOC4"/>
            <w:numPr>
              <w:ilvl w:val="1"/>
              <w:numId w:val="6"/>
            </w:numPr>
            <w:tabs>
              <w:tab w:val="left" w:pos="1267"/>
              <w:tab w:val="left" w:pos="1268"/>
              <w:tab w:val="left" w:leader="dot" w:pos="8513"/>
            </w:tabs>
            <w:spacing w:before="159" w:after="0" w:line="240" w:lineRule="auto"/>
            <w:ind w:left="1268" w:right="0" w:hanging="600"/>
            <w:jc w:val="left"/>
            <w:rPr>
              <w:rFonts w:ascii="Times New Roman" w:eastAsia="Times New Roman"/>
              <w:i w:val="0"/>
            </w:rPr>
          </w:pPr>
          <w:hyperlink w:anchor="_TOC_250007" w:history="1">
            <w:r>
              <w:t>组合结构、混合结构的研</w:t>
            </w:r>
            <w:r>
              <w:rPr>
                <w:spacing w:val="-10"/>
              </w:rPr>
              <w:t>究</w:t>
            </w:r>
            <w:r>
              <w:rPr>
                <w:rFonts w:ascii="Times New Roman" w:eastAsia="Times New Roman"/>
                <w:i w:val="0"/>
              </w:rPr>
              <w:tab/>
            </w:r>
            <w:r>
              <w:rPr>
                <w:rFonts w:ascii="Times New Roman" w:eastAsia="Times New Roman"/>
                <w:i w:val="0"/>
                <w:spacing w:val="-5"/>
              </w:rPr>
              <w:t>12</w:t>
            </w:r>
          </w:hyperlink>
        </w:p>
        <w:p>
          <w:pPr>
            <w:pStyle w:val="TOC5"/>
            <w:numPr>
              <w:ilvl w:val="1"/>
              <w:numId w:val="6"/>
            </w:numPr>
            <w:tabs>
              <w:tab w:val="left" w:pos="1267"/>
              <w:tab w:val="left" w:pos="1268"/>
              <w:tab w:val="left" w:leader="dot" w:pos="8513"/>
            </w:tabs>
            <w:spacing w:before="159" w:after="0" w:line="240" w:lineRule="auto"/>
            <w:ind w:left="1268" w:right="0" w:hanging="600"/>
            <w:jc w:val="left"/>
            <w:rPr>
              <w:rFonts w:ascii="Times New Roman" w:eastAsia="Times New Roman"/>
              <w:b w:val="0"/>
              <w:i w:val="0"/>
              <w:sz w:val="24"/>
            </w:rPr>
          </w:pPr>
          <w:hyperlink w:anchor="_TOC_250006" w:history="1">
            <w:r>
              <w:rPr>
                <w:b w:val="0"/>
                <w:sz w:val="24"/>
              </w:rPr>
              <w:t>对减振控制技术的研</w:t>
            </w:r>
            <w:r>
              <w:rPr>
                <w:b w:val="0"/>
                <w:spacing w:val="-10"/>
                <w:sz w:val="24"/>
              </w:rPr>
              <w:t>究</w:t>
            </w:r>
            <w:r>
              <w:rPr>
                <w:rFonts w:ascii="Times New Roman" w:eastAsia="Times New Roman"/>
                <w:b w:val="0"/>
                <w:i w:val="0"/>
                <w:sz w:val="24"/>
              </w:rPr>
              <w:tab/>
            </w:r>
            <w:r>
              <w:rPr>
                <w:rFonts w:ascii="Times New Roman" w:eastAsia="Times New Roman"/>
                <w:b w:val="0"/>
                <w:i w:val="0"/>
                <w:spacing w:val="-5"/>
                <w:sz w:val="24"/>
              </w:rPr>
              <w:t>12</w:t>
            </w:r>
          </w:hyperlink>
        </w:p>
        <w:p>
          <w:pPr>
            <w:pStyle w:val="TOC4"/>
            <w:numPr>
              <w:ilvl w:val="1"/>
              <w:numId w:val="6"/>
            </w:numPr>
            <w:tabs>
              <w:tab w:val="left" w:pos="1267"/>
              <w:tab w:val="left" w:pos="1268"/>
              <w:tab w:val="left" w:leader="dot" w:pos="8513"/>
            </w:tabs>
            <w:spacing w:before="160" w:after="0" w:line="240" w:lineRule="auto"/>
            <w:ind w:left="1268" w:right="0" w:hanging="600"/>
            <w:jc w:val="left"/>
            <w:rPr>
              <w:rFonts w:ascii="Times New Roman" w:eastAsia="Times New Roman"/>
              <w:i w:val="0"/>
            </w:rPr>
          </w:pPr>
          <w:hyperlink w:anchor="_TOC_250005" w:history="1">
            <w:r>
              <w:t>抗风及防火关键技术的研</w:t>
            </w:r>
            <w:r>
              <w:rPr>
                <w:spacing w:val="-10"/>
              </w:rPr>
              <w:t>究</w:t>
            </w:r>
            <w:r>
              <w:rPr>
                <w:rFonts w:ascii="Times New Roman" w:eastAsia="Times New Roman"/>
                <w:i w:val="0"/>
              </w:rPr>
              <w:tab/>
            </w:r>
            <w:r>
              <w:rPr>
                <w:rFonts w:ascii="Times New Roman" w:eastAsia="Times New Roman"/>
                <w:i w:val="0"/>
                <w:spacing w:val="-5"/>
              </w:rPr>
              <w:t>13</w:t>
            </w:r>
          </w:hyperlink>
        </w:p>
        <w:p>
          <w:pPr>
            <w:pStyle w:val="TOC4"/>
            <w:numPr>
              <w:ilvl w:val="1"/>
              <w:numId w:val="6"/>
            </w:numPr>
            <w:tabs>
              <w:tab w:val="left" w:pos="1267"/>
              <w:tab w:val="left" w:pos="1268"/>
              <w:tab w:val="left" w:leader="dot" w:pos="8512"/>
            </w:tabs>
            <w:spacing w:before="159" w:after="0" w:line="240" w:lineRule="auto"/>
            <w:ind w:left="1268" w:right="0" w:hanging="600"/>
            <w:jc w:val="left"/>
            <w:rPr>
              <w:rFonts w:ascii="Times New Roman" w:eastAsia="Times New Roman"/>
              <w:i w:val="0"/>
            </w:rPr>
          </w:pPr>
          <w:hyperlink w:anchor="_TOC_250004" w:history="1">
            <w:r>
              <w:t>对超高层建筑灾害监测预警与集成应用技术的研</w:t>
            </w:r>
            <w:r>
              <w:rPr>
                <w:spacing w:val="-10"/>
              </w:rPr>
              <w:t>究</w:t>
            </w:r>
            <w:r>
              <w:rPr>
                <w:rFonts w:ascii="Times New Roman" w:eastAsia="Times New Roman"/>
                <w:i w:val="0"/>
              </w:rPr>
              <w:tab/>
            </w:r>
            <w:r>
              <w:rPr>
                <w:rFonts w:ascii="Times New Roman" w:eastAsia="Times New Roman"/>
                <w:i w:val="0"/>
                <w:spacing w:val="-5"/>
              </w:rPr>
              <w:t>13</w:t>
            </w:r>
          </w:hyperlink>
        </w:p>
        <w:p>
          <w:pPr>
            <w:pStyle w:val="TOC5"/>
            <w:numPr>
              <w:ilvl w:val="1"/>
              <w:numId w:val="6"/>
            </w:numPr>
            <w:tabs>
              <w:tab w:val="left" w:pos="1267"/>
              <w:tab w:val="left" w:pos="1268"/>
              <w:tab w:val="left" w:leader="dot" w:pos="8513"/>
            </w:tabs>
            <w:spacing w:before="159" w:after="0" w:line="240" w:lineRule="auto"/>
            <w:ind w:left="1268" w:right="0" w:hanging="600"/>
            <w:jc w:val="left"/>
            <w:rPr>
              <w:rFonts w:ascii="Times New Roman" w:eastAsia="Times New Roman"/>
              <w:b w:val="0"/>
              <w:i w:val="0"/>
              <w:sz w:val="24"/>
            </w:rPr>
          </w:pPr>
          <w:hyperlink w:anchor="_TOC_250003" w:history="1">
            <w:r>
              <w:rPr>
                <w:b w:val="0"/>
                <w:sz w:val="24"/>
              </w:rPr>
              <w:t>开展城市防灾抗灾的研</w:t>
            </w:r>
            <w:r>
              <w:rPr>
                <w:b w:val="0"/>
                <w:spacing w:val="-10"/>
                <w:sz w:val="24"/>
              </w:rPr>
              <w:t>究</w:t>
            </w:r>
            <w:r>
              <w:rPr>
                <w:rFonts w:ascii="Times New Roman" w:eastAsia="Times New Roman"/>
                <w:b w:val="0"/>
                <w:i w:val="0"/>
                <w:sz w:val="24"/>
              </w:rPr>
              <w:tab/>
            </w:r>
            <w:r>
              <w:rPr>
                <w:rFonts w:ascii="Times New Roman" w:eastAsia="Times New Roman"/>
                <w:b w:val="0"/>
                <w:i w:val="0"/>
                <w:spacing w:val="-5"/>
                <w:sz w:val="24"/>
              </w:rPr>
              <w:t>13</w:t>
            </w:r>
          </w:hyperlink>
        </w:p>
        <w:p>
          <w:pPr>
            <w:pStyle w:val="TOC2"/>
            <w:numPr>
              <w:ilvl w:val="0"/>
              <w:numId w:val="6"/>
            </w:numPr>
            <w:tabs>
              <w:tab w:val="left" w:pos="607"/>
              <w:tab w:val="left" w:pos="608"/>
              <w:tab w:val="left" w:leader="dot" w:pos="8513"/>
            </w:tabs>
            <w:spacing w:before="160" w:after="0" w:line="240" w:lineRule="auto"/>
            <w:ind w:left="608" w:right="0" w:hanging="360"/>
            <w:jc w:val="left"/>
            <w:rPr>
              <w:rFonts w:ascii="Times New Roman" w:eastAsia="Times New Roman"/>
              <w:i w:val="0"/>
            </w:rPr>
          </w:pPr>
          <w:hyperlink w:anchor="_TOC_250002" w:history="1">
            <w:r>
              <w:t>上海金茂大厦高层结构的实</w:t>
            </w:r>
            <w:r>
              <w:rPr>
                <w:spacing w:val="-10"/>
              </w:rPr>
              <w:t>例</w:t>
            </w:r>
            <w:r>
              <w:rPr>
                <w:rFonts w:ascii="Times New Roman" w:eastAsia="Times New Roman"/>
                <w:i w:val="0"/>
              </w:rPr>
              <w:tab/>
            </w:r>
            <w:r>
              <w:rPr>
                <w:rFonts w:ascii="Times New Roman" w:eastAsia="Times New Roman"/>
                <w:i w:val="0"/>
                <w:spacing w:val="-5"/>
              </w:rPr>
              <w:t>14</w:t>
            </w:r>
          </w:hyperlink>
        </w:p>
        <w:p>
          <w:pPr>
            <w:pStyle w:val="TOC3"/>
            <w:numPr>
              <w:ilvl w:val="0"/>
              <w:numId w:val="6"/>
            </w:numPr>
            <w:tabs>
              <w:tab w:val="left" w:pos="607"/>
              <w:tab w:val="left" w:pos="608"/>
              <w:tab w:val="left" w:leader="dot" w:pos="8513"/>
            </w:tabs>
            <w:spacing w:before="159" w:after="0" w:line="240" w:lineRule="auto"/>
            <w:ind w:left="608" w:right="0" w:hanging="360"/>
            <w:jc w:val="left"/>
            <w:rPr>
              <w:rFonts w:ascii="Times New Roman" w:eastAsia="Times New Roman"/>
              <w:b w:val="0"/>
              <w:i w:val="0"/>
              <w:sz w:val="24"/>
            </w:rPr>
          </w:pPr>
          <w:hyperlink w:anchor="_TOC_250001" w:history="1">
            <w:r>
              <w:rPr>
                <w:b w:val="0"/>
                <w:sz w:val="24"/>
              </w:rPr>
              <w:t>结论与展</w:t>
            </w:r>
            <w:r>
              <w:rPr>
                <w:b w:val="0"/>
                <w:spacing w:val="-10"/>
                <w:sz w:val="24"/>
              </w:rPr>
              <w:t>望</w:t>
            </w:r>
            <w:r>
              <w:rPr>
                <w:rFonts w:ascii="Times New Roman" w:eastAsia="Times New Roman"/>
                <w:b w:val="0"/>
                <w:i w:val="0"/>
                <w:sz w:val="24"/>
              </w:rPr>
              <w:tab/>
            </w:r>
            <w:r>
              <w:rPr>
                <w:rFonts w:ascii="Times New Roman" w:eastAsia="Times New Roman"/>
                <w:b w:val="0"/>
                <w:i w:val="0"/>
                <w:spacing w:val="-5"/>
                <w:sz w:val="24"/>
              </w:rPr>
              <w:t>18</w:t>
            </w:r>
          </w:hyperlink>
        </w:p>
        <w:p>
          <w:pPr>
            <w:pStyle w:val="TOC1"/>
            <w:tabs>
              <w:tab w:val="left" w:leader="dot" w:pos="8265"/>
            </w:tabs>
            <w:rPr>
              <w:rFonts w:ascii="Times New Roman" w:eastAsia="Times New Roman"/>
              <w:b w:val="0"/>
              <w:i w:val="0"/>
              <w:sz w:val="24"/>
            </w:rPr>
          </w:pPr>
          <w:hyperlink w:anchor="_TOC_250000" w:history="1">
            <w:r>
              <w:rPr>
                <w:b w:val="0"/>
                <w:sz w:val="24"/>
              </w:rPr>
              <w:t>参考文</w:t>
            </w:r>
            <w:r>
              <w:rPr>
                <w:b w:val="0"/>
                <w:spacing w:val="-10"/>
                <w:sz w:val="24"/>
              </w:rPr>
              <w:t>献</w:t>
            </w:r>
            <w:r>
              <w:rPr>
                <w:rFonts w:ascii="Times New Roman" w:eastAsia="Times New Roman"/>
                <w:b w:val="0"/>
                <w:i w:val="0"/>
                <w:sz w:val="24"/>
              </w:rPr>
              <w:tab/>
            </w:r>
            <w:r>
              <w:rPr>
                <w:rFonts w:ascii="Times New Roman" w:eastAsia="Times New Roman"/>
                <w:b w:val="0"/>
                <w:i w:val="0"/>
                <w:spacing w:val="-5"/>
                <w:sz w:val="24"/>
              </w:rPr>
              <w:t>19</w:t>
            </w:r>
          </w:hyperlink>
        </w:p>
      </w:sdtContent>
    </w:sdt>
    <w:p>
      <w:pPr>
        <w:spacing w:after="0"/>
        <w:rPr>
          <w:rFonts w:ascii="Times New Roman" w:eastAsia="Times New Roman"/>
          <w:sz w:val="24"/>
        </w:rPr>
        <w:sectPr>
          <w:headerReference w:type="default" r:id="rId8"/>
          <w:footerReference w:type="default" r:id="rId9"/>
          <w:pgSz w:w="11910" w:h="16840"/>
          <w:pgMar w:top="1460" w:right="1120" w:bottom="1180" w:left="1680" w:header="879" w:footer="990"/>
          <w:pgNumType w:start="3"/>
          <w:cols w:space="708"/>
        </w:sectPr>
      </w:pPr>
    </w:p>
    <w:p>
      <w:pPr>
        <w:pStyle w:val="Heading1"/>
        <w:tabs>
          <w:tab w:val="left" w:pos="799"/>
        </w:tabs>
        <w:ind w:right="105" w:firstLine="0"/>
        <w:jc w:val="center"/>
      </w:pPr>
      <w:bookmarkStart w:id="1" w:name="_TOC_250024"/>
      <w:r>
        <w:rPr>
          <w:spacing w:val="-10"/>
        </w:rPr>
        <w:t>引</w:t>
      </w:r>
      <w:r>
        <w:tab/>
      </w:r>
      <w:bookmarkEnd w:id="1"/>
      <w:r>
        <w:rPr>
          <w:spacing w:val="-10"/>
        </w:rPr>
        <w:t>言</w:t>
      </w:r>
    </w:p>
    <w:p>
      <w:pPr>
        <w:pStyle w:val="BodyText"/>
        <w:spacing w:before="11"/>
        <w:rPr>
          <w:rFonts w:ascii="黑体"/>
          <w:sz w:val="42"/>
        </w:rPr>
      </w:pPr>
    </w:p>
    <w:p>
      <w:pPr>
        <w:pStyle w:val="BodyText"/>
        <w:spacing w:before="1" w:line="343" w:lineRule="auto"/>
        <w:ind w:left="248" w:right="352" w:firstLine="475"/>
        <w:jc w:val="both"/>
      </w:pPr>
      <w:r>
        <w:rPr>
          <w:spacing w:val="-2"/>
        </w:rPr>
        <w:t>新中国成立后，我国的高层基础工程也迅速发展。虽然对于高层建筑存在许</w:t>
      </w:r>
      <w:r>
        <w:rPr>
          <w:spacing w:val="-2"/>
        </w:rPr>
        <w:t>多争论，但由于人口不断增加，可利用土地资源不断减少，高层建筑并未停止它</w:t>
      </w:r>
      <w:r>
        <w:rPr>
          <w:spacing w:val="-2"/>
        </w:rPr>
        <w:t>前进的步伐，随着城市的发展,人口和资源的迅速聚集,高层建筑开始成为城市的</w:t>
      </w:r>
      <w:r>
        <w:rPr>
          <w:spacing w:val="-2"/>
        </w:rPr>
        <w:t>主流建筑。特别是在发展中国家，这一趋势更加明显。</w:t>
      </w:r>
    </w:p>
    <w:p>
      <w:pPr>
        <w:pStyle w:val="BodyText"/>
        <w:spacing w:before="1" w:line="343" w:lineRule="auto"/>
        <w:ind w:left="248" w:right="351" w:firstLine="475"/>
        <w:jc w:val="both"/>
      </w:pPr>
      <w:r>
        <w:rPr>
          <w:spacing w:val="5"/>
        </w:rPr>
        <w:t>随着时代的发展和发明创造的不断进步,我国建筑结构也随之向高层结构转</w:t>
      </w:r>
      <w:r>
        <w:rPr>
          <w:spacing w:val="-2"/>
        </w:rPr>
        <w:t>变和发展.为了满足人们对生活、居住环境的需要，高层建筑结构的产生也在逐渐</w:t>
      </w:r>
      <w:r>
        <w:rPr>
          <w:spacing w:val="-3"/>
        </w:rPr>
        <w:t>适应城镇化和现代工业化需求。在这样迅速的发展下，日新月异的科学技术,优质</w:t>
      </w:r>
      <w:r>
        <w:t>的建筑材料、自动化的电气控制设备应运而生,促进了高层建筑结构的发展,也对高层建筑结构的技术要求有了更进一步的细化。</w:t>
      </w:r>
    </w:p>
    <w:p>
      <w:pPr>
        <w:pStyle w:val="BodyText"/>
        <w:spacing w:before="1" w:line="343" w:lineRule="auto"/>
        <w:ind w:left="248" w:right="338" w:firstLine="475"/>
        <w:jc w:val="both"/>
      </w:pPr>
      <w:r>
        <w:rPr>
          <w:spacing w:val="-2"/>
        </w:rPr>
        <w:t>大量高层建筑的涌现，给我们带来了新的研究方向和课题。通过对建筑高度</w:t>
      </w:r>
      <w:r>
        <w:rPr>
          <w:spacing w:val="-2"/>
        </w:rPr>
        <w:t>发展过程的研究，可以看出古代建筑高度记录的保持者主要是服务于王权的高大</w:t>
      </w:r>
      <w:r>
        <w:rPr>
          <w:spacing w:val="-5"/>
        </w:rPr>
        <w:t xml:space="preserve">建筑，中世纪是寄托着人们信仰的宗教塔楼。比如古代埃及金字塔、建于公园 </w:t>
      </w:r>
      <w:r>
        <w:rPr>
          <w:spacing w:val="-4"/>
        </w:rPr>
        <w:t>523</w:t>
      </w:r>
      <w:r>
        <w:t>年的河南嵩岳寺砖塔，15</w:t>
      </w:r>
      <w:r>
        <w:rPr>
          <w:spacing w:val="-40"/>
        </w:rPr>
        <w:t xml:space="preserve"> 层 </w:t>
      </w:r>
      <w:r>
        <w:t>40M；</w:t>
      </w:r>
      <w:r>
        <w:rPr>
          <w:spacing w:val="-10"/>
        </w:rPr>
        <w:t xml:space="preserve">西安大雁塔 </w:t>
      </w:r>
      <w:r>
        <w:t>7</w:t>
      </w:r>
      <w:r>
        <w:rPr>
          <w:spacing w:val="-20"/>
        </w:rPr>
        <w:t xml:space="preserve"> 层高</w:t>
      </w:r>
      <w:r>
        <w:t>，64M；ft</w:t>
      </w:r>
      <w:r>
        <w:rPr>
          <w:spacing w:val="-10"/>
        </w:rPr>
        <w:t xml:space="preserve">西应县木塔 </w:t>
      </w:r>
      <w:r>
        <w:t>9</w:t>
      </w:r>
      <w:r>
        <w:rPr>
          <w:spacing w:val="-24"/>
        </w:rPr>
        <w:t xml:space="preserve"> 层，</w:t>
      </w:r>
    </w:p>
    <w:p>
      <w:pPr>
        <w:pStyle w:val="BodyText"/>
        <w:spacing w:before="1" w:line="343" w:lineRule="auto"/>
        <w:ind w:left="248" w:right="351"/>
        <w:jc w:val="both"/>
      </w:pPr>
      <w:r>
        <w:rPr>
          <w:spacing w:val="-4"/>
        </w:rPr>
        <w:t>67.31M</w:t>
      </w:r>
      <w:r>
        <w:rPr>
          <w:spacing w:val="-5"/>
        </w:rPr>
        <w:t xml:space="preserve"> 等等。而现在则是以经济利益为主导的实用型高层建筑。</w:t>
      </w:r>
      <w:r>
        <w:rPr>
          <w:spacing w:val="-4"/>
        </w:rPr>
        <w:t>1998</w:t>
      </w:r>
      <w:r>
        <w:rPr>
          <w:spacing w:val="-5"/>
        </w:rPr>
        <w:t xml:space="preserve"> 年建成的地</w:t>
      </w:r>
      <w:r>
        <w:rPr>
          <w:spacing w:val="-13"/>
        </w:rPr>
        <w:t xml:space="preserve">上 </w:t>
      </w:r>
      <w:r>
        <w:rPr>
          <w:spacing w:val="-8"/>
        </w:rPr>
        <w:t>88</w:t>
      </w:r>
      <w:r>
        <w:rPr>
          <w:spacing w:val="-12"/>
        </w:rPr>
        <w:t xml:space="preserve"> 层的金茂大厦，建筑高度 </w:t>
      </w:r>
      <w:r>
        <w:rPr>
          <w:spacing w:val="-8"/>
        </w:rPr>
        <w:t>420</w:t>
      </w:r>
      <w:r>
        <w:rPr>
          <w:spacing w:val="-15"/>
        </w:rPr>
        <w:t xml:space="preserve"> 余 </w:t>
      </w:r>
      <w:r>
        <w:rPr>
          <w:spacing w:val="-8"/>
        </w:rPr>
        <w:t>M</w:t>
      </w:r>
      <w:r>
        <w:rPr>
          <w:spacing w:val="-9"/>
        </w:rPr>
        <w:t xml:space="preserve">；陕西科技信息大厦为陕西第一高楼共 </w:t>
      </w:r>
      <w:r>
        <w:rPr>
          <w:spacing w:val="-8"/>
        </w:rPr>
        <w:t>5</w:t>
      </w:r>
      <w:r>
        <w:rPr>
          <w:spacing w:val="-8"/>
        </w:rPr>
        <w:t>4</w:t>
      </w:r>
      <w:r>
        <w:rPr>
          <w:spacing w:val="-9"/>
        </w:rPr>
        <w:t xml:space="preserve">层，总高 </w:t>
      </w:r>
      <w:r>
        <w:rPr>
          <w:spacing w:val="-4"/>
        </w:rPr>
        <w:t>210M</w:t>
      </w:r>
      <w:r>
        <w:rPr>
          <w:spacing w:val="-6"/>
        </w:rPr>
        <w:t xml:space="preserve">。国外高层建筑更是比比皆是：芝加哥 </w:t>
      </w:r>
      <w:r>
        <w:rPr>
          <w:spacing w:val="-4"/>
        </w:rPr>
        <w:t>John</w:t>
      </w:r>
      <w:r>
        <w:rPr>
          <w:spacing w:val="12"/>
        </w:rPr>
        <w:t xml:space="preserve"> </w:t>
      </w:r>
      <w:r>
        <w:rPr>
          <w:spacing w:val="-4"/>
        </w:rPr>
        <w:t>Hancock</w:t>
      </w:r>
      <w:r>
        <w:rPr>
          <w:spacing w:val="-16"/>
        </w:rPr>
        <w:t xml:space="preserve"> 大厦 </w:t>
      </w:r>
      <w:r>
        <w:rPr>
          <w:spacing w:val="-4"/>
        </w:rPr>
        <w:t>1970</w:t>
      </w:r>
      <w:r>
        <w:rPr>
          <w:spacing w:val="-15"/>
        </w:rPr>
        <w:t xml:space="preserve"> 年</w:t>
      </w:r>
      <w:r>
        <w:rPr>
          <w:spacing w:val="-8"/>
        </w:rPr>
        <w:t xml:space="preserve">建成，高 </w:t>
      </w:r>
      <w:r>
        <w:rPr>
          <w:spacing w:val="-2"/>
        </w:rPr>
        <w:t>332M，100</w:t>
      </w:r>
      <w:r>
        <w:rPr>
          <w:spacing w:val="-11"/>
        </w:rPr>
        <w:t xml:space="preserve"> 层；</w:t>
      </w:r>
      <w:r>
        <w:rPr>
          <w:spacing w:val="-2"/>
        </w:rPr>
        <w:t>828M</w:t>
      </w:r>
      <w:r>
        <w:rPr>
          <w:spacing w:val="-7"/>
        </w:rPr>
        <w:t xml:space="preserve"> 的迪拜塔等数不胜数。由此可见，高层建筑已经逐</w:t>
      </w:r>
      <w:r>
        <w:rPr>
          <w:spacing w:val="-2"/>
        </w:rPr>
        <w:t>渐成为建筑工业化的产物，是大都市的重要景观，可提供丰富的城市轮廓线。高</w:t>
      </w:r>
      <w:r>
        <w:rPr>
          <w:spacing w:val="-2"/>
        </w:rPr>
        <w:t>层只有在城市的滋润下才能较快地蓬勃发展，而城市的发展也依赖高层的支持！</w:t>
      </w:r>
    </w:p>
    <w:p>
      <w:pPr>
        <w:pStyle w:val="BodyText"/>
        <w:spacing w:before="2" w:line="343" w:lineRule="auto"/>
        <w:ind w:left="248" w:right="352" w:firstLine="480"/>
        <w:jc w:val="both"/>
      </w:pPr>
      <w:r>
        <w:rPr>
          <w:spacing w:val="-2"/>
        </w:rPr>
        <w:t>通过对目前高层建筑常用结构体系的介绍和分析，本文着重对高层建筑结构</w:t>
      </w:r>
      <w:r>
        <w:rPr>
          <w:spacing w:val="-2"/>
        </w:rPr>
        <w:t>体系和设计方法、减振控制技术、抗风防火控制技术、高层建筑危害监测预警以</w:t>
      </w:r>
      <w:r>
        <w:rPr>
          <w:spacing w:val="-2"/>
        </w:rPr>
        <w:t>及组合结构和混合结构进行了深入研究。阐明各类型高层结构体系的优缺点，学</w:t>
      </w:r>
      <w:r>
        <w:rPr>
          <w:spacing w:val="-2"/>
        </w:rPr>
        <w:t>习高层建筑的设计特点，为下一步高层结构体系的有效选用提供帮助。</w:t>
      </w:r>
    </w:p>
    <w:p>
      <w:pPr>
        <w:spacing w:after="0" w:line="343" w:lineRule="auto"/>
        <w:jc w:val="both"/>
        <w:sectPr>
          <w:headerReference w:type="default" r:id="rId10"/>
          <w:footerReference w:type="default" r:id="rId11"/>
          <w:pgSz w:w="11910" w:h="16840"/>
          <w:pgMar w:top="1460" w:right="1120" w:bottom="1160" w:left="1680" w:header="879" w:footer="965"/>
          <w:pgNumType w:start="3"/>
          <w:cols w:space="708"/>
        </w:sectPr>
      </w:pPr>
    </w:p>
    <w:p>
      <w:pPr>
        <w:pStyle w:val="Heading1"/>
        <w:numPr>
          <w:ilvl w:val="0"/>
          <w:numId w:val="4"/>
        </w:numPr>
        <w:tabs>
          <w:tab w:val="left" w:pos="4420"/>
          <w:tab w:val="left" w:pos="4421"/>
        </w:tabs>
        <w:spacing w:before="45" w:after="0" w:line="240" w:lineRule="auto"/>
        <w:ind w:left="4420" w:right="0" w:hanging="481"/>
        <w:jc w:val="left"/>
      </w:pPr>
      <w:bookmarkStart w:id="2" w:name="_TOC_250023"/>
      <w:bookmarkEnd w:id="2"/>
      <w:r>
        <w:rPr>
          <w:spacing w:val="-5"/>
        </w:rPr>
        <w:t>绪言</w:t>
      </w:r>
    </w:p>
    <w:p>
      <w:pPr>
        <w:pStyle w:val="BodyText"/>
        <w:spacing w:before="110" w:line="343" w:lineRule="auto"/>
        <w:ind w:left="248" w:right="352" w:firstLine="480"/>
        <w:jc w:val="both"/>
      </w:pPr>
      <w:r>
        <w:rPr>
          <w:spacing w:val="-2"/>
        </w:rPr>
        <w:t>随着我国城市人口的不断增加与密集，高层建筑的需求日益加大，开始成为</w:t>
      </w:r>
      <w:r>
        <w:rPr>
          <w:spacing w:val="-2"/>
        </w:rPr>
        <w:t>城市的主流建筑。当人们谈起举世闻名的摩天大楼时，往往和芝加哥、纽约这样</w:t>
      </w:r>
      <w:r>
        <w:rPr>
          <w:spacing w:val="-2"/>
        </w:rPr>
        <w:t>的国际大都市联系在一起，这足以说明高层建筑对城市社会形象的贡献。</w:t>
      </w:r>
    </w:p>
    <w:p>
      <w:pPr>
        <w:pStyle w:val="BodyText"/>
        <w:spacing w:before="1" w:line="343" w:lineRule="auto"/>
        <w:ind w:left="248" w:right="351" w:firstLine="480"/>
        <w:jc w:val="both"/>
      </w:pPr>
      <w:r>
        <w:rPr>
          <w:spacing w:val="-6"/>
        </w:rPr>
        <w:t>我国《高层建筑混凝土结构技术规程》规定：10</w:t>
      </w:r>
      <w:r>
        <w:rPr>
          <w:spacing w:val="-16"/>
        </w:rPr>
        <w:t xml:space="preserve"> 层及 </w:t>
      </w:r>
      <w:r>
        <w:rPr>
          <w:spacing w:val="-6"/>
        </w:rPr>
        <w:t>10</w:t>
      </w:r>
      <w:r>
        <w:rPr>
          <w:spacing w:val="-10"/>
        </w:rPr>
        <w:t xml:space="preserve"> 层以上或房屋高度超</w:t>
      </w:r>
      <w:r>
        <w:rPr>
          <w:spacing w:val="-13"/>
        </w:rPr>
        <w:t xml:space="preserve">过 </w:t>
      </w:r>
      <w:r>
        <w:rPr>
          <w:spacing w:val="-2"/>
        </w:rPr>
        <w:t>28M</w:t>
      </w:r>
      <w:r>
        <w:rPr>
          <w:spacing w:val="-9"/>
        </w:rPr>
        <w:t xml:space="preserve"> 的住宅建筑和高度大于 </w:t>
      </w:r>
      <w:r>
        <w:rPr>
          <w:spacing w:val="-2"/>
        </w:rPr>
        <w:t>24M</w:t>
      </w:r>
      <w:r>
        <w:rPr>
          <w:spacing w:val="-7"/>
        </w:rPr>
        <w:t xml:space="preserve"> 的其他民用建筑结构为高层建筑。建筑物高度</w:t>
      </w:r>
      <w:r>
        <w:rPr>
          <w:spacing w:val="-7"/>
        </w:rPr>
        <w:t xml:space="preserve">超过 </w:t>
      </w:r>
      <w:r>
        <w:rPr>
          <w:spacing w:val="-4"/>
        </w:rPr>
        <w:t>100M</w:t>
      </w:r>
      <w:r>
        <w:rPr>
          <w:spacing w:val="-7"/>
        </w:rPr>
        <w:t xml:space="preserve"> 时，不论住宅建筑或公共建筑，均为超高层建筑。因高层建筑高度标准</w:t>
      </w:r>
      <w:r>
        <w:rPr>
          <w:spacing w:val="-2"/>
        </w:rPr>
        <w:t>与不同地区的地理环境、建筑材料、地震强度、建筑技术以及电梯的设置标准等</w:t>
      </w:r>
      <w:r>
        <w:rPr>
          <w:spacing w:val="-1"/>
        </w:rPr>
        <w:t xml:space="preserve">诸多因素有关，所以各国对高层建筑的规定也不尽相同。日本将高度为 </w:t>
      </w:r>
      <w:r>
        <w:t>31M</w:t>
      </w:r>
      <w:r>
        <w:rPr>
          <w:spacing w:val="-12"/>
        </w:rPr>
        <w:t xml:space="preserve"> 或 </w:t>
      </w:r>
      <w:r>
        <w:t>8</w:t>
      </w:r>
      <w:r>
        <w:rPr>
          <w:spacing w:val="-4"/>
        </w:rPr>
        <w:t xml:space="preserve">层以上视为高层建筑；美国则将高度在 </w:t>
      </w:r>
      <w:r>
        <w:rPr>
          <w:spacing w:val="-2"/>
        </w:rPr>
        <w:t>24.6M</w:t>
      </w:r>
      <w:r>
        <w:rPr>
          <w:spacing w:val="-18"/>
        </w:rPr>
        <w:t xml:space="preserve"> 或 </w:t>
      </w:r>
      <w:r>
        <w:rPr>
          <w:spacing w:val="-2"/>
        </w:rPr>
        <w:t>7</w:t>
      </w:r>
      <w:r>
        <w:rPr>
          <w:spacing w:val="-7"/>
        </w:rPr>
        <w:t xml:space="preserve"> 层以上的建筑视为高层建筑；</w:t>
      </w:r>
      <w:r>
        <w:rPr>
          <w:spacing w:val="-8"/>
        </w:rPr>
        <w:t xml:space="preserve">英国为等于或大于 </w:t>
      </w:r>
      <w:r>
        <w:rPr>
          <w:spacing w:val="-6"/>
        </w:rPr>
        <w:t>24.3M</w:t>
      </w:r>
      <w:r>
        <w:rPr>
          <w:spacing w:val="-22"/>
        </w:rPr>
        <w:t xml:space="preserve">。我国一般 </w:t>
      </w:r>
      <w:r>
        <w:rPr>
          <w:spacing w:val="-6"/>
        </w:rPr>
        <w:t>8</w:t>
      </w:r>
      <w:r>
        <w:rPr>
          <w:spacing w:val="-11"/>
        </w:rPr>
        <w:t xml:space="preserve"> 层以上的房屋就需要设置电梯,对 </w:t>
      </w:r>
      <w:r>
        <w:rPr>
          <w:spacing w:val="-6"/>
        </w:rPr>
        <w:t>10</w:t>
      </w:r>
      <w:r>
        <w:rPr>
          <w:spacing w:val="-11"/>
        </w:rPr>
        <w:t xml:space="preserve"> 层以上</w:t>
      </w:r>
      <w:r>
        <w:rPr>
          <w:spacing w:val="-2"/>
        </w:rPr>
        <w:t>的房屋就有提出特殊的防火要求的防火规范。高层建筑是社会生产的需求和人类</w:t>
      </w:r>
      <w:r>
        <w:rPr>
          <w:spacing w:val="-2"/>
        </w:rPr>
        <w:t>生活需求的产物，是现代化、商业化的必然产物。</w:t>
      </w:r>
    </w:p>
    <w:p>
      <w:pPr>
        <w:pStyle w:val="BodyText"/>
        <w:spacing w:before="2" w:line="343" w:lineRule="auto"/>
        <w:ind w:left="248" w:right="351" w:firstLine="480"/>
        <w:jc w:val="both"/>
      </w:pPr>
      <w:r>
        <w:rPr>
          <w:spacing w:val="-8"/>
        </w:rPr>
        <w:t xml:space="preserve">我国近代高层建筑起源于本世纪 </w:t>
      </w:r>
      <w:r>
        <w:rPr>
          <w:spacing w:val="-6"/>
        </w:rPr>
        <w:t>20</w:t>
      </w:r>
      <w:r>
        <w:rPr>
          <w:spacing w:val="-10"/>
        </w:rPr>
        <w:t xml:space="preserve"> 年代的上海，</w:t>
      </w:r>
      <w:r>
        <w:rPr>
          <w:spacing w:val="-6"/>
        </w:rPr>
        <w:t>1934</w:t>
      </w:r>
      <w:r>
        <w:rPr>
          <w:spacing w:val="-10"/>
        </w:rPr>
        <w:t xml:space="preserve"> 年建成的上海国际饭店</w:t>
      </w:r>
      <w:r>
        <w:rPr>
          <w:spacing w:val="-15"/>
        </w:rPr>
        <w:t xml:space="preserve">高 </w:t>
      </w:r>
      <w:r>
        <w:rPr>
          <w:spacing w:val="-4"/>
        </w:rPr>
        <w:t>82M，22</w:t>
      </w:r>
      <w:r>
        <w:rPr>
          <w:spacing w:val="-12"/>
        </w:rPr>
        <w:t xml:space="preserve"> 层；</w:t>
      </w:r>
      <w:r>
        <w:rPr>
          <w:spacing w:val="-4"/>
        </w:rPr>
        <w:t>1968</w:t>
      </w:r>
      <w:r>
        <w:rPr>
          <w:spacing w:val="-11"/>
        </w:rPr>
        <w:t xml:space="preserve"> 年建成的广州宾馆高 </w:t>
      </w:r>
      <w:r>
        <w:rPr>
          <w:spacing w:val="-4"/>
        </w:rPr>
        <w:t>87M，27</w:t>
      </w:r>
      <w:r>
        <w:rPr>
          <w:spacing w:val="-9"/>
        </w:rPr>
        <w:t xml:space="preserve"> 层，截止抗日战争爆发，建成</w:t>
      </w:r>
      <w:r>
        <w:rPr>
          <w:spacing w:val="-13"/>
        </w:rPr>
        <w:t xml:space="preserve">的 </w:t>
      </w:r>
      <w:r>
        <w:rPr>
          <w:spacing w:val="-4"/>
        </w:rPr>
        <w:t>8</w:t>
      </w:r>
      <w:r>
        <w:rPr>
          <w:spacing w:val="-10"/>
        </w:rPr>
        <w:t xml:space="preserve"> 层以上公寓、旅馆、办公楼约 </w:t>
      </w:r>
      <w:r>
        <w:rPr>
          <w:spacing w:val="-4"/>
        </w:rPr>
        <w:t>95</w:t>
      </w:r>
      <w:r>
        <w:rPr>
          <w:spacing w:val="-11"/>
        </w:rPr>
        <w:t xml:space="preserve"> 栋。我国第一栋超过 </w:t>
      </w:r>
      <w:r>
        <w:rPr>
          <w:spacing w:val="-4"/>
        </w:rPr>
        <w:t>100M</w:t>
      </w:r>
      <w:r>
        <w:rPr>
          <w:spacing w:val="-9"/>
        </w:rPr>
        <w:t xml:space="preserve"> 高度的超高建筑</w:t>
      </w:r>
      <w:r>
        <w:rPr>
          <w:spacing w:val="-11"/>
        </w:rPr>
        <w:t xml:space="preserve">是 </w:t>
      </w:r>
      <w:r>
        <w:t>1976</w:t>
      </w:r>
      <w:r>
        <w:rPr>
          <w:spacing w:val="-7"/>
        </w:rPr>
        <w:t xml:space="preserve"> 年建成的广州的白云宾馆，高 </w:t>
      </w:r>
      <w:r>
        <w:t>112M，33</w:t>
      </w:r>
      <w:r>
        <w:rPr>
          <w:spacing w:val="-8"/>
        </w:rPr>
        <w:t xml:space="preserve"> 层。</w:t>
      </w:r>
    </w:p>
    <w:p>
      <w:pPr>
        <w:pStyle w:val="BodyText"/>
        <w:spacing w:before="1" w:line="343" w:lineRule="auto"/>
        <w:ind w:left="248" w:right="231" w:firstLine="480"/>
      </w:pPr>
      <w:r>
        <w:rPr>
          <w:spacing w:val="2"/>
        </w:rPr>
        <w:t>随着科技的不断进步，高新材料的应用，自动化、电气化建设在建筑中的实</w:t>
      </w:r>
      <w:r>
        <w:rPr>
          <w:spacing w:val="-5"/>
        </w:rPr>
        <w:t>现，为高层建筑的长远发展提供了基础与条件。本文着重论述了高层建筑的概况、</w:t>
      </w:r>
      <w:r>
        <w:t>现状、存在问题及今后的发展趋势。</w:t>
      </w:r>
    </w:p>
    <w:p>
      <w:pPr>
        <w:spacing w:after="0" w:line="343" w:lineRule="auto"/>
        <w:sectPr>
          <w:headerReference w:type="default" r:id="rId12"/>
          <w:footerReference w:type="default" r:id="rId13"/>
          <w:pgSz w:w="11910" w:h="16840"/>
          <w:pgMar w:top="1460" w:right="1120" w:bottom="1160" w:left="1680" w:header="879" w:footer="965"/>
          <w:pgNumType w:start="4"/>
          <w:cols w:space="708"/>
        </w:sectPr>
      </w:pPr>
    </w:p>
    <w:p>
      <w:pPr>
        <w:pStyle w:val="Heading1"/>
        <w:numPr>
          <w:ilvl w:val="0"/>
          <w:numId w:val="4"/>
        </w:numPr>
        <w:tabs>
          <w:tab w:val="left" w:pos="4100"/>
          <w:tab w:val="left" w:pos="4101"/>
        </w:tabs>
        <w:spacing w:before="45" w:after="0" w:line="240" w:lineRule="auto"/>
        <w:ind w:left="4100" w:right="0" w:hanging="481"/>
        <w:jc w:val="left"/>
      </w:pPr>
      <w:bookmarkStart w:id="3" w:name="_TOC_250022"/>
      <w:bookmarkEnd w:id="3"/>
      <w:r>
        <w:rPr>
          <w:spacing w:val="-3"/>
        </w:rPr>
        <w:t>发展现状</w:t>
      </w:r>
    </w:p>
    <w:p>
      <w:pPr>
        <w:pStyle w:val="BodyText"/>
        <w:spacing w:before="110" w:line="343" w:lineRule="auto"/>
        <w:ind w:left="248" w:right="352" w:firstLine="480"/>
        <w:jc w:val="both"/>
      </w:pPr>
      <w:r>
        <w:rPr>
          <w:spacing w:val="-2"/>
        </w:rPr>
        <w:t>高层建筑的建设，是技术进步的体现，也是社会经济发展、改善人民生活条</w:t>
      </w:r>
      <w:r>
        <w:rPr>
          <w:spacing w:val="-2"/>
        </w:rPr>
        <w:t>件的需要，因此，加强高层建筑结构的研究，提高高层建筑结构的安全性和经济</w:t>
      </w:r>
      <w:r>
        <w:rPr>
          <w:spacing w:val="-2"/>
        </w:rPr>
        <w:t>性，是建筑结构领域发展的重要方向。</w:t>
      </w:r>
    </w:p>
    <w:p>
      <w:pPr>
        <w:pStyle w:val="Heading2"/>
        <w:numPr>
          <w:ilvl w:val="1"/>
          <w:numId w:val="4"/>
        </w:numPr>
        <w:tabs>
          <w:tab w:val="left" w:pos="947"/>
          <w:tab w:val="left" w:pos="948"/>
        </w:tabs>
        <w:spacing w:before="0" w:after="0" w:line="320" w:lineRule="exact"/>
        <w:ind w:left="948" w:right="0" w:hanging="700"/>
        <w:jc w:val="left"/>
      </w:pPr>
      <w:bookmarkStart w:id="4" w:name="_TOC_250021"/>
      <w:bookmarkEnd w:id="4"/>
      <w:r>
        <w:rPr>
          <w:spacing w:val="-2"/>
        </w:rPr>
        <w:t>高层建筑的发展特点</w:t>
      </w:r>
    </w:p>
    <w:p>
      <w:pPr>
        <w:pStyle w:val="BodyText"/>
        <w:spacing w:before="7"/>
        <w:rPr>
          <w:rFonts w:ascii="黑体"/>
          <w:sz w:val="23"/>
        </w:rPr>
      </w:pPr>
    </w:p>
    <w:p>
      <w:pPr>
        <w:pStyle w:val="Heading3"/>
        <w:numPr>
          <w:ilvl w:val="2"/>
          <w:numId w:val="4"/>
        </w:numPr>
        <w:tabs>
          <w:tab w:val="left" w:pos="1092"/>
          <w:tab w:val="left" w:pos="1093"/>
        </w:tabs>
        <w:spacing w:before="0" w:after="0" w:line="240" w:lineRule="auto"/>
        <w:ind w:left="1092" w:right="0" w:hanging="845"/>
        <w:jc w:val="left"/>
      </w:pPr>
      <w:bookmarkStart w:id="5" w:name="_TOC_250020"/>
      <w:bookmarkEnd w:id="5"/>
      <w:r>
        <w:rPr>
          <w:spacing w:val="-1"/>
        </w:rPr>
        <w:t>高层建筑发展迅速，数量多，分布广</w:t>
      </w:r>
    </w:p>
    <w:p>
      <w:pPr>
        <w:pStyle w:val="BodyText"/>
        <w:spacing w:before="7"/>
        <w:rPr>
          <w:rFonts w:ascii="Microsoft JhengHei"/>
          <w:b/>
          <w:sz w:val="18"/>
        </w:rPr>
      </w:pPr>
    </w:p>
    <w:p>
      <w:pPr>
        <w:pStyle w:val="BodyText"/>
        <w:spacing w:line="343" w:lineRule="auto"/>
        <w:ind w:left="248" w:right="351" w:firstLine="480"/>
      </w:pPr>
      <w:r>
        <w:rPr>
          <w:color w:val="333333"/>
          <w:spacing w:val="-2"/>
        </w:rPr>
        <w:t>中国《高层建筑混凝土结构技术规程》</w:t>
      </w:r>
      <w:r>
        <w:rPr>
          <w:color w:val="333333"/>
          <w:spacing w:val="-2"/>
          <w:vertAlign w:val="superscript"/>
        </w:rPr>
        <w:t>[1]</w:t>
      </w:r>
      <w:r>
        <w:rPr>
          <w:color w:val="333333"/>
          <w:spacing w:val="-2"/>
          <w:vertAlign w:val="baseline"/>
        </w:rPr>
        <w:t>规定：10</w:t>
      </w:r>
      <w:r>
        <w:rPr>
          <w:color w:val="333333"/>
          <w:spacing w:val="-28"/>
          <w:vertAlign w:val="baseline"/>
        </w:rPr>
        <w:t xml:space="preserve"> 层及 </w:t>
      </w:r>
      <w:r>
        <w:rPr>
          <w:color w:val="333333"/>
          <w:spacing w:val="-2"/>
          <w:vertAlign w:val="baseline"/>
        </w:rPr>
        <w:t>10</w:t>
      </w:r>
      <w:r>
        <w:rPr>
          <w:color w:val="333333"/>
          <w:spacing w:val="-10"/>
          <w:vertAlign w:val="baseline"/>
        </w:rPr>
        <w:t xml:space="preserve"> 层以上或房屋高度</w:t>
      </w:r>
      <w:r>
        <w:rPr>
          <w:color w:val="333333"/>
          <w:spacing w:val="-15"/>
          <w:vertAlign w:val="baseline"/>
        </w:rPr>
        <w:t xml:space="preserve">超过 </w:t>
      </w:r>
      <w:r>
        <w:rPr>
          <w:color w:val="333333"/>
          <w:vertAlign w:val="baseline"/>
        </w:rPr>
        <w:t>28M</w:t>
      </w:r>
      <w:r>
        <w:rPr>
          <w:color w:val="333333"/>
          <w:spacing w:val="-10"/>
          <w:vertAlign w:val="baseline"/>
        </w:rPr>
        <w:t xml:space="preserve"> 的住宅建筑和高度大于 </w:t>
      </w:r>
      <w:r>
        <w:rPr>
          <w:color w:val="333333"/>
          <w:vertAlign w:val="baseline"/>
        </w:rPr>
        <w:t>24M</w:t>
      </w:r>
      <w:r>
        <w:rPr>
          <w:color w:val="333333"/>
          <w:spacing w:val="-7"/>
          <w:vertAlign w:val="baseline"/>
        </w:rPr>
        <w:t xml:space="preserve"> 的其它民用建筑结构为高层建筑。美国规定</w:t>
      </w:r>
      <w:r>
        <w:rPr>
          <w:color w:val="333333"/>
          <w:vertAlign w:val="baseline"/>
        </w:rPr>
        <w:t xml:space="preserve"> </w:t>
      </w:r>
      <w:r>
        <w:rPr>
          <w:color w:val="333333"/>
          <w:spacing w:val="-2"/>
          <w:vertAlign w:val="baseline"/>
        </w:rPr>
        <w:t>22-25M</w:t>
      </w:r>
      <w:r>
        <w:rPr>
          <w:color w:val="333333"/>
          <w:spacing w:val="-26"/>
          <w:vertAlign w:val="baseline"/>
        </w:rPr>
        <w:t xml:space="preserve"> 以上或 </w:t>
      </w:r>
      <w:r>
        <w:rPr>
          <w:color w:val="333333"/>
          <w:spacing w:val="-2"/>
          <w:vertAlign w:val="baseline"/>
        </w:rPr>
        <w:t>7</w:t>
      </w:r>
      <w:r>
        <w:rPr>
          <w:color w:val="333333"/>
          <w:spacing w:val="-10"/>
          <w:vertAlign w:val="baseline"/>
        </w:rPr>
        <w:t xml:space="preserve"> 层以上的建筑物为高层建筑；日本规定</w:t>
      </w:r>
      <w:r>
        <w:rPr>
          <w:color w:val="333333"/>
          <w:spacing w:val="-2"/>
          <w:vertAlign w:val="baseline"/>
        </w:rPr>
        <w:t>，8</w:t>
      </w:r>
      <w:r>
        <w:rPr>
          <w:color w:val="333333"/>
          <w:spacing w:val="-15"/>
          <w:vertAlign w:val="baseline"/>
        </w:rPr>
        <w:t xml:space="preserve"> 层以上或高度超过 </w:t>
      </w:r>
      <w:r>
        <w:rPr>
          <w:color w:val="333333"/>
          <w:spacing w:val="-2"/>
          <w:vertAlign w:val="baseline"/>
        </w:rPr>
        <w:t>31</w:t>
      </w:r>
      <w:r>
        <w:rPr>
          <w:color w:val="333333"/>
          <w:spacing w:val="-2"/>
          <w:vertAlign w:val="baseline"/>
        </w:rPr>
        <w:t>M</w:t>
      </w:r>
      <w:r>
        <w:rPr>
          <w:color w:val="333333"/>
          <w:spacing w:val="-4"/>
          <w:vertAlign w:val="baseline"/>
        </w:rPr>
        <w:t>视为高层建筑，30</w:t>
      </w:r>
      <w:r>
        <w:rPr>
          <w:color w:val="333333"/>
          <w:spacing w:val="-14"/>
          <w:vertAlign w:val="baseline"/>
        </w:rPr>
        <w:t xml:space="preserve"> 层以上的办公楼、旅馆和 </w:t>
      </w:r>
      <w:r>
        <w:rPr>
          <w:color w:val="333333"/>
          <w:spacing w:val="-4"/>
          <w:vertAlign w:val="baseline"/>
        </w:rPr>
        <w:t>20</w:t>
      </w:r>
      <w:r>
        <w:rPr>
          <w:color w:val="333333"/>
          <w:spacing w:val="-11"/>
          <w:vertAlign w:val="baseline"/>
        </w:rPr>
        <w:t xml:space="preserve"> 层以上的住宅为超高层建筑；英国</w:t>
      </w:r>
      <w:r>
        <w:rPr>
          <w:color w:val="333333"/>
          <w:spacing w:val="-10"/>
          <w:vertAlign w:val="baseline"/>
        </w:rPr>
        <w:t xml:space="preserve">将等于或大于 </w:t>
      </w:r>
      <w:r>
        <w:rPr>
          <w:color w:val="333333"/>
          <w:spacing w:val="-4"/>
          <w:vertAlign w:val="baseline"/>
        </w:rPr>
        <w:t>24.3M</w:t>
      </w:r>
      <w:r>
        <w:rPr>
          <w:color w:val="333333"/>
          <w:spacing w:val="-13"/>
          <w:vertAlign w:val="baseline"/>
        </w:rPr>
        <w:t xml:space="preserve"> 的建筑视为高层建筑。所谓高层建筑是指，建筑高度大于 </w:t>
      </w:r>
      <w:r>
        <w:rPr>
          <w:color w:val="333333"/>
          <w:spacing w:val="-4"/>
          <w:vertAlign w:val="baseline"/>
        </w:rPr>
        <w:t>27M</w:t>
      </w:r>
      <w:r>
        <w:rPr>
          <w:color w:val="333333"/>
          <w:spacing w:val="-2"/>
          <w:vertAlign w:val="baseline"/>
        </w:rPr>
        <w:t xml:space="preserve">的住宅和建筑高度大于 </w:t>
      </w:r>
      <w:r>
        <w:rPr>
          <w:color w:val="333333"/>
          <w:vertAlign w:val="baseline"/>
        </w:rPr>
        <w:t>24M</w:t>
      </w:r>
      <w:r>
        <w:rPr>
          <w:color w:val="333333"/>
          <w:spacing w:val="-5"/>
          <w:vertAlign w:val="baseline"/>
        </w:rPr>
        <w:t xml:space="preserve"> 的非单层厂房、仓库和其他民用建筑。</w:t>
      </w:r>
    </w:p>
    <w:p>
      <w:pPr>
        <w:pStyle w:val="BodyText"/>
        <w:spacing w:before="2" w:line="343" w:lineRule="auto"/>
        <w:ind w:left="248" w:right="351" w:firstLine="480"/>
        <w:jc w:val="both"/>
      </w:pPr>
      <w:r>
        <w:rPr>
          <w:color w:val="333333"/>
        </w:rPr>
        <w:t>随着经济的不断发展，高层建筑在我国的发展速度非常惊人。中国连续第 9</w:t>
      </w:r>
      <w:r>
        <w:rPr>
          <w:color w:val="333333"/>
          <w:spacing w:val="-8"/>
        </w:rPr>
        <w:t xml:space="preserve">年拥有最多的 </w:t>
      </w:r>
      <w:r>
        <w:rPr>
          <w:color w:val="333333"/>
          <w:spacing w:val="-4"/>
        </w:rPr>
        <w:t>200M</w:t>
      </w:r>
      <w:r>
        <w:rPr>
          <w:color w:val="333333"/>
          <w:spacing w:val="-9"/>
        </w:rPr>
        <w:t xml:space="preserve"> 及以上竣工建筑，</w:t>
      </w:r>
      <w:r>
        <w:rPr>
          <w:color w:val="333333"/>
          <w:spacing w:val="-4"/>
        </w:rPr>
        <w:t>2016</w:t>
      </w:r>
      <w:r>
        <w:rPr>
          <w:color w:val="333333"/>
          <w:spacing w:val="-12"/>
        </w:rPr>
        <w:t xml:space="preserve"> 年更是以 </w:t>
      </w:r>
      <w:r>
        <w:rPr>
          <w:color w:val="333333"/>
          <w:spacing w:val="-4"/>
        </w:rPr>
        <w:t>84</w:t>
      </w:r>
      <w:r>
        <w:rPr>
          <w:color w:val="333333"/>
          <w:spacing w:val="-9"/>
        </w:rPr>
        <w:t xml:space="preserve"> 座的数量占全球竣工总量</w:t>
      </w:r>
      <w:r>
        <w:rPr>
          <w:color w:val="333333"/>
          <w:spacing w:val="-13"/>
        </w:rPr>
        <w:t xml:space="preserve">的 </w:t>
      </w:r>
      <w:r>
        <w:rPr>
          <w:color w:val="333333"/>
          <w:spacing w:val="-4"/>
        </w:rPr>
        <w:t>67%。这标志着中国所有城市已经进入相当繁荣的发展，高层建筑的发展也应运</w:t>
      </w:r>
      <w:r>
        <w:rPr>
          <w:color w:val="333333"/>
          <w:spacing w:val="-4"/>
        </w:rPr>
        <w:t>而生。</w:t>
      </w:r>
    </w:p>
    <w:p>
      <w:pPr>
        <w:pStyle w:val="Heading3"/>
        <w:numPr>
          <w:ilvl w:val="2"/>
          <w:numId w:val="4"/>
        </w:numPr>
        <w:tabs>
          <w:tab w:val="left" w:pos="1092"/>
          <w:tab w:val="left" w:pos="1093"/>
        </w:tabs>
        <w:spacing w:before="181" w:after="0" w:line="240" w:lineRule="auto"/>
        <w:ind w:left="1092" w:right="0" w:hanging="845"/>
        <w:jc w:val="left"/>
      </w:pPr>
      <w:bookmarkStart w:id="6" w:name="_TOC_250019"/>
      <w:bookmarkEnd w:id="6"/>
      <w:r>
        <w:rPr>
          <w:spacing w:val="-1"/>
        </w:rPr>
        <w:t>建筑高度不断增加，超高层建筑以混合结构、组合结构为主</w:t>
      </w:r>
    </w:p>
    <w:p>
      <w:pPr>
        <w:pStyle w:val="BodyText"/>
        <w:spacing w:before="7"/>
        <w:rPr>
          <w:rFonts w:ascii="Microsoft JhengHei"/>
          <w:b/>
          <w:sz w:val="18"/>
        </w:rPr>
      </w:pPr>
    </w:p>
    <w:p>
      <w:pPr>
        <w:pStyle w:val="BodyText"/>
        <w:spacing w:line="343" w:lineRule="auto"/>
        <w:ind w:left="248" w:right="278" w:firstLine="480"/>
        <w:jc w:val="both"/>
      </w:pPr>
      <w:r>
        <w:rPr>
          <w:color w:val="333333"/>
          <w:spacing w:val="2"/>
        </w:rPr>
        <w:t>“没有最高，只有更高”。如今，在世界各地范围内的建筑日趋激烈，我们</w:t>
      </w:r>
      <w:r>
        <w:rPr>
          <w:color w:val="333333"/>
          <w:spacing w:val="1"/>
        </w:rPr>
        <w:t>已真正进入到了一个空前的高层建筑修造的年代。高层建筑的发展更加迅猛，建筑高度也不断增加。世界上第一幢近代高层建筑是芝加哥家庭保险公司大厦，建</w:t>
      </w:r>
      <w:r>
        <w:rPr>
          <w:color w:val="333333"/>
          <w:spacing w:val="-30"/>
        </w:rPr>
        <w:t xml:space="preserve">于 </w:t>
      </w:r>
      <w:r>
        <w:rPr>
          <w:color w:val="333333"/>
        </w:rPr>
        <w:t>1883-1885</w:t>
      </w:r>
      <w:r>
        <w:rPr>
          <w:color w:val="333333"/>
          <w:spacing w:val="-40"/>
        </w:rPr>
        <w:t xml:space="preserve"> 年，共 </w:t>
      </w:r>
      <w:r>
        <w:rPr>
          <w:color w:val="333333"/>
        </w:rPr>
        <w:t>10</w:t>
      </w:r>
      <w:r>
        <w:rPr>
          <w:color w:val="333333"/>
          <w:spacing w:val="-68"/>
        </w:rPr>
        <w:t xml:space="preserve"> 层</w:t>
      </w:r>
      <w:r>
        <w:rPr>
          <w:color w:val="333333"/>
        </w:rPr>
        <w:t>（90</w:t>
      </w:r>
      <w:r>
        <w:rPr>
          <w:color w:val="333333"/>
          <w:spacing w:val="-24"/>
        </w:rPr>
        <w:t xml:space="preserve"> 年加至 </w:t>
      </w:r>
      <w:r>
        <w:rPr>
          <w:color w:val="333333"/>
        </w:rPr>
        <w:t>12</w:t>
      </w:r>
      <w:r>
        <w:rPr>
          <w:color w:val="333333"/>
          <w:spacing w:val="-30"/>
        </w:rPr>
        <w:t xml:space="preserve"> 层</w:t>
      </w:r>
      <w:r>
        <w:rPr>
          <w:color w:val="333333"/>
          <w:spacing w:val="-75"/>
        </w:rPr>
        <w:t>）</w:t>
      </w:r>
      <w:r>
        <w:rPr>
          <w:color w:val="333333"/>
          <w:spacing w:val="-30"/>
        </w:rPr>
        <w:t xml:space="preserve">高 </w:t>
      </w:r>
      <w:r>
        <w:rPr>
          <w:color w:val="333333"/>
        </w:rPr>
        <w:t>55M</w:t>
      </w:r>
      <w:r>
        <w:rPr>
          <w:color w:val="333333"/>
          <w:spacing w:val="-15"/>
        </w:rPr>
        <w:t>，采用砖墙和铁柱结构体系</w:t>
      </w:r>
      <w:r>
        <w:rPr>
          <w:color w:val="333333"/>
        </w:rPr>
        <w:t>（詹</w:t>
      </w:r>
      <w:r>
        <w:rPr>
          <w:color w:val="333333"/>
          <w:spacing w:val="-7"/>
        </w:rPr>
        <w:t>尼设计，</w:t>
      </w:r>
      <w:r>
        <w:rPr>
          <w:color w:val="333333"/>
        </w:rPr>
        <w:t>1931</w:t>
      </w:r>
      <w:r>
        <w:rPr>
          <w:color w:val="333333"/>
          <w:spacing w:val="-12"/>
        </w:rPr>
        <w:t xml:space="preserve"> 年被拆除</w:t>
      </w:r>
      <w:r>
        <w:rPr>
          <w:color w:val="333333"/>
        </w:rPr>
        <w:t>）</w:t>
      </w:r>
      <w:r>
        <w:rPr>
          <w:color w:val="333333"/>
          <w:spacing w:val="-25"/>
        </w:rPr>
        <w:t>。</w:t>
      </w:r>
      <w:r>
        <w:rPr>
          <w:color w:val="333333"/>
        </w:rPr>
        <w:t>19</w:t>
      </w:r>
      <w:r>
        <w:rPr>
          <w:color w:val="333333"/>
          <w:spacing w:val="-9"/>
        </w:rPr>
        <w:t xml:space="preserve"> 世纪末钢结构得到大力发展与应用，</w:t>
      </w:r>
      <w:r>
        <w:rPr>
          <w:color w:val="333333"/>
          <w:spacing w:val="-1"/>
        </w:rPr>
        <w:t>1</w:t>
      </w:r>
      <w:r>
        <w:rPr>
          <w:color w:val="333333"/>
        </w:rPr>
        <w:t>889</w:t>
      </w:r>
      <w:r>
        <w:rPr>
          <w:color w:val="333333"/>
          <w:spacing w:val="-12"/>
        </w:rPr>
        <w:t xml:space="preserve"> 年建成的</w:t>
      </w:r>
      <w:r>
        <w:rPr>
          <w:color w:val="333333"/>
          <w:spacing w:val="9"/>
        </w:rPr>
        <w:t>巴黎埃菲尔铁塔，钢结构与电梯的结合，对高层建筑的发展有了很大的推动。 1926-1931</w:t>
      </w:r>
      <w:r>
        <w:rPr>
          <w:color w:val="333333"/>
          <w:spacing w:val="-10"/>
        </w:rPr>
        <w:t xml:space="preserve"> 年建成的克莱斯勒大厦，</w:t>
      </w:r>
      <w:r>
        <w:rPr>
          <w:color w:val="333333"/>
        </w:rPr>
        <w:t>77</w:t>
      </w:r>
      <w:r>
        <w:rPr>
          <w:color w:val="333333"/>
          <w:spacing w:val="-30"/>
        </w:rPr>
        <w:t xml:space="preserve"> 层，高 </w:t>
      </w:r>
      <w:r>
        <w:rPr>
          <w:color w:val="333333"/>
        </w:rPr>
        <w:t>319M</w:t>
      </w:r>
      <w:r>
        <w:rPr>
          <w:color w:val="333333"/>
          <w:spacing w:val="-60"/>
        </w:rPr>
        <w:t>；</w:t>
      </w:r>
      <w:r>
        <w:rPr>
          <w:color w:val="333333"/>
        </w:rPr>
        <w:t>1931</w:t>
      </w:r>
      <w:r>
        <w:rPr>
          <w:color w:val="333333"/>
          <w:spacing w:val="-10"/>
        </w:rPr>
        <w:t xml:space="preserve"> 年完工的帝国大厦，</w:t>
      </w:r>
      <w:r>
        <w:rPr>
          <w:color w:val="333333"/>
          <w:spacing w:val="-1"/>
        </w:rPr>
        <w:t>1</w:t>
      </w:r>
      <w:r>
        <w:rPr>
          <w:color w:val="333333"/>
        </w:rPr>
        <w:t>02</w:t>
      </w:r>
      <w:r>
        <w:rPr>
          <w:color w:val="333333"/>
          <w:spacing w:val="-18"/>
        </w:rPr>
        <w:t xml:space="preserve">层，高达 </w:t>
      </w:r>
      <w:r>
        <w:rPr>
          <w:color w:val="333333"/>
        </w:rPr>
        <w:t>381M</w:t>
      </w:r>
      <w:r>
        <w:rPr>
          <w:color w:val="333333"/>
          <w:spacing w:val="-22"/>
        </w:rPr>
        <w:t xml:space="preserve">，保持 </w:t>
      </w:r>
      <w:r>
        <w:rPr>
          <w:color w:val="333333"/>
        </w:rPr>
        <w:t>41</w:t>
      </w:r>
      <w:r>
        <w:rPr>
          <w:color w:val="333333"/>
          <w:spacing w:val="-10"/>
        </w:rPr>
        <w:t xml:space="preserve"> 年世界最高建筑纪录。帝国大厦在结构体系上采用框架支</w:t>
      </w:r>
      <w:r>
        <w:rPr>
          <w:color w:val="333333"/>
          <w:spacing w:val="1"/>
        </w:rPr>
        <w:t>撑体系，在电梯进纵横方向设置了支撑，连接采用铆接，在钢框中填充了墙体以共同承受横向作用。超高层建筑高度不断被刷新，建筑结构多以混合结构、组合结构为主。香港环球贸易广场，高度：484M，300M</w:t>
      </w:r>
      <w:r>
        <w:rPr>
          <w:color w:val="333333"/>
          <w:spacing w:val="-9"/>
        </w:rPr>
        <w:t xml:space="preserve"> 以下是混凝土核心筒+钢结构，</w:t>
      </w:r>
      <w:r>
        <w:rPr>
          <w:color w:val="333333"/>
        </w:rPr>
        <w:t xml:space="preserve"> 300M</w:t>
      </w:r>
      <w:r>
        <w:rPr>
          <w:color w:val="333333"/>
          <w:spacing w:val="-7"/>
        </w:rPr>
        <w:t xml:space="preserve"> 以上是全钢结构，是以钢筋混凝土和钢结构组合而成的混合结构体系。上海</w:t>
      </w:r>
    </w:p>
    <w:p>
      <w:pPr>
        <w:spacing w:after="0" w:line="343" w:lineRule="auto"/>
        <w:jc w:val="both"/>
        <w:sectPr>
          <w:headerReference w:type="default" r:id="rId14"/>
          <w:footerReference w:type="default" r:id="rId15"/>
          <w:pgSz w:w="11910" w:h="16840"/>
          <w:pgMar w:top="1460" w:right="1120" w:bottom="1160" w:left="1680" w:header="879" w:footer="965"/>
          <w:pgNumType w:start="5"/>
          <w:cols w:space="708"/>
        </w:sectPr>
      </w:pPr>
    </w:p>
    <w:p>
      <w:pPr>
        <w:pStyle w:val="BodyText"/>
        <w:spacing w:before="125" w:line="331" w:lineRule="auto"/>
        <w:ind w:left="248" w:right="351"/>
        <w:jc w:val="both"/>
        <w:rPr>
          <w:sz w:val="27"/>
        </w:rPr>
      </w:pPr>
      <w:r>
        <w:rPr>
          <w:color w:val="333333"/>
          <w:spacing w:val="-4"/>
        </w:rPr>
        <w:t>中心大厦（</w:t>
      </w:r>
      <w:r>
        <w:rPr>
          <w:color w:val="333333"/>
          <w:spacing w:val="-8"/>
        </w:rPr>
        <w:t xml:space="preserve">见图 </w:t>
      </w:r>
      <w:r>
        <w:rPr>
          <w:color w:val="333333"/>
          <w:spacing w:val="-4"/>
        </w:rPr>
        <w:t>1-1），高度：632M，是以钢筋混凝土和钢结构组合而成的混合结</w:t>
      </w:r>
      <w:r>
        <w:rPr>
          <w:color w:val="333333"/>
          <w:spacing w:val="-10"/>
        </w:rPr>
        <w:t xml:space="preserve">构体系。台北 </w:t>
      </w:r>
      <w:r>
        <w:rPr>
          <w:color w:val="333333"/>
          <w:spacing w:val="-8"/>
        </w:rPr>
        <w:t>101</w:t>
      </w:r>
      <w:r>
        <w:rPr>
          <w:color w:val="333333"/>
          <w:spacing w:val="-12"/>
        </w:rPr>
        <w:t xml:space="preserve"> 大楼</w:t>
      </w:r>
      <w:r>
        <w:rPr>
          <w:color w:val="333333"/>
          <w:spacing w:val="-8"/>
        </w:rPr>
        <w:t>（</w:t>
      </w:r>
      <w:r>
        <w:rPr>
          <w:color w:val="333333"/>
          <w:spacing w:val="-11"/>
        </w:rPr>
        <w:t xml:space="preserve">见图 </w:t>
      </w:r>
      <w:r>
        <w:rPr>
          <w:color w:val="333333"/>
          <w:spacing w:val="-8"/>
        </w:rPr>
        <w:t>1-2），高度：508M，</w:t>
      </w:r>
      <w:r>
        <w:rPr>
          <w:color w:val="333333"/>
          <w:spacing w:val="-11"/>
        </w:rPr>
        <w:t xml:space="preserve">采用 </w:t>
      </w:r>
      <w:r>
        <w:rPr>
          <w:color w:val="333333"/>
          <w:spacing w:val="-8"/>
        </w:rPr>
        <w:t>SRC</w:t>
      </w:r>
      <w:r>
        <w:rPr>
          <w:color w:val="333333"/>
          <w:spacing w:val="-11"/>
        </w:rPr>
        <w:t xml:space="preserve"> 钢骨加高强度混凝土</w:t>
      </w:r>
      <w:r>
        <w:rPr>
          <w:color w:val="333333"/>
          <w:spacing w:val="-2"/>
        </w:rPr>
        <w:t>组合结构体系</w:t>
      </w:r>
      <w:r>
        <w:rPr>
          <w:color w:val="333333"/>
          <w:spacing w:val="-2"/>
          <w:sz w:val="27"/>
        </w:rPr>
        <w:t>。</w:t>
      </w:r>
    </w:p>
    <w:p>
      <w:pPr>
        <w:pStyle w:val="BodyText"/>
        <w:spacing w:before="11"/>
        <w:rPr>
          <w:sz w:val="10"/>
        </w:rPr>
      </w:pPr>
      <w:r>
        <w:drawing>
          <wp:anchor distT="0" distB="0" distL="0" distR="0" simplePos="0" relativeHeight="251666432" behindDoc="0" locked="0" layoutInCell="1" allowOverlap="1">
            <wp:simplePos x="0" y="0"/>
            <wp:positionH relativeFrom="page">
              <wp:posOffset>2066925</wp:posOffset>
            </wp:positionH>
            <wp:positionV relativeFrom="paragraph">
              <wp:posOffset>104080</wp:posOffset>
            </wp:positionV>
            <wp:extent cx="3589269" cy="1923478"/>
            <wp:effectExtent l="0" t="0" r="0" b="0"/>
            <wp:wrapTopAndBottom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jpeg"/>
                    <pic:cNvPicPr/>
                  </pic:nvPicPr>
                  <pic:blipFill>
                    <a:blip xmlns:r="http://schemas.openxmlformats.org/officeDocument/2006/relationships"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89269" cy="192347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sz w:val="25"/>
        </w:rPr>
      </w:pPr>
    </w:p>
    <w:p>
      <w:pPr>
        <w:pStyle w:val="BodyText"/>
        <w:tabs>
          <w:tab w:val="left" w:pos="899"/>
        </w:tabs>
        <w:ind w:right="105"/>
        <w:jc w:val="center"/>
      </w:pPr>
      <w:r>
        <w:rPr>
          <w:color w:val="333333"/>
        </w:rPr>
        <w:t>图</w:t>
      </w:r>
      <w:r>
        <w:rPr>
          <w:color w:val="333333"/>
          <w:spacing w:val="-60"/>
        </w:rPr>
        <w:t xml:space="preserve"> </w:t>
      </w:r>
      <w:r>
        <w:rPr>
          <w:color w:val="333333"/>
        </w:rPr>
        <w:t>1-</w:t>
      </w:r>
      <w:r>
        <w:rPr>
          <w:color w:val="333333"/>
          <w:spacing w:val="-10"/>
        </w:rPr>
        <w:t>1</w:t>
      </w:r>
      <w:r>
        <w:rPr>
          <w:color w:val="333333"/>
        </w:rPr>
        <w:tab/>
        <w:t>上海中心大</w:t>
      </w:r>
      <w:r>
        <w:rPr>
          <w:color w:val="333333"/>
          <w:spacing w:val="-10"/>
        </w:rPr>
        <w:t>厦</w:t>
      </w:r>
    </w:p>
    <w:p>
      <w:pPr>
        <w:pStyle w:val="BodyText"/>
        <w:spacing w:before="9"/>
        <w:rPr>
          <w:sz w:val="9"/>
        </w:rPr>
      </w:pPr>
      <w:r>
        <w:drawing>
          <wp:anchor distT="0" distB="0" distL="0" distR="0" simplePos="0" relativeHeight="251667456" behindDoc="0" locked="0" layoutInCell="1" allowOverlap="1">
            <wp:simplePos x="0" y="0"/>
            <wp:positionH relativeFrom="page">
              <wp:posOffset>2073910</wp:posOffset>
            </wp:positionH>
            <wp:positionV relativeFrom="paragraph">
              <wp:posOffset>94670</wp:posOffset>
            </wp:positionV>
            <wp:extent cx="3603413" cy="1399032"/>
            <wp:effectExtent l="0" t="0" r="0" b="0"/>
            <wp:wrapTopAndBottom/>
            <wp:docPr id="3" name="image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2.jpeg"/>
                    <pic:cNvPicPr/>
                  </pic:nvPicPr>
                  <pic:blipFill>
                    <a:blip xmlns:r="http://schemas.openxmlformats.org/officeDocument/2006/relationships"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03413" cy="139903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sz w:val="25"/>
        </w:rPr>
      </w:pPr>
    </w:p>
    <w:p>
      <w:pPr>
        <w:pStyle w:val="BodyText"/>
        <w:tabs>
          <w:tab w:val="left" w:pos="899"/>
        </w:tabs>
        <w:ind w:right="105"/>
        <w:jc w:val="center"/>
      </w:pPr>
      <w:r>
        <w:rPr>
          <w:color w:val="333333"/>
        </w:rPr>
        <w:t>图</w:t>
      </w:r>
      <w:r>
        <w:rPr>
          <w:color w:val="333333"/>
          <w:spacing w:val="-60"/>
        </w:rPr>
        <w:t xml:space="preserve"> </w:t>
      </w:r>
      <w:r>
        <w:rPr>
          <w:color w:val="333333"/>
        </w:rPr>
        <w:t>1-</w:t>
      </w:r>
      <w:r>
        <w:rPr>
          <w:color w:val="333333"/>
          <w:spacing w:val="-10"/>
        </w:rPr>
        <w:t>2</w:t>
      </w:r>
      <w:r>
        <w:rPr>
          <w:color w:val="333333"/>
        </w:rPr>
        <w:tab/>
        <w:t>台北</w:t>
      </w:r>
      <w:r>
        <w:rPr>
          <w:color w:val="333333"/>
          <w:spacing w:val="-60"/>
        </w:rPr>
        <w:t xml:space="preserve"> </w:t>
      </w:r>
      <w:r>
        <w:rPr>
          <w:color w:val="333333"/>
        </w:rPr>
        <w:t>101</w:t>
      </w:r>
      <w:r>
        <w:rPr>
          <w:color w:val="333333"/>
          <w:spacing w:val="-60"/>
        </w:rPr>
        <w:t xml:space="preserve"> </w:t>
      </w:r>
      <w:r>
        <w:rPr>
          <w:color w:val="333333"/>
        </w:rPr>
        <w:t>大</w:t>
      </w:r>
      <w:r>
        <w:rPr>
          <w:color w:val="333333"/>
          <w:spacing w:val="-10"/>
        </w:rPr>
        <w:t>楼</w:t>
      </w:r>
    </w:p>
    <w:p>
      <w:pPr>
        <w:pStyle w:val="BodyText"/>
        <w:spacing w:before="6"/>
      </w:pPr>
    </w:p>
    <w:p>
      <w:pPr>
        <w:pStyle w:val="Heading3"/>
        <w:numPr>
          <w:ilvl w:val="2"/>
          <w:numId w:val="7"/>
        </w:numPr>
        <w:tabs>
          <w:tab w:val="left" w:pos="1092"/>
          <w:tab w:val="left" w:pos="1093"/>
        </w:tabs>
        <w:spacing w:before="0" w:after="0" w:line="240" w:lineRule="auto"/>
        <w:ind w:left="1092" w:right="0" w:hanging="845"/>
        <w:jc w:val="left"/>
      </w:pPr>
      <w:bookmarkStart w:id="7" w:name="_TOC_250018"/>
      <w:bookmarkEnd w:id="7"/>
      <w:r>
        <w:rPr>
          <w:spacing w:val="-2"/>
        </w:rPr>
        <w:t>结构体型日趋复杂</w:t>
      </w:r>
    </w:p>
    <w:p>
      <w:pPr>
        <w:pStyle w:val="BodyText"/>
        <w:spacing w:before="7"/>
        <w:rPr>
          <w:rFonts w:ascii="Microsoft JhengHei"/>
          <w:b/>
          <w:sz w:val="18"/>
        </w:rPr>
      </w:pPr>
    </w:p>
    <w:p>
      <w:pPr>
        <w:pStyle w:val="BodyText"/>
        <w:spacing w:line="343" w:lineRule="auto"/>
        <w:ind w:left="248" w:right="351" w:firstLine="480"/>
        <w:jc w:val="both"/>
      </w:pPr>
      <w:r>
        <w:rPr>
          <w:color w:val="333333"/>
          <w:spacing w:val="-13"/>
        </w:rPr>
        <w:t xml:space="preserve">从 </w:t>
      </w:r>
      <w:r>
        <w:rPr>
          <w:color w:val="333333"/>
          <w:spacing w:val="-2"/>
        </w:rPr>
        <w:t>30</w:t>
      </w:r>
      <w:r>
        <w:rPr>
          <w:color w:val="333333"/>
          <w:spacing w:val="-12"/>
        </w:rPr>
        <w:t xml:space="preserve"> 年代到 </w:t>
      </w:r>
      <w:r>
        <w:rPr>
          <w:color w:val="333333"/>
          <w:spacing w:val="-2"/>
        </w:rPr>
        <w:t>50</w:t>
      </w:r>
      <w:r>
        <w:rPr>
          <w:color w:val="333333"/>
          <w:spacing w:val="-7"/>
        </w:rPr>
        <w:t xml:space="preserve"> 年代的一些早期高层作品，多属于塔式方形平面，表现为砖</w:t>
      </w:r>
      <w:r>
        <w:rPr>
          <w:color w:val="333333"/>
          <w:spacing w:val="-2"/>
        </w:rPr>
        <w:t>石实体的雕塑型。如纽约帝国大厦及以前的作品都属此类。后来又从塔式发展为</w:t>
      </w:r>
      <w:r>
        <w:rPr>
          <w:color w:val="333333"/>
          <w:spacing w:val="-4"/>
        </w:rPr>
        <w:t>圆形平面。50</w:t>
      </w:r>
      <w:r>
        <w:rPr>
          <w:color w:val="333333"/>
          <w:spacing w:val="-7"/>
        </w:rPr>
        <w:t xml:space="preserve"> 年代出现了玻璃幕墙，</w:t>
      </w:r>
      <w:r>
        <w:rPr>
          <w:color w:val="333333"/>
          <w:spacing w:val="-4"/>
        </w:rPr>
        <w:t>60</w:t>
      </w:r>
      <w:r>
        <w:rPr>
          <w:color w:val="333333"/>
          <w:spacing w:val="-7"/>
        </w:rPr>
        <w:t xml:space="preserve"> 年代，玻璃幕墙走向了玻璃摩天大楼，充</w:t>
      </w:r>
      <w:r>
        <w:rPr>
          <w:color w:val="333333"/>
          <w:spacing w:val="-2"/>
        </w:rPr>
        <w:t>分表现了钢与玻璃的简洁风格。由密斯设计的西格拉姆大厦以及后来芝加哥两幢</w:t>
      </w:r>
      <w:r>
        <w:rPr>
          <w:color w:val="333333"/>
          <w:spacing w:val="-2"/>
        </w:rPr>
        <w:t>湖滨公寓，都是在结构外面将整幢建筑包以玻璃与金属铝片，闪闪发光。它表现</w:t>
      </w:r>
      <w:r>
        <w:rPr>
          <w:color w:val="333333"/>
          <w:spacing w:val="-2"/>
        </w:rPr>
        <w:t>为简洁通透，不带任何外加装饰、制作精美，突出表现了高度工业化的精神。从</w:t>
      </w:r>
      <w:r>
        <w:rPr>
          <w:color w:val="333333"/>
        </w:rPr>
        <w:t>此玻璃方盒子的高层建筑风行于美国，而后欧洲，继而又传到其它国家。60</w:t>
      </w:r>
      <w:r>
        <w:rPr>
          <w:color w:val="333333"/>
          <w:spacing w:val="-10"/>
        </w:rPr>
        <w:t xml:space="preserve"> 年代</w:t>
      </w:r>
      <w:r>
        <w:rPr>
          <w:color w:val="333333"/>
          <w:spacing w:val="-6"/>
        </w:rPr>
        <w:t xml:space="preserve">末，以 </w:t>
      </w:r>
      <w:r>
        <w:rPr>
          <w:color w:val="333333"/>
        </w:rPr>
        <w:t>100</w:t>
      </w:r>
      <w:r>
        <w:rPr>
          <w:color w:val="333333"/>
          <w:spacing w:val="-6"/>
        </w:rPr>
        <w:t xml:space="preserve"> 层汉考克大厦为代表的重技派高层建筑又有新突破。这是一幢下大上</w:t>
      </w:r>
      <w:r>
        <w:rPr>
          <w:color w:val="333333"/>
          <w:spacing w:val="-2"/>
        </w:rPr>
        <w:t>小，有收方的方棱椎体，其外露的巨大十字叉风撑与角柱、横梁组成了一个空间</w:t>
      </w:r>
      <w:r>
        <w:rPr>
          <w:color w:val="333333"/>
        </w:rPr>
        <w:t>结构体系，其建筑形象也恰能充分表征这些结构特征。70</w:t>
      </w:r>
      <w:r>
        <w:rPr>
          <w:color w:val="333333"/>
          <w:spacing w:val="-7"/>
        </w:rPr>
        <w:t xml:space="preserve"> 年代以后，结构体系与</w:t>
      </w:r>
    </w:p>
    <w:p>
      <w:pPr>
        <w:spacing w:after="0" w:line="343" w:lineRule="auto"/>
        <w:jc w:val="both"/>
        <w:sectPr>
          <w:headerReference w:type="default" r:id="rId18"/>
          <w:footerReference w:type="default" r:id="rId19"/>
          <w:pgSz w:w="11910" w:h="16840"/>
          <w:pgMar w:top="1460" w:right="1120" w:bottom="1160" w:left="1680" w:header="879" w:footer="965"/>
          <w:pgNumType w:start="6"/>
          <w:cols w:space="708"/>
        </w:sectPr>
      </w:pPr>
    </w:p>
    <w:p>
      <w:pPr>
        <w:pStyle w:val="BodyText"/>
        <w:spacing w:before="125" w:line="343" w:lineRule="auto"/>
        <w:ind w:left="248" w:right="231"/>
      </w:pPr>
      <w:r>
        <w:rPr>
          <w:color w:val="333333"/>
          <w:spacing w:val="1"/>
        </w:rPr>
        <w:t>玻璃幕墙的性能又有了进一步发展，审美观也起了变化，出现了反应时代的更高境界，使高层建筑的造型与风格又有了新的突破。此时又运用简单的几何形体，构成抽象派的手法，以突破千篇一率的国际式。</w:t>
      </w:r>
      <w:r>
        <w:rPr>
          <w:color w:val="333333"/>
        </w:rPr>
        <w:t>80</w:t>
      </w:r>
      <w:r>
        <w:rPr>
          <w:color w:val="333333"/>
          <w:spacing w:val="-7"/>
        </w:rPr>
        <w:t xml:space="preserve"> 年代以来，又为了突破国际式</w:t>
      </w:r>
      <w:r>
        <w:rPr>
          <w:color w:val="333333"/>
          <w:spacing w:val="1"/>
        </w:rPr>
        <w:t>的平顶型与方柱体，又出现了尖顶方锥体型。这是一种新的倾向。近年还流行一</w:t>
      </w:r>
      <w:r>
        <w:rPr>
          <w:color w:val="333333"/>
          <w:spacing w:val="-3"/>
        </w:rPr>
        <w:t xml:space="preserve">种实体墙与玻璃交替变化而有韵律的构图，如美国 </w:t>
      </w:r>
      <w:r>
        <w:rPr>
          <w:color w:val="333333"/>
        </w:rPr>
        <w:t>1987</w:t>
      </w:r>
      <w:r>
        <w:rPr>
          <w:color w:val="333333"/>
          <w:spacing w:val="-8"/>
        </w:rPr>
        <w:t xml:space="preserve"> 年完成的明尼阿波利斯的</w:t>
      </w:r>
      <w:r>
        <w:rPr>
          <w:color w:val="333333"/>
          <w:spacing w:val="-13"/>
        </w:rPr>
        <w:t xml:space="preserve">西北中心大厦，就是一座 </w:t>
      </w:r>
      <w:r>
        <w:rPr>
          <w:color w:val="333333"/>
        </w:rPr>
        <w:t>80</w:t>
      </w:r>
      <w:r>
        <w:rPr>
          <w:color w:val="333333"/>
          <w:spacing w:val="-8"/>
        </w:rPr>
        <w:t xml:space="preserve"> 年代具有代表性的高层建筑。现代高层建筑的发展过</w:t>
      </w:r>
      <w:r>
        <w:rPr>
          <w:color w:val="333333"/>
          <w:spacing w:val="3"/>
        </w:rPr>
        <w:t>程中，对高层建筑艺术以及造型也进行了探索。李湘渊认为</w:t>
      </w:r>
      <w:r>
        <w:rPr>
          <w:color w:val="333333"/>
          <w:w w:val="133"/>
          <w:vertAlign w:val="superscript"/>
        </w:rPr>
        <w:t>[2]</w:t>
      </w:r>
      <w:r>
        <w:rPr>
          <w:color w:val="333333"/>
          <w:spacing w:val="2"/>
          <w:vertAlign w:val="baseline"/>
        </w:rPr>
        <w:t>现代建筑美学对于</w:t>
      </w:r>
      <w:r>
        <w:rPr>
          <w:color w:val="333333"/>
          <w:spacing w:val="-2"/>
          <w:vertAlign w:val="baseline"/>
        </w:rPr>
        <w:t>高层建筑的造型与风格带来的影响很大，尤其在现代社会功能和新材料、新技术、</w:t>
      </w:r>
      <w:r>
        <w:rPr>
          <w:color w:val="333333"/>
          <w:spacing w:val="1"/>
          <w:vertAlign w:val="baseline"/>
        </w:rPr>
        <w:t>新结构体系不断发展的情况下，使高层建筑的体型、风格出现了多样化，可以说是多姿多采，极为丰富。</w:t>
      </w:r>
    </w:p>
    <w:p>
      <w:pPr>
        <w:pStyle w:val="Heading3"/>
        <w:numPr>
          <w:ilvl w:val="2"/>
          <w:numId w:val="4"/>
        </w:numPr>
        <w:tabs>
          <w:tab w:val="left" w:pos="1092"/>
          <w:tab w:val="left" w:pos="1093"/>
        </w:tabs>
        <w:spacing w:before="183" w:after="0" w:line="240" w:lineRule="auto"/>
        <w:ind w:left="1092" w:right="0" w:hanging="845"/>
        <w:jc w:val="left"/>
      </w:pPr>
      <w:bookmarkStart w:id="8" w:name="_TOC_250017"/>
      <w:bookmarkEnd w:id="8"/>
      <w:r>
        <w:rPr>
          <w:spacing w:val="-2"/>
        </w:rPr>
        <w:t>新型结构不断涌现</w:t>
      </w:r>
    </w:p>
    <w:p>
      <w:pPr>
        <w:pStyle w:val="BodyText"/>
        <w:spacing w:before="7"/>
        <w:rPr>
          <w:rFonts w:ascii="Microsoft JhengHei"/>
          <w:b/>
          <w:sz w:val="18"/>
        </w:rPr>
      </w:pPr>
    </w:p>
    <w:p>
      <w:pPr>
        <w:pStyle w:val="BodyText"/>
        <w:spacing w:line="343" w:lineRule="auto"/>
        <w:ind w:left="248" w:right="231" w:firstLine="480"/>
      </w:pPr>
      <w:r>
        <w:rPr>
          <w:spacing w:val="-29"/>
        </w:rPr>
        <w:t xml:space="preserve">从 </w:t>
      </w:r>
      <w:r>
        <w:t>20</w:t>
      </w:r>
      <w:r>
        <w:rPr>
          <w:spacing w:val="-30"/>
        </w:rPr>
        <w:t xml:space="preserve"> 世纪 </w:t>
      </w:r>
      <w:r>
        <w:t>90</w:t>
      </w:r>
      <w:r>
        <w:rPr>
          <w:spacing w:val="-6"/>
        </w:rPr>
        <w:t xml:space="preserve"> 年代开始，高层建筑又有了新的发展。早期高层建筑基本采用</w:t>
      </w:r>
      <w:r>
        <w:rPr>
          <w:spacing w:val="-13"/>
        </w:rPr>
        <w:t>框架结构，</w:t>
      </w:r>
      <w:r>
        <w:t>60</w:t>
      </w:r>
      <w:r>
        <w:rPr>
          <w:spacing w:val="-11"/>
        </w:rPr>
        <w:t xml:space="preserve"> 年代美国人坎恩提出了框筒体系，后来以此为基础又衍生出多束筒、</w:t>
      </w:r>
      <w:r>
        <w:rPr>
          <w:spacing w:val="-8"/>
        </w:rPr>
        <w:t>筒中筒等体系，为建筑达到新的高度奠定了基础。</w:t>
      </w:r>
      <w:r>
        <w:t>60</w:t>
      </w:r>
      <w:r>
        <w:rPr>
          <w:spacing w:val="-20"/>
        </w:rPr>
        <w:t xml:space="preserve"> 年代末和 </w:t>
      </w:r>
      <w:r>
        <w:t>70</w:t>
      </w:r>
      <w:r>
        <w:rPr>
          <w:spacing w:val="-8"/>
        </w:rPr>
        <w:t xml:space="preserve"> 年代初建成了一</w:t>
      </w:r>
      <w:r>
        <w:rPr>
          <w:spacing w:val="-34"/>
        </w:rPr>
        <w:t xml:space="preserve">批 </w:t>
      </w:r>
      <w:r>
        <w:t>100</w:t>
      </w:r>
      <w:r>
        <w:rPr>
          <w:spacing w:val="-10"/>
        </w:rPr>
        <w:t xml:space="preserve"> 层以上的高层建筑，都是运用了框筒体系，才达到了新的高度。进入 </w:t>
      </w:r>
      <w:r>
        <w:t>90</w:t>
      </w:r>
      <w:r>
        <w:rPr>
          <w:spacing w:val="-30"/>
        </w:rPr>
        <w:t xml:space="preserve"> 年</w:t>
      </w:r>
      <w:r>
        <w:rPr>
          <w:spacing w:val="1"/>
        </w:rPr>
        <w:t>代，我国高层建筑的功能不断增多，刚性层的设置、转换层的设置大大满足了高层建筑多功能的需要。</w:t>
      </w:r>
    </w:p>
    <w:p>
      <w:pPr>
        <w:pStyle w:val="BodyText"/>
        <w:spacing w:before="2" w:line="343" w:lineRule="auto"/>
        <w:ind w:left="248" w:right="352" w:firstLine="480"/>
        <w:jc w:val="both"/>
      </w:pPr>
      <w:r>
        <w:rPr>
          <w:spacing w:val="-2"/>
        </w:rPr>
        <w:t>多束筒体系已表明在适应建筑场地、丰富建筑造型、满足多种功能和减小剪</w:t>
      </w:r>
      <w:r>
        <w:rPr>
          <w:spacing w:val="-2"/>
        </w:rPr>
        <w:t>力滞后等方面具有很多优点，预计今后也将扩大应用。沈恭将高层建筑结构体系</w:t>
      </w:r>
      <w:r>
        <w:rPr>
          <w:spacing w:val="-2"/>
        </w:rPr>
        <w:t xml:space="preserve">的发展过程大致归纳在表 </w:t>
      </w:r>
      <w:r>
        <w:t>1-1</w:t>
      </w:r>
      <w:r>
        <w:rPr>
          <w:spacing w:val="-11"/>
        </w:rPr>
        <w:t xml:space="preserve"> 中</w:t>
      </w:r>
      <w:r>
        <w:rPr>
          <w:w w:val="115"/>
          <w:vertAlign w:val="superscript"/>
        </w:rPr>
        <w:t>[3]</w:t>
      </w:r>
      <w:r>
        <w:rPr>
          <w:vertAlign w:val="baseline"/>
        </w:rPr>
        <w:t>。</w:t>
      </w:r>
    </w:p>
    <w:p>
      <w:pPr>
        <w:pStyle w:val="BodyText"/>
        <w:spacing w:before="1" w:after="20"/>
        <w:ind w:left="2490"/>
        <w:jc w:val="both"/>
      </w:pPr>
      <w:r>
        <w:rPr>
          <w:spacing w:val="-30"/>
        </w:rPr>
        <w:t xml:space="preserve">表 </w:t>
      </w:r>
      <w:r>
        <w:t>1-1</w:t>
      </w:r>
      <w:r>
        <w:rPr>
          <w:spacing w:val="60"/>
          <w:w w:val="150"/>
        </w:rPr>
        <w:t xml:space="preserve"> </w:t>
      </w:r>
      <w:r>
        <w:rPr>
          <w:spacing w:val="-1"/>
        </w:rPr>
        <w:t>高层建筑结构体系的发展过程</w:t>
      </w:r>
    </w:p>
    <w:tbl>
      <w:tblPr>
        <w:tblStyle w:val="TableNormal0"/>
        <w:tblW w:w="0" w:type="auto"/>
        <w:jc w:val="left"/>
        <w:tblInd w:w="14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7"/>
        <w:gridCol w:w="6674"/>
      </w:tblGrid>
      <w:tr>
        <w:tblPrEx>
          <w:tblW w:w="0" w:type="auto"/>
          <w:jc w:val="left"/>
          <w:tblInd w:w="14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40"/>
          <w:jc w:val="left"/>
        </w:trPr>
        <w:tc>
          <w:tcPr>
            <w:tcW w:w="2047" w:type="dxa"/>
          </w:tcPr>
          <w:p>
            <w:pPr>
              <w:pStyle w:val="TableParagraph"/>
              <w:spacing w:before="72" w:line="347" w:lineRule="exact"/>
              <w:ind w:left="601"/>
              <w:jc w:val="left"/>
              <w:rPr>
                <w:rFonts w:ascii="Microsoft JhengHei" w:eastAsia="Microsoft JhengHei"/>
                <w:b/>
                <w:sz w:val="21"/>
              </w:rPr>
            </w:pPr>
            <w:r>
              <w:rPr>
                <w:rFonts w:ascii="Microsoft JhengHei" w:eastAsia="Microsoft JhengHei"/>
                <w:b/>
                <w:spacing w:val="-3"/>
                <w:sz w:val="21"/>
              </w:rPr>
              <w:t>始用年代</w:t>
            </w:r>
          </w:p>
        </w:tc>
        <w:tc>
          <w:tcPr>
            <w:tcW w:w="6674" w:type="dxa"/>
          </w:tcPr>
          <w:p>
            <w:pPr>
              <w:pStyle w:val="TableParagraph"/>
              <w:spacing w:before="72" w:line="347" w:lineRule="exact"/>
              <w:ind w:left="2588" w:right="2579"/>
              <w:rPr>
                <w:rFonts w:ascii="Microsoft JhengHei" w:eastAsia="Microsoft JhengHei"/>
                <w:b/>
                <w:sz w:val="21"/>
              </w:rPr>
            </w:pPr>
            <w:r>
              <w:rPr>
                <w:rFonts w:ascii="Microsoft JhengHei" w:eastAsia="Microsoft JhengHei"/>
                <w:b/>
                <w:spacing w:val="-2"/>
                <w:sz w:val="21"/>
              </w:rPr>
              <w:t>结构体系和特点</w:t>
            </w:r>
          </w:p>
        </w:tc>
      </w:tr>
      <w:tr>
        <w:tblPrEx>
          <w:tblW w:w="0" w:type="auto"/>
          <w:jc w:val="left"/>
          <w:tblInd w:w="14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40"/>
          <w:jc w:val="left"/>
        </w:trPr>
        <w:tc>
          <w:tcPr>
            <w:tcW w:w="2047" w:type="dxa"/>
          </w:tcPr>
          <w:p>
            <w:pPr>
              <w:pStyle w:val="TableParagraph"/>
              <w:ind w:left="108"/>
              <w:jc w:val="left"/>
              <w:rPr>
                <w:sz w:val="21"/>
              </w:rPr>
            </w:pPr>
            <w:r>
              <w:rPr>
                <w:spacing w:val="-4"/>
                <w:sz w:val="21"/>
              </w:rPr>
              <w:t>1885</w:t>
            </w:r>
          </w:p>
        </w:tc>
        <w:tc>
          <w:tcPr>
            <w:tcW w:w="6674" w:type="dxa"/>
          </w:tcPr>
          <w:p>
            <w:pPr>
              <w:pStyle w:val="TableParagraph"/>
              <w:ind w:left="107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砖墙、铸铁柱、钢梁</w:t>
            </w:r>
          </w:p>
        </w:tc>
      </w:tr>
      <w:tr>
        <w:tblPrEx>
          <w:tblW w:w="0" w:type="auto"/>
          <w:jc w:val="left"/>
          <w:tblInd w:w="14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40"/>
          <w:jc w:val="left"/>
        </w:trPr>
        <w:tc>
          <w:tcPr>
            <w:tcW w:w="2047" w:type="dxa"/>
          </w:tcPr>
          <w:p>
            <w:pPr>
              <w:pStyle w:val="TableParagraph"/>
              <w:ind w:left="108"/>
              <w:jc w:val="left"/>
              <w:rPr>
                <w:sz w:val="21"/>
              </w:rPr>
            </w:pPr>
            <w:r>
              <w:rPr>
                <w:spacing w:val="-4"/>
                <w:sz w:val="21"/>
              </w:rPr>
              <w:t>1889</w:t>
            </w:r>
          </w:p>
        </w:tc>
        <w:tc>
          <w:tcPr>
            <w:tcW w:w="6674" w:type="dxa"/>
          </w:tcPr>
          <w:p>
            <w:pPr>
              <w:pStyle w:val="TableParagraph"/>
              <w:ind w:left="107"/>
              <w:jc w:val="left"/>
              <w:rPr>
                <w:sz w:val="21"/>
              </w:rPr>
            </w:pPr>
            <w:r>
              <w:rPr>
                <w:spacing w:val="-4"/>
                <w:sz w:val="21"/>
              </w:rPr>
              <w:t>钢框架</w:t>
            </w:r>
          </w:p>
        </w:tc>
      </w:tr>
      <w:tr>
        <w:tblPrEx>
          <w:tblW w:w="0" w:type="auto"/>
          <w:jc w:val="left"/>
          <w:tblInd w:w="14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40"/>
          <w:jc w:val="left"/>
        </w:trPr>
        <w:tc>
          <w:tcPr>
            <w:tcW w:w="2047" w:type="dxa"/>
          </w:tcPr>
          <w:p>
            <w:pPr>
              <w:pStyle w:val="TableParagraph"/>
              <w:ind w:left="108"/>
              <w:jc w:val="left"/>
              <w:rPr>
                <w:sz w:val="21"/>
              </w:rPr>
            </w:pPr>
            <w:r>
              <w:rPr>
                <w:spacing w:val="-4"/>
                <w:sz w:val="21"/>
              </w:rPr>
              <w:t>1903</w:t>
            </w:r>
          </w:p>
        </w:tc>
        <w:tc>
          <w:tcPr>
            <w:tcW w:w="6674" w:type="dxa"/>
          </w:tcPr>
          <w:p>
            <w:pPr>
              <w:pStyle w:val="TableParagraph"/>
              <w:ind w:left="107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钢盘混凝土框架</w:t>
            </w:r>
          </w:p>
        </w:tc>
      </w:tr>
      <w:tr>
        <w:tblPrEx>
          <w:tblW w:w="0" w:type="auto"/>
          <w:jc w:val="left"/>
          <w:tblInd w:w="14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40"/>
          <w:jc w:val="left"/>
        </w:trPr>
        <w:tc>
          <w:tcPr>
            <w:tcW w:w="2047" w:type="dxa"/>
          </w:tcPr>
          <w:p>
            <w:pPr>
              <w:pStyle w:val="TableParagraph"/>
              <w:ind w:left="108"/>
              <w:jc w:val="left"/>
              <w:rPr>
                <w:sz w:val="21"/>
              </w:rPr>
            </w:pPr>
            <w:r>
              <w:rPr>
                <w:sz w:val="21"/>
              </w:rPr>
              <w:t>20</w:t>
            </w:r>
            <w:r>
              <w:rPr>
                <w:spacing w:val="-16"/>
                <w:sz w:val="21"/>
              </w:rPr>
              <w:t xml:space="preserve"> 世纪初</w:t>
            </w:r>
          </w:p>
        </w:tc>
        <w:tc>
          <w:tcPr>
            <w:tcW w:w="6674" w:type="dxa"/>
          </w:tcPr>
          <w:p>
            <w:pPr>
              <w:pStyle w:val="TableParagraph"/>
              <w:ind w:left="107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钢框架+支撑</w:t>
            </w:r>
          </w:p>
        </w:tc>
      </w:tr>
      <w:tr>
        <w:tblPrEx>
          <w:tblW w:w="0" w:type="auto"/>
          <w:jc w:val="left"/>
          <w:tblInd w:w="14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40"/>
          <w:jc w:val="left"/>
        </w:trPr>
        <w:tc>
          <w:tcPr>
            <w:tcW w:w="2047" w:type="dxa"/>
          </w:tcPr>
          <w:p>
            <w:pPr>
              <w:pStyle w:val="TableParagraph"/>
              <w:ind w:left="108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二次大战后</w:t>
            </w:r>
          </w:p>
        </w:tc>
        <w:tc>
          <w:tcPr>
            <w:tcW w:w="6674" w:type="dxa"/>
          </w:tcPr>
          <w:p>
            <w:pPr>
              <w:pStyle w:val="TableParagraph"/>
              <w:ind w:left="107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钢筋混凝土框架+剪力墙，钢筋混凝土剪力墙，预制钢筋混凝土结构</w:t>
            </w:r>
          </w:p>
        </w:tc>
      </w:tr>
      <w:tr>
        <w:tblPrEx>
          <w:tblW w:w="0" w:type="auto"/>
          <w:jc w:val="left"/>
          <w:tblInd w:w="14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40"/>
          <w:jc w:val="left"/>
        </w:trPr>
        <w:tc>
          <w:tcPr>
            <w:tcW w:w="2047" w:type="dxa"/>
          </w:tcPr>
          <w:p>
            <w:pPr>
              <w:pStyle w:val="TableParagraph"/>
              <w:ind w:left="108"/>
              <w:jc w:val="left"/>
              <w:rPr>
                <w:sz w:val="21"/>
              </w:rPr>
            </w:pPr>
            <w:r>
              <w:rPr>
                <w:sz w:val="21"/>
              </w:rPr>
              <w:t>20</w:t>
            </w:r>
            <w:r>
              <w:rPr>
                <w:spacing w:val="-27"/>
                <w:sz w:val="21"/>
              </w:rPr>
              <w:t xml:space="preserve"> 世纪 </w:t>
            </w:r>
            <w:r>
              <w:rPr>
                <w:sz w:val="21"/>
              </w:rPr>
              <w:t>50</w:t>
            </w:r>
            <w:r>
              <w:rPr>
                <w:spacing w:val="-22"/>
                <w:sz w:val="21"/>
              </w:rPr>
              <w:t xml:space="preserve"> 年代</w:t>
            </w:r>
          </w:p>
        </w:tc>
        <w:tc>
          <w:tcPr>
            <w:tcW w:w="6674" w:type="dxa"/>
          </w:tcPr>
          <w:p>
            <w:pPr>
              <w:pStyle w:val="TableParagraph"/>
              <w:ind w:left="107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钢框架+钢筋混凝土核芯筒，悬挂结构，偏心支撑和带缝剪刀墙板框架</w:t>
            </w:r>
          </w:p>
        </w:tc>
      </w:tr>
      <w:tr>
        <w:tblPrEx>
          <w:tblW w:w="0" w:type="auto"/>
          <w:jc w:val="left"/>
          <w:tblInd w:w="14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80"/>
          <w:jc w:val="left"/>
        </w:trPr>
        <w:tc>
          <w:tcPr>
            <w:tcW w:w="2047" w:type="dxa"/>
          </w:tcPr>
          <w:p>
            <w:pPr>
              <w:pStyle w:val="TableParagraph"/>
              <w:ind w:left="108"/>
              <w:jc w:val="left"/>
              <w:rPr>
                <w:sz w:val="21"/>
              </w:rPr>
            </w:pPr>
            <w:r>
              <w:rPr>
                <w:sz w:val="21"/>
              </w:rPr>
              <w:t>20</w:t>
            </w:r>
            <w:r>
              <w:rPr>
                <w:spacing w:val="-28"/>
                <w:sz w:val="21"/>
              </w:rPr>
              <w:t xml:space="preserve"> 世纪 </w:t>
            </w:r>
            <w:r>
              <w:rPr>
                <w:sz w:val="21"/>
              </w:rPr>
              <w:t>60</w:t>
            </w:r>
            <w:r>
              <w:rPr>
                <w:spacing w:val="-14"/>
                <w:sz w:val="21"/>
              </w:rPr>
              <w:t xml:space="preserve"> 年代末和</w:t>
            </w:r>
          </w:p>
          <w:p>
            <w:pPr>
              <w:pStyle w:val="TableParagraph"/>
              <w:spacing w:before="171"/>
              <w:ind w:left="108"/>
              <w:jc w:val="left"/>
              <w:rPr>
                <w:sz w:val="21"/>
              </w:rPr>
            </w:pPr>
            <w:r>
              <w:rPr>
                <w:sz w:val="21"/>
              </w:rPr>
              <w:t>70</w:t>
            </w:r>
            <w:r>
              <w:rPr>
                <w:spacing w:val="-16"/>
                <w:sz w:val="21"/>
              </w:rPr>
              <w:t xml:space="preserve"> 年代初</w:t>
            </w:r>
          </w:p>
        </w:tc>
        <w:tc>
          <w:tcPr>
            <w:tcW w:w="6674" w:type="dxa"/>
          </w:tcPr>
          <w:p>
            <w:pPr>
              <w:pStyle w:val="TableParagraph"/>
              <w:ind w:left="107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框筒，筒中筒，束筒，悬挂结构，偏心支撑和带缝剪刀墙板框架</w:t>
            </w:r>
          </w:p>
        </w:tc>
      </w:tr>
    </w:tbl>
    <w:p>
      <w:pPr>
        <w:spacing w:after="0"/>
        <w:jc w:val="left"/>
        <w:rPr>
          <w:sz w:val="21"/>
        </w:rPr>
        <w:sectPr>
          <w:headerReference w:type="default" r:id="rId20"/>
          <w:footerReference w:type="default" r:id="rId21"/>
          <w:pgSz w:w="11910" w:h="16840"/>
          <w:pgMar w:top="1460" w:right="1120" w:bottom="1336" w:left="1680" w:header="879" w:footer="965"/>
          <w:pgNumType w:start="7"/>
          <w:cols w:space="708"/>
        </w:sectPr>
      </w:pPr>
    </w:p>
    <w:tbl>
      <w:tblPr>
        <w:tblStyle w:val="TableNormal1"/>
        <w:tblW w:w="0" w:type="auto"/>
        <w:jc w:val="left"/>
        <w:tblInd w:w="14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7"/>
        <w:gridCol w:w="6674"/>
      </w:tblGrid>
      <w:tr>
        <w:tblPrEx>
          <w:tblW w:w="0" w:type="auto"/>
          <w:jc w:val="left"/>
          <w:tblInd w:w="14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40"/>
          <w:jc w:val="left"/>
        </w:trPr>
        <w:tc>
          <w:tcPr>
            <w:tcW w:w="2047" w:type="dxa"/>
          </w:tcPr>
          <w:p>
            <w:pPr>
              <w:pStyle w:val="TableParagraph"/>
              <w:ind w:left="108"/>
              <w:jc w:val="left"/>
              <w:rPr>
                <w:sz w:val="21"/>
              </w:rPr>
            </w:pPr>
            <w:r>
              <w:rPr>
                <w:sz w:val="21"/>
              </w:rPr>
              <w:t>20</w:t>
            </w:r>
            <w:r>
              <w:rPr>
                <w:spacing w:val="-27"/>
                <w:sz w:val="21"/>
              </w:rPr>
              <w:t xml:space="preserve"> 世纪 </w:t>
            </w:r>
            <w:r>
              <w:rPr>
                <w:sz w:val="21"/>
              </w:rPr>
              <w:t>80</w:t>
            </w:r>
            <w:r>
              <w:rPr>
                <w:spacing w:val="-22"/>
                <w:sz w:val="21"/>
              </w:rPr>
              <w:t xml:space="preserve"> 年代</w:t>
            </w:r>
          </w:p>
        </w:tc>
        <w:tc>
          <w:tcPr>
            <w:tcW w:w="6674" w:type="dxa"/>
          </w:tcPr>
          <w:p>
            <w:pPr>
              <w:pStyle w:val="TableParagraph"/>
              <w:ind w:left="107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巨型结构，应力蒙皮结构，隔震结构</w:t>
            </w:r>
          </w:p>
        </w:tc>
      </w:tr>
      <w:tr>
        <w:tblPrEx>
          <w:tblW w:w="0" w:type="auto"/>
          <w:jc w:val="left"/>
          <w:tblInd w:w="14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40"/>
          <w:jc w:val="left"/>
        </w:trPr>
        <w:tc>
          <w:tcPr>
            <w:tcW w:w="2047" w:type="dxa"/>
          </w:tcPr>
          <w:p>
            <w:pPr>
              <w:pStyle w:val="TableParagraph"/>
              <w:ind w:left="108"/>
              <w:jc w:val="left"/>
              <w:rPr>
                <w:sz w:val="21"/>
              </w:rPr>
            </w:pPr>
            <w:r>
              <w:rPr>
                <w:sz w:val="21"/>
              </w:rPr>
              <w:t>20</w:t>
            </w:r>
            <w:r>
              <w:rPr>
                <w:spacing w:val="-28"/>
                <w:sz w:val="21"/>
              </w:rPr>
              <w:t xml:space="preserve"> 世纪 </w:t>
            </w:r>
            <w:r>
              <w:rPr>
                <w:sz w:val="21"/>
              </w:rPr>
              <w:t>80</w:t>
            </w:r>
            <w:r>
              <w:rPr>
                <w:spacing w:val="-14"/>
                <w:sz w:val="21"/>
              </w:rPr>
              <w:t xml:space="preserve"> 年代中期</w:t>
            </w:r>
          </w:p>
        </w:tc>
        <w:tc>
          <w:tcPr>
            <w:tcW w:w="6674" w:type="dxa"/>
          </w:tcPr>
          <w:p>
            <w:pPr>
              <w:pStyle w:val="TableParagraph"/>
              <w:ind w:left="107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被动耗能结构，主动控制结构，混合控制结构</w:t>
            </w:r>
          </w:p>
        </w:tc>
      </w:tr>
    </w:tbl>
    <w:p>
      <w:pPr>
        <w:pStyle w:val="Heading2"/>
        <w:numPr>
          <w:ilvl w:val="1"/>
          <w:numId w:val="4"/>
        </w:numPr>
        <w:tabs>
          <w:tab w:val="left" w:pos="947"/>
          <w:tab w:val="left" w:pos="948"/>
        </w:tabs>
        <w:spacing w:before="85" w:after="0" w:line="240" w:lineRule="auto"/>
        <w:ind w:left="948" w:right="0" w:hanging="700"/>
        <w:jc w:val="left"/>
      </w:pPr>
      <w:bookmarkStart w:id="9" w:name="_TOC_250016"/>
      <w:bookmarkEnd w:id="9"/>
      <w:r>
        <w:rPr>
          <w:spacing w:val="-3"/>
        </w:rPr>
        <w:t>设计工作</w:t>
      </w:r>
    </w:p>
    <w:p>
      <w:pPr>
        <w:pStyle w:val="BodyText"/>
        <w:spacing w:before="121" w:line="343" w:lineRule="auto"/>
        <w:ind w:left="248" w:right="352" w:firstLine="480"/>
        <w:jc w:val="both"/>
      </w:pPr>
      <w:r>
        <w:rPr>
          <w:spacing w:val="-2"/>
        </w:rPr>
        <w:t>我国是多地震国家，并且我国大部分高层建筑结构所在地区恰巧又是地震活</w:t>
      </w:r>
      <w:r>
        <w:rPr>
          <w:spacing w:val="-2"/>
        </w:rPr>
        <w:t>动较为频繁的地区，高层建筑集中的地区为东南沿海，如上海、广东、深圳，基</w:t>
      </w:r>
      <w:r>
        <w:rPr>
          <w:spacing w:val="-2"/>
        </w:rPr>
        <w:t>本风压也较大。因此高层建筑大多要考虑抗震、抗风问题。</w:t>
      </w:r>
    </w:p>
    <w:p>
      <w:pPr>
        <w:pStyle w:val="Heading3"/>
        <w:numPr>
          <w:ilvl w:val="2"/>
          <w:numId w:val="4"/>
        </w:numPr>
        <w:tabs>
          <w:tab w:val="left" w:pos="1092"/>
          <w:tab w:val="left" w:pos="1093"/>
        </w:tabs>
        <w:spacing w:before="182" w:after="0" w:line="240" w:lineRule="auto"/>
        <w:ind w:left="1092" w:right="0" w:hanging="845"/>
        <w:jc w:val="left"/>
      </w:pPr>
      <w:bookmarkStart w:id="10" w:name="_TOC_250015"/>
      <w:bookmarkEnd w:id="10"/>
      <w:r>
        <w:rPr>
          <w:spacing w:val="-2"/>
        </w:rPr>
        <w:t>抗震设计工作</w:t>
      </w:r>
    </w:p>
    <w:p>
      <w:pPr>
        <w:pStyle w:val="BodyText"/>
        <w:spacing w:before="6"/>
        <w:rPr>
          <w:rFonts w:ascii="Microsoft JhengHei"/>
          <w:b/>
          <w:sz w:val="18"/>
        </w:rPr>
      </w:pPr>
    </w:p>
    <w:p>
      <w:pPr>
        <w:pStyle w:val="ListParagraph"/>
        <w:numPr>
          <w:ilvl w:val="3"/>
          <w:numId w:val="4"/>
        </w:numPr>
        <w:tabs>
          <w:tab w:val="left" w:pos="1329"/>
        </w:tabs>
        <w:spacing w:before="0" w:after="0" w:line="343" w:lineRule="auto"/>
        <w:ind w:left="248" w:right="338" w:firstLine="480"/>
        <w:jc w:val="both"/>
        <w:rPr>
          <w:sz w:val="24"/>
        </w:rPr>
      </w:pPr>
      <w:r>
        <w:rPr>
          <w:spacing w:val="-2"/>
          <w:sz w:val="24"/>
        </w:rPr>
        <w:t>抗震设计的基本要求。高层建筑抗震的原则是“小震不坏，中震可修、</w:t>
      </w:r>
      <w:r>
        <w:rPr>
          <w:spacing w:val="-2"/>
          <w:sz w:val="24"/>
        </w:rPr>
        <w:t>大震不倒”。遵循这个原则就要求设计者在设计时要充分考虑合理的结构，通常剪力墙结构和筒体结构抗震能力高；还要考虑建筑结构位移的要求，保证刚度，</w:t>
      </w:r>
      <w:r>
        <w:rPr>
          <w:spacing w:val="-2"/>
          <w:sz w:val="24"/>
        </w:rPr>
        <w:t>允许位移；采用新型材料，减轻建筑结构自身重量，降低地震伤害等。</w:t>
      </w:r>
    </w:p>
    <w:p>
      <w:pPr>
        <w:pStyle w:val="ListParagraph"/>
        <w:numPr>
          <w:ilvl w:val="3"/>
          <w:numId w:val="4"/>
        </w:numPr>
        <w:tabs>
          <w:tab w:val="left" w:pos="1329"/>
        </w:tabs>
        <w:spacing w:before="2" w:after="0" w:line="343" w:lineRule="auto"/>
        <w:ind w:left="248" w:right="351" w:firstLine="480"/>
        <w:jc w:val="both"/>
        <w:rPr>
          <w:sz w:val="24"/>
        </w:rPr>
      </w:pPr>
      <w:r>
        <w:rPr>
          <w:spacing w:val="-2"/>
          <w:sz w:val="24"/>
        </w:rPr>
        <w:t>抗震设防目标。地震大多不常发生，而且有巨大的破坏力，因此，不能</w:t>
      </w:r>
      <w:r>
        <w:rPr>
          <w:spacing w:val="-2"/>
          <w:sz w:val="24"/>
        </w:rPr>
        <w:t>要求一般高层建筑在地震中完好无损，只能按照“小震不坏、中震可修、大震不</w:t>
      </w:r>
      <w:r>
        <w:rPr>
          <w:spacing w:val="-4"/>
          <w:sz w:val="24"/>
        </w:rPr>
        <w:t>倒”的原则进行设计。①小震不坏。在建筑物使用期间内可能遇到的多遇地震（小</w:t>
      </w:r>
      <w:r>
        <w:rPr>
          <w:sz w:val="24"/>
        </w:rPr>
        <w:t>震）</w:t>
      </w:r>
      <w:r>
        <w:rPr>
          <w:spacing w:val="-2"/>
          <w:sz w:val="24"/>
        </w:rPr>
        <w:t xml:space="preserve">，即相当于比设防烈度低 </w:t>
      </w:r>
      <w:r>
        <w:rPr>
          <w:sz w:val="24"/>
        </w:rPr>
        <w:t>1.5</w:t>
      </w:r>
      <w:r>
        <w:rPr>
          <w:spacing w:val="-6"/>
          <w:sz w:val="24"/>
        </w:rPr>
        <w:t xml:space="preserve"> 度的地震作用下，建筑结构应保持弹性状态而</w:t>
      </w:r>
      <w:r>
        <w:rPr>
          <w:spacing w:val="-2"/>
          <w:sz w:val="24"/>
        </w:rPr>
        <w:t>不损坏，按这种受力状态进行内力计算和截面设计。②中震可修。在一定的烈度下，建筑结构允许出现一定的损坏，经修理后仍可以继续使用，并保证生命和设备的安全。③大震不倒。当遭遇了罕见的大地震时，建筑物会严重损坏，但要求</w:t>
      </w:r>
      <w:r>
        <w:rPr>
          <w:spacing w:val="-1"/>
          <w:sz w:val="24"/>
        </w:rPr>
        <w:t xml:space="preserve">不倒塌，保证生命安全。所谓大震，一般指超出设计烈度 </w:t>
      </w:r>
      <w:r>
        <w:rPr>
          <w:sz w:val="24"/>
        </w:rPr>
        <w:t>1-1.5</w:t>
      </w:r>
      <w:r>
        <w:rPr>
          <w:spacing w:val="-5"/>
          <w:sz w:val="24"/>
        </w:rPr>
        <w:t xml:space="preserve"> 度的地震。</w:t>
      </w:r>
    </w:p>
    <w:p>
      <w:pPr>
        <w:pStyle w:val="ListParagraph"/>
        <w:numPr>
          <w:ilvl w:val="3"/>
          <w:numId w:val="4"/>
        </w:numPr>
        <w:tabs>
          <w:tab w:val="left" w:pos="1329"/>
        </w:tabs>
        <w:spacing w:before="2" w:after="0" w:line="343" w:lineRule="auto"/>
        <w:ind w:left="248" w:right="231" w:firstLine="480"/>
        <w:jc w:val="left"/>
        <w:rPr>
          <w:sz w:val="24"/>
        </w:rPr>
      </w:pPr>
      <w:r>
        <w:rPr>
          <w:spacing w:val="-9"/>
          <w:sz w:val="24"/>
        </w:rPr>
        <w:t>两阶段设计方法。①第一阶段设计。对绝大多数建筑结构，应满足第一</w:t>
      </w:r>
      <w:r>
        <w:rPr>
          <w:spacing w:val="-2"/>
          <w:sz w:val="24"/>
        </w:rPr>
        <w:t>、二水准的设计要求，即按照第一水准</w:t>
      </w:r>
      <w:r>
        <w:rPr>
          <w:spacing w:val="3"/>
          <w:sz w:val="24"/>
        </w:rPr>
        <w:t>（多遇地震</w:t>
      </w:r>
      <w:r>
        <w:rPr>
          <w:spacing w:val="2"/>
          <w:sz w:val="24"/>
        </w:rPr>
        <w:t>）的地震动参数进行地震作用</w:t>
      </w:r>
      <w:r>
        <w:rPr>
          <w:spacing w:val="-4"/>
          <w:sz w:val="24"/>
        </w:rPr>
        <w:t>计算、结构分析和构件内力计算，按规范进行截面设计，然后采取相应的构造措施，达到“小震不坏,中震可修”的要求。②第二阶段设计。对特别重要的建筑和地</w:t>
      </w:r>
      <w:r>
        <w:rPr>
          <w:sz w:val="24"/>
        </w:rPr>
        <w:t>震时容易倒塌的结构，除进行第一阶段设计外，还要进行薄弱层部位的弹塑性变</w:t>
      </w:r>
      <w:r>
        <w:rPr>
          <w:spacing w:val="1"/>
          <w:sz w:val="24"/>
        </w:rPr>
        <w:t>形验算和采取相应的构造措施，使薄弱层的水平位移不超过允许的弹塑性位移，实现第三水准的要求。吕西林在主层建筑结构</w:t>
      </w:r>
      <w:r>
        <w:rPr>
          <w:spacing w:val="3"/>
          <w:sz w:val="24"/>
        </w:rPr>
        <w:t>（</w:t>
      </w:r>
      <w:r>
        <w:rPr>
          <w:spacing w:val="-29"/>
          <w:sz w:val="24"/>
        </w:rPr>
        <w:t xml:space="preserve">第 </w:t>
      </w:r>
      <w:r>
        <w:rPr>
          <w:sz w:val="24"/>
        </w:rPr>
        <w:t>3</w:t>
      </w:r>
      <w:r>
        <w:rPr>
          <w:spacing w:val="-29"/>
          <w:sz w:val="24"/>
        </w:rPr>
        <w:t xml:space="preserve"> 版</w:t>
      </w:r>
      <w:r>
        <w:rPr>
          <w:spacing w:val="3"/>
          <w:sz w:val="24"/>
        </w:rPr>
        <w:t>）归纳两阶段设计的流程</w:t>
      </w:r>
      <w:r>
        <w:rPr>
          <w:sz w:val="24"/>
        </w:rPr>
        <w:t>如图（2-1）所示</w:t>
      </w:r>
      <w:r>
        <w:rPr>
          <w:w w:val="133"/>
          <w:sz w:val="24"/>
          <w:vertAlign w:val="superscript"/>
        </w:rPr>
        <w:t>[4]</w:t>
      </w:r>
      <w:r>
        <w:rPr>
          <w:sz w:val="24"/>
          <w:vertAlign w:val="baseline"/>
        </w:rPr>
        <w:t>。</w:t>
      </w:r>
    </w:p>
    <w:p>
      <w:pPr>
        <w:spacing w:after="0" w:line="343" w:lineRule="auto"/>
        <w:jc w:val="left"/>
        <w:rPr>
          <w:sz w:val="24"/>
        </w:rPr>
        <w:sectPr>
          <w:headerReference w:type="default" r:id="rId22"/>
          <w:footerReference w:type="default" r:id="rId23"/>
          <w:type w:val="continuous"/>
          <w:pgSz w:w="11910" w:h="16840"/>
          <w:pgMar w:top="1460" w:right="1120" w:bottom="1160" w:left="1680" w:header="879" w:footer="965"/>
          <w:pgNumType w:start="8"/>
          <w:cols w:space="708"/>
        </w:sectPr>
      </w:pPr>
    </w:p>
    <w:p>
      <w:pPr>
        <w:pStyle w:val="BodyText"/>
        <w:rPr>
          <w:sz w:val="20"/>
        </w:rPr>
      </w:pPr>
      <w:r>
        <w:pict>
          <v:line id="_x0000_s1033" style="mso-position-horizontal-relative:page;mso-position-vertical-relative:page;position:absolute;z-index:-251646976" from="187.55pt,455.05pt" to="378.15pt,455.05pt" stroked="t" strokecolor="black" strokeweight="0.5pt">
            <v:stroke dashstyle="solid"/>
          </v:line>
        </w:pict>
      </w:r>
      <w:r>
        <w:pict>
          <v:shape id="_x0000_s1034" style="width:8.25pt;height:7.75pt;margin-top:499.15pt;margin-left:255.38pt;mso-position-horizontal-relative:page;mso-position-vertical-relative:page;position:absolute;z-index:-251645952" coordorigin="5108,9983" coordsize="165,155" path="m5190,10137l5108,9993,5108,9989,5109,9986,5112,9984,5115,9983,5118,9984,5121,9987,5190,10107,5259,9985,5262,9983,5266,9983,5269,9984,5271,9987,5272,9990,5271,9994,5190,10137xe" filled="t" fillcolor="#36f" stroked="f">
            <v:fill type="solid"/>
            <v:path arrowok="t"/>
          </v:shape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2"/>
        <w:rPr>
          <w:sz w:val="17"/>
        </w:rPr>
      </w:pPr>
    </w:p>
    <w:tbl>
      <w:tblPr>
        <w:tblStyle w:val="TableNormal2"/>
        <w:tblW w:w="0" w:type="auto"/>
        <w:jc w:val="left"/>
        <w:tblInd w:w="1512" w:type="dxa"/>
        <w:tblBorders>
          <w:top w:val="single" w:sz="6" w:space="0" w:color="3366FF"/>
          <w:left w:val="single" w:sz="6" w:space="0" w:color="3366FF"/>
          <w:bottom w:val="single" w:sz="6" w:space="0" w:color="3366FF"/>
          <w:right w:val="single" w:sz="6" w:space="0" w:color="3366FF"/>
          <w:insideH w:val="single" w:sz="6" w:space="0" w:color="3366FF"/>
          <w:insideV w:val="single" w:sz="6" w:space="0" w:color="3366FF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90"/>
        <w:gridCol w:w="2591"/>
      </w:tblGrid>
      <w:tr>
        <w:tblPrEx>
          <w:tblW w:w="0" w:type="auto"/>
          <w:jc w:val="left"/>
          <w:tblInd w:w="1512" w:type="dxa"/>
          <w:tblBorders>
            <w:top w:val="single" w:sz="6" w:space="0" w:color="3366FF"/>
            <w:left w:val="single" w:sz="6" w:space="0" w:color="3366FF"/>
            <w:bottom w:val="single" w:sz="6" w:space="0" w:color="3366FF"/>
            <w:right w:val="single" w:sz="6" w:space="0" w:color="3366FF"/>
            <w:insideH w:val="single" w:sz="6" w:space="0" w:color="3366FF"/>
            <w:insideV w:val="single" w:sz="6" w:space="0" w:color="3366FF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396"/>
          <w:jc w:val="left"/>
        </w:trPr>
        <w:tc>
          <w:tcPr>
            <w:tcW w:w="4581" w:type="dxa"/>
            <w:gridSpan w:val="2"/>
          </w:tcPr>
          <w:p>
            <w:pPr>
              <w:pStyle w:val="TableParagraph"/>
              <w:spacing w:before="40"/>
              <w:ind w:left="151"/>
              <w:jc w:val="left"/>
              <w:rPr>
                <w:sz w:val="21"/>
              </w:rPr>
            </w:pPr>
            <w:r>
              <w:rPr>
                <w:sz w:val="21"/>
              </w:rPr>
              <w:t>求楼层屈服强度系数</w:t>
            </w:r>
            <w:r>
              <w:rPr>
                <w:rFonts w:ascii="Verdana" w:eastAsia="Verdana" w:hAnsi="Verdana"/>
                <w:i/>
                <w:spacing w:val="-5"/>
                <w:sz w:val="25"/>
              </w:rPr>
              <w:t>ξ</w:t>
            </w:r>
            <w:r>
              <w:rPr>
                <w:spacing w:val="-5"/>
                <w:sz w:val="21"/>
              </w:rPr>
              <w:t>：</w:t>
            </w:r>
          </w:p>
          <w:p>
            <w:pPr>
              <w:pStyle w:val="TableParagraph"/>
              <w:tabs>
                <w:tab w:val="left" w:pos="1635"/>
                <w:tab w:val="left" w:pos="3424"/>
              </w:tabs>
              <w:spacing w:before="74" w:line="184" w:lineRule="auto"/>
              <w:ind w:left="675" w:right="286" w:hanging="522"/>
              <w:jc w:val="left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Verdana" w:eastAsia="Verdana" w:hAnsi="Verdana"/>
                <w:i/>
                <w:position w:val="-14"/>
                <w:sz w:val="25"/>
              </w:rPr>
              <w:t>ξ</w:t>
            </w:r>
            <w:r>
              <w:rPr>
                <w:rFonts w:ascii="Symbol" w:eastAsia="Symbol" w:hAnsi="Symbol"/>
                <w:position w:val="-14"/>
                <w:sz w:val="24"/>
              </w:rPr>
              <w:sym w:font="Symbol" w:char="F03D"/>
            </w:r>
            <w:r>
              <w:rPr>
                <w:rFonts w:ascii="Times New Roman" w:eastAsia="Times New Roman" w:hAnsi="Times New Roman"/>
                <w:spacing w:val="-23"/>
                <w:position w:val="-14"/>
                <w:sz w:val="24"/>
              </w:rPr>
              <w:t xml:space="preserve"> </w:t>
            </w:r>
            <w:r>
              <w:rPr>
                <w:rFonts w:ascii="Times New Roman" w:eastAsia="Times New Roman" w:hAnsi="Times New Roman"/>
                <w:spacing w:val="43"/>
                <w:sz w:val="24"/>
              </w:rPr>
              <w:t>件</w:t>
            </w:r>
            <w:r>
              <w:rPr>
                <w:sz w:val="24"/>
              </w:rPr>
              <w:t>构</w:t>
            </w:r>
            <w:r>
              <w:rPr>
                <w:rFonts w:ascii="Times New Roman" w:eastAsia="Times New Roman" w:hAnsi="Times New Roman"/>
                <w:spacing w:val="43"/>
                <w:sz w:val="24"/>
              </w:rPr>
              <w:t>件</w:t>
            </w:r>
            <w:r>
              <w:rPr>
                <w:rFonts w:ascii="Times New Roman" w:eastAsia="Times New Roman" w:hAnsi="Times New Roman"/>
                <w:sz w:val="24"/>
              </w:rPr>
              <w:t>件</w:t>
            </w:r>
            <w:r>
              <w:rPr>
                <w:rFonts w:ascii="Times New Roman" w:eastAsia="Times New Roman" w:hAnsi="Times New Roman"/>
                <w:sz w:val="24"/>
              </w:rPr>
              <w:t>件</w:t>
            </w:r>
            <w:r>
              <w:rPr>
                <w:rFonts w:ascii="Times New Roman" w:eastAsia="Times New Roman" w:hAnsi="Times New Roman"/>
                <w:sz w:val="24"/>
              </w:rPr>
              <w:t>件</w:t>
            </w:r>
            <w:r>
              <w:rPr>
                <w:rFonts w:ascii="Times New Roman" w:eastAsia="Times New Roman" w:hAnsi="Times New Roman"/>
                <w:sz w:val="24"/>
              </w:rPr>
              <w:t>件</w:t>
            </w:r>
            <w:r>
              <w:rPr>
                <w:rFonts w:ascii="Times New Roman" w:eastAsia="Times New Roman" w:hAnsi="Times New Roman"/>
                <w:sz w:val="24"/>
              </w:rPr>
              <w:t>件</w:t>
            </w:r>
            <w:r>
              <w:rPr>
                <w:rFonts w:ascii="Times New Roman" w:eastAsia="Times New Roman" w:hAnsi="Times New Roman"/>
                <w:sz w:val="24"/>
              </w:rPr>
              <w:t>件</w:t>
            </w:r>
            <w:r>
              <w:rPr>
                <w:rFonts w:ascii="Times New Roman" w:eastAsia="Times New Roman" w:hAnsi="Times New Roman"/>
                <w:sz w:val="24"/>
              </w:rPr>
              <w:t>件</w:t>
            </w:r>
            <w:r>
              <w:rPr>
                <w:rFonts w:ascii="Times New Roman" w:eastAsia="Times New Roman" w:hAnsi="Times New Roman"/>
                <w:sz w:val="24"/>
              </w:rPr>
              <w:t>件</w:t>
            </w:r>
            <w:r>
              <w:rPr>
                <w:rFonts w:ascii="Times New Roman" w:eastAsia="Times New Roman" w:hAnsi="Times New Roman"/>
                <w:sz w:val="24"/>
              </w:rPr>
              <w:t>件</w:t>
            </w:r>
            <w:r>
              <w:rPr>
                <w:rFonts w:ascii="Times New Roman" w:eastAsia="Times New Roman" w:hAnsi="Times New Roman"/>
                <w:sz w:val="24"/>
              </w:rPr>
              <w:tab/>
              <w:t>件</w:t>
            </w:r>
            <w:r>
              <w:rPr>
                <w:rFonts w:ascii="Times New Roman" w:eastAsia="Times New Roman" w:hAnsi="Times New Roman"/>
                <w:sz w:val="24"/>
              </w:rPr>
              <w:t>件</w:t>
            </w:r>
            <w:r>
              <w:rPr>
                <w:rFonts w:ascii="Times New Roman" w:eastAsia="Times New Roman" w:hAnsi="Times New Roman"/>
                <w:spacing w:val="25"/>
                <w:sz w:val="24"/>
              </w:rPr>
              <w:t xml:space="preserve"> </w:t>
            </w:r>
            <w:r>
              <w:rPr>
                <w:rFonts w:ascii="Times New Roman" w:eastAsia="Times New Roman" w:hAnsi="Times New Roman"/>
                <w:sz w:val="24"/>
              </w:rPr>
              <w:t>件</w:t>
            </w:r>
            <w:r>
              <w:rPr>
                <w:rFonts w:ascii="Times New Roman" w:eastAsia="Times New Roman" w:hAnsi="Times New Roman"/>
                <w:spacing w:val="-230"/>
                <w:sz w:val="24"/>
              </w:rPr>
              <w:t>件</w:t>
            </w:r>
            <w:r>
              <w:rPr>
                <w:rFonts w:ascii="Times New Roman" w:eastAsia="Times New Roman" w:hAnsi="Times New Roman"/>
                <w:spacing w:val="-4"/>
                <w:sz w:val="24"/>
              </w:rPr>
              <w:t>件</w:t>
            </w:r>
            <w:r>
              <w:rPr>
                <w:rFonts w:ascii="Times New Roman" w:eastAsia="Times New Roman" w:hAnsi="Times New Roman"/>
                <w:spacing w:val="-4"/>
                <w:sz w:val="24"/>
              </w:rPr>
              <w:t>件</w:t>
            </w:r>
            <w:r>
              <w:rPr>
                <w:rFonts w:ascii="Times New Roman" w:eastAsia="Times New Roman" w:hAnsi="Times New Roman"/>
                <w:spacing w:val="-4"/>
                <w:sz w:val="24"/>
              </w:rPr>
              <w:t>件</w:t>
            </w:r>
            <w:r>
              <w:rPr>
                <w:rFonts w:ascii="Times New Roman" w:eastAsia="Times New Roman" w:hAnsi="Times New Roman"/>
                <w:spacing w:val="-10"/>
                <w:sz w:val="24"/>
              </w:rPr>
              <w:t>件</w:t>
            </w:r>
            <w:r>
              <w:rPr>
                <w:rFonts w:ascii="Times New Roman" w:eastAsia="Times New Roman" w:hAnsi="Times New Roman"/>
                <w:sz w:val="24"/>
              </w:rPr>
              <w:tab/>
            </w:r>
            <w:r>
              <w:rPr>
                <w:sz w:val="24"/>
              </w:rPr>
              <w:t>作</w:t>
            </w:r>
            <w:r>
              <w:rPr>
                <w:sz w:val="24"/>
              </w:rPr>
              <w:t>用</w:t>
            </w:r>
            <w:r>
              <w:rPr>
                <w:sz w:val="24"/>
              </w:rPr>
              <w:t>下</w:t>
            </w:r>
            <w:r>
              <w:rPr>
                <w:rFonts w:ascii="Times New Roman" w:eastAsia="Times New Roman" w:hAnsi="Times New Roman"/>
                <w:spacing w:val="41"/>
                <w:sz w:val="24"/>
              </w:rPr>
              <w:t>件</w:t>
            </w:r>
            <w:r>
              <w:rPr>
                <w:rFonts w:ascii="Times New Roman" w:eastAsia="Times New Roman" w:hAnsi="Times New Roman"/>
                <w:spacing w:val="41"/>
                <w:sz w:val="24"/>
              </w:rPr>
              <w:t>件</w:t>
            </w:r>
            <w:r>
              <w:rPr>
                <w:sz w:val="24"/>
              </w:rPr>
              <w:t>弹</w:t>
            </w:r>
            <w:r>
              <w:rPr>
                <w:sz w:val="24"/>
              </w:rPr>
              <w:t>性</w:t>
            </w:r>
            <w:r>
              <w:rPr>
                <w:rFonts w:ascii="Times New Roman" w:eastAsia="Times New Roman" w:hAnsi="Times New Roman"/>
                <w:sz w:val="24"/>
              </w:rPr>
              <w:t>件</w:t>
            </w:r>
            <w:r>
              <w:rPr>
                <w:rFonts w:ascii="Times New Roman" w:eastAsia="Times New Roman" w:hAnsi="Times New Roman"/>
                <w:sz w:val="24"/>
              </w:rPr>
              <w:t>件</w:t>
            </w:r>
            <w:r>
              <w:rPr>
                <w:rFonts w:ascii="Times New Roman" w:eastAsia="Times New Roman" w:hAnsi="Times New Roman"/>
                <w:sz w:val="24"/>
              </w:rPr>
              <w:t>件</w:t>
            </w:r>
            <w:r>
              <w:rPr>
                <w:rFonts w:ascii="Times New Roman" w:eastAsia="Times New Roman" w:hAnsi="Times New Roman"/>
                <w:spacing w:val="-140"/>
                <w:sz w:val="24"/>
              </w:rPr>
              <w:t>件</w:t>
            </w:r>
          </w:p>
          <w:p>
            <w:pPr>
              <w:pStyle w:val="TableParagraph"/>
              <w:spacing w:before="22"/>
              <w:ind w:left="151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确定楼层薄弱部位</w:t>
            </w:r>
          </w:p>
        </w:tc>
      </w:tr>
      <w:tr>
        <w:tblPrEx>
          <w:tblW w:w="0" w:type="auto"/>
          <w:jc w:val="left"/>
          <w:tblInd w:w="151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37"/>
          <w:jc w:val="left"/>
        </w:trPr>
        <w:tc>
          <w:tcPr>
            <w:tcW w:w="1990" w:type="dxa"/>
            <w:tcBorders>
              <w:left w:val="nil"/>
              <w:right w:val="single" w:sz="8" w:space="0" w:color="3366FF"/>
            </w:tcBorders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2591" w:type="dxa"/>
            <w:tcBorders>
              <w:left w:val="single" w:sz="8" w:space="0" w:color="3366FF"/>
              <w:right w:val="nil"/>
            </w:tcBorders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151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50"/>
          <w:jc w:val="left"/>
        </w:trPr>
        <w:tc>
          <w:tcPr>
            <w:tcW w:w="4581" w:type="dxa"/>
            <w:gridSpan w:val="2"/>
          </w:tcPr>
          <w:p>
            <w:pPr>
              <w:pStyle w:val="TableParagraph"/>
              <w:spacing w:before="60"/>
              <w:ind w:left="179"/>
              <w:jc w:val="left"/>
              <w:rPr>
                <w:rFonts w:ascii="Times New Roman" w:hAnsi="Times New Roman"/>
                <w:i/>
                <w:sz w:val="14"/>
              </w:rPr>
            </w:pPr>
            <w:r>
              <w:rPr>
                <w:sz w:val="21"/>
              </w:rPr>
              <w:t>计算层间弹塑性位移：</w:t>
            </w:r>
            <w:r>
              <w:rPr>
                <w:rFonts w:ascii="Times New Roman" w:hAnsi="Times New Roman"/>
                <w:sz w:val="21"/>
              </w:rPr>
              <w:t>1.</w:t>
            </w:r>
            <w:r>
              <w:rPr>
                <w:spacing w:val="3"/>
                <w:sz w:val="21"/>
              </w:rPr>
              <w:t>简化法</w:t>
            </w:r>
            <w:r>
              <w:rPr>
                <w:rFonts w:ascii="Symbol" w:hAnsi="Symbol"/>
                <w:sz w:val="24"/>
              </w:rPr>
              <w:sym w:font="Symbol" w:char="F044"/>
            </w:r>
            <w:r>
              <w:rPr>
                <w:rFonts w:ascii="Times New Roman" w:hAnsi="Times New Roman"/>
                <w:i/>
                <w:sz w:val="24"/>
              </w:rPr>
              <w:t>u</w:t>
            </w:r>
            <w:r>
              <w:rPr>
                <w:rFonts w:ascii="Times New Roman" w:hAnsi="Times New Roman"/>
                <w:i/>
                <w:spacing w:val="-29"/>
                <w:sz w:val="24"/>
              </w:rPr>
              <w:t xml:space="preserve"> </w:t>
            </w:r>
            <w:r>
              <w:rPr>
                <w:rFonts w:ascii="Times New Roman" w:hAnsi="Times New Roman"/>
                <w:i/>
                <w:position w:val="-5"/>
                <w:sz w:val="14"/>
              </w:rPr>
              <w:t>p</w:t>
            </w:r>
            <w:r>
              <w:rPr>
                <w:rFonts w:ascii="Times New Roman" w:hAnsi="Times New Roman"/>
                <w:i/>
                <w:spacing w:val="29"/>
                <w:position w:val="-5"/>
                <w:sz w:val="14"/>
              </w:rPr>
              <w:t xml:space="preserve"> </w:t>
            </w:r>
            <w:r>
              <w:rPr>
                <w:rFonts w:ascii="Symbol" w:hAnsi="Symbol"/>
                <w:sz w:val="24"/>
              </w:rPr>
              <w:sym w:font="Symbol" w:char="F03D"/>
            </w:r>
            <w:r>
              <w:rPr>
                <w:rFonts w:ascii="Verdana" w:hAnsi="Verdana"/>
                <w:i/>
                <w:sz w:val="25"/>
              </w:rPr>
              <w:t>η</w:t>
            </w:r>
            <w:r>
              <w:rPr>
                <w:rFonts w:ascii="Times New Roman" w:hAnsi="Times New Roman"/>
                <w:i/>
                <w:position w:val="-5"/>
                <w:sz w:val="14"/>
              </w:rPr>
              <w:t>p</w:t>
            </w:r>
            <w:r>
              <w:rPr>
                <w:rFonts w:ascii="Times New Roman" w:hAnsi="Times New Roman"/>
                <w:i/>
                <w:spacing w:val="-12"/>
                <w:position w:val="-5"/>
                <w:sz w:val="14"/>
              </w:rPr>
              <w:t xml:space="preserve"> </w:t>
            </w:r>
            <w:r>
              <w:rPr>
                <w:rFonts w:ascii="Symbol" w:hAnsi="Symbol"/>
                <w:sz w:val="24"/>
              </w:rPr>
              <w:sym w:font="Symbol" w:char="F044"/>
            </w:r>
            <w:r>
              <w:rPr>
                <w:rFonts w:ascii="Times New Roman" w:hAnsi="Times New Roman"/>
                <w:spacing w:val="-35"/>
                <w:sz w:val="24"/>
              </w:rPr>
              <w:t xml:space="preserve"> </w:t>
            </w:r>
            <w:r>
              <w:rPr>
                <w:rFonts w:ascii="Times New Roman" w:hAnsi="Times New Roman"/>
                <w:i/>
                <w:spacing w:val="-10"/>
                <w:position w:val="-5"/>
                <w:sz w:val="14"/>
              </w:rPr>
              <w:t>s</w:t>
            </w:r>
          </w:p>
          <w:p>
            <w:pPr>
              <w:pStyle w:val="TableParagraph"/>
              <w:spacing w:before="53"/>
              <w:ind w:left="2279"/>
              <w:jc w:val="left"/>
              <w:rPr>
                <w:sz w:val="21"/>
              </w:rPr>
            </w:pPr>
            <w:r>
              <w:rPr>
                <w:rFonts w:ascii="Times New Roman" w:eastAsia="Times New Roman"/>
                <w:sz w:val="21"/>
              </w:rPr>
              <w:t>2.</w:t>
            </w:r>
            <w:r>
              <w:rPr>
                <w:spacing w:val="-2"/>
                <w:sz w:val="21"/>
              </w:rPr>
              <w:t>时程分析法</w:t>
            </w: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28"/>
        </w:rPr>
      </w:pPr>
    </w:p>
    <w:p>
      <w:pPr>
        <w:pStyle w:val="BodyText"/>
        <w:tabs>
          <w:tab w:val="left" w:pos="899"/>
        </w:tabs>
        <w:spacing w:before="67"/>
        <w:ind w:right="105"/>
        <w:jc w:val="center"/>
      </w:pPr>
      <w:r>
        <w:pict>
          <v:group id="_x0000_s1035" style="width:363.45pt;height:563.1pt;margin-top:-578.08pt;margin-left:155.48pt;mso-position-horizontal-relative:page;position:absolute;z-index:-251648000" coordorigin="3110,-11562" coordsize="7269,11262">
            <v:rect id="_x0000_s1036" style="width:7254;height:4500;left:3117;position:absolute;top:-4808" filled="f" stroked="t" strokecolor="#36f" strokeweight="0.75pt">
              <v:stroke dashstyle="solid"/>
            </v:rect>
            <v:rect id="_x0000_s1037" style="width:6041;height:6710;left:3117;position:absolute;top:-11555" filled="f" stroked="t" strokecolor="#36f" strokeweight="0.75pt">
              <v:stroke dashstyle="solid"/>
            </v:rect>
            <v:rect id="_x0000_s1038" style="width:1853;height:465;left:3517;position:absolute;top:-5575" filled="t" fillcolor="white" stroked="f">
              <v:fill type="solid"/>
            </v:rect>
            <v:shape id="_x0000_s1039" style="width:165;height:155;left:5758;position:absolute;top:-10903" coordorigin="5758,-10902" coordsize="165,155" path="m5841,-10748l5759,-10892,5758,-10896,5760,-10899,5763,-10901,5766,-10902,5769,-10901,5772,-10898,5841,-10778,5910,-10900,5913,-10902,5917,-10902,5920,-10901,5922,-10898,5923,-10895,5922,-10891,5841,-10748xe" filled="t" fillcolor="#36f" stroked="f">
              <v:fill type="solid"/>
              <v:path arrowok="t"/>
            </v:shape>
            <v:line id="_x0000_s1040" style="position:absolute" from="5840,-11011" to="5841,-10768" stroked="t" strokecolor="#36f" strokeweight="0.75pt">
              <v:stroke dashstyle="solid"/>
            </v:line>
            <v:shape id="_x0000_s1041" style="width:165;height:155;left:5761;position:absolute;top:-10198" coordorigin="5761,-10198" coordsize="165,155" path="m5844,-10044l5761,-10188,5761,-10192,5763,-10195,5766,-10197,5769,-10197,5772,-10196,5775,-10194,5844,-10074,5913,-10196,5916,-10198,5920,-10198,5922,-10196,5925,-10194,5925,-10191,5924,-10187,5844,-10044xe" filled="t" fillcolor="#36f" stroked="f">
              <v:fill type="solid"/>
              <v:path arrowok="t"/>
            </v:shape>
            <v:line id="_x0000_s1042" style="position:absolute" from="5843,-10244" to="5844,-10063" stroked="t" strokecolor="#36f" strokeweight="0.75pt">
              <v:stroke dashstyle="solid"/>
            </v:line>
            <v:shape id="_x0000_s1043" style="width:165;height:155;left:5747;position:absolute;top:-9498" coordorigin="5747,-9498" coordsize="165,155" path="m5830,-9344l5747,-9488,5747,-9492,5749,-9495,5752,-9497,5755,-9497,5758,-9496,5761,-9494,5830,-9374,5899,-9496,5902,-9498,5906,-9498,5908,-9496,5911,-9494,5911,-9491,5910,-9487,5830,-9344xe" filled="t" fillcolor="#36f" stroked="f">
              <v:fill type="solid"/>
              <v:path arrowok="t"/>
            </v:shape>
            <v:line id="_x0000_s1044" style="position:absolute" from="5829,-9544" to="5830,-9363" stroked="t" strokecolor="#36f" strokeweight="0.75pt">
              <v:stroke dashstyle="solid"/>
            </v:line>
            <v:shape id="_x0000_s1045" style="width:165;height:155;left:5759;position:absolute;top:-8138" coordorigin="5759,-8138" coordsize="165,155" path="m5842,-7984l5759,-8128,5759,-8132,5761,-8135,5764,-8137,5767,-8137,5770,-8136,5773,-8134,5842,-8014,5911,-8136,5914,-8138,5918,-8138,5921,-8137,5923,-8134,5924,-8131,5923,-8127,5842,-7984xe" filled="t" fillcolor="#36f" stroked="f">
              <v:fill type="solid"/>
              <v:path arrowok="t"/>
            </v:shape>
            <v:line id="_x0000_s1046" style="position:absolute" from="5841,-8209" to="5842,-8003" stroked="t" strokecolor="#36f" strokeweight="0.75pt">
              <v:stroke dashstyle="solid"/>
            </v:line>
            <v:shape id="_x0000_s1047" style="width:165;height:155;left:5722;position:absolute;top:-7103" coordorigin="5722,-7103" coordsize="165,155" path="m5806,-6948l5722,-7091,5722,-7095,5724,-7098,5726,-7100,5730,-7101,5733,-7100,5736,-7097,5806,-6978,5873,-7100,5877,-7102,5880,-7103,5883,-7101,5885,-7099,5886,-7096,5885,-7092,5806,-6948xe" filled="t" fillcolor="#36f" stroked="f">
              <v:fill type="solid"/>
              <v:path arrowok="t"/>
            </v:shape>
            <v:line id="_x0000_s1048" style="position:absolute" from="5803,-7171" to="5806,-6967" stroked="t" strokecolor="#36f" strokeweight="0.75pt">
              <v:stroke dashstyle="solid"/>
            </v:line>
            <v:shape id="_x0000_s1049" style="width:165;height:155;left:4618;position:absolute;top:-6393" coordorigin="4618,-6393" coordsize="165,155" path="m4701,-6239l4618,-6383,4618,-6387,4620,-6390,4623,-6392,4626,-6392,4629,-6392,4632,-6389,4701,-6269,4770,-6391,4773,-6393,4777,-6393,4779,-6392,4782,-6389,4782,-6386,4781,-6382,4701,-6239xe" filled="t" fillcolor="#36f" stroked="f">
              <v:fill type="solid"/>
              <v:path arrowok="t"/>
            </v:shape>
            <v:line id="_x0000_s1050" style="position:absolute" from="4700,-6439" to="4701,-6258" stroked="t" strokecolor="#36f" strokeweight="0.75pt">
              <v:stroke dashstyle="solid"/>
            </v:line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51" type="#_x0000_t75" style="width:155;height:165;left:5919;position:absolute;top:-5904" stroked="f">
              <v:imagedata r:id="rId24" o:title=""/>
            </v:shape>
            <v:shape id="_x0000_s1052" type="#_x0000_t75" style="width:165;height:208;left:4636;position:absolute;top:-5762" stroked="f">
              <v:imagedata r:id="rId25" o:title=""/>
            </v:shape>
            <v:shape id="_x0000_s1053" type="#_x0000_t75" style="width:156;height:165;left:7944;position:absolute;top:-4047" stroked="f">
              <v:imagedata r:id="rId26" o:title=""/>
            </v:shape>
            <v:line id="_x0000_s1054" style="position:absolute" from="9577,-3941" to="7963,-3967" stroked="t" strokecolor="#36f" strokeweight="0.75pt">
              <v:stroke dashstyle="solid"/>
            </v:line>
            <v:line id="_x0000_s1055" style="position:absolute" from="9594,-3955" to="9595,-1896" stroked="t" strokecolor="#36f" strokeweight="0.75pt">
              <v:stroke dashstyle="solid"/>
            </v:line>
            <v:shape id="_x0000_s1056" style="width:164;height:159;left:5074;position:absolute;top:-2002" coordorigin="5075,-2001" coordsize="164,159" path="m5148,-1843l5075,-1992,5075,-1996,5077,-1999,5080,-2001,5083,-2001,5086,-2000,5089,-1997,5150,-1873,5226,-1990,5230,-1992,5233,-1992,5236,-1990,5238,-1988,5239,-1984,5238,-1981,5148,-1843xe" filled="t" fillcolor="#36f" stroked="f">
              <v:fill type="solid"/>
              <v:path arrowok="t"/>
            </v:shape>
            <v:line id="_x0000_s1057" style="position:absolute" from="5162,-2075" to="5149,-1862" stroked="t" strokecolor="#36f" strokeweight="0.75pt">
              <v:stroke dashstyle="solid"/>
            </v:line>
            <v:line id="_x0000_s1058" style="position:absolute" from="9389,-1890" to="9608,-1889" stroked="t" strokecolor="#36f" strokeweight="0.75pt">
              <v:stroke dashstyle="solid"/>
            </v:line>
            <v:shape id="_x0000_s1059" type="#_x0000_t75" style="width:156;height:165;left:7310;position:absolute;top:-1731" stroked="f">
              <v:imagedata r:id="rId27" o:title=""/>
            </v:shape>
            <v:line id="_x0000_s1060" style="position:absolute" from="6948,-1658" to="7447,-1645" stroked="t" strokecolor="#36f" strokeweight="0.75pt">
              <v:stroke dashstyle="solid"/>
            </v:line>
            <v:shape id="_x0000_s1061" style="width:157;height:165;left:7658;position:absolute;top:-1493" coordorigin="7658,-1493" coordsize="157,165" path="m7668,-1328l7664,-1329,7661,-1330,7659,-1333,7658,-1336,7659,-1340,7662,-1342,7785,-1406,7666,-1480,7664,-1483,7664,-1487,7666,-1490,7668,-1492,7671,-1493,7675,-1491,7815,-1405,7668,-1328xe" filled="t" fillcolor="#36f" stroked="f">
              <v:fill type="solid"/>
              <v:path arrowok="t"/>
            </v:shape>
            <v:line id="_x0000_s1062" style="position:absolute" from="7460,-1418" to="7796,-1406" stroked="t" strokecolor="#36f" strokeweight="0.75pt">
              <v:stroke dashstyle="solid"/>
            </v:line>
            <v:shape id="_x0000_s1063" style="width:157;height:165;left:7654;position:absolute;top:-1894" coordorigin="7654,-1894" coordsize="157,165" path="m7664,-1729l7660,-1730,7657,-1731,7655,-1734,7654,-1737,7655,-1741,7658,-1743,7781,-1807,7662,-1881,7660,-1884,7660,-1888,7662,-1891,7664,-1893,7667,-1894,7671,-1892,7811,-1806,7664,-1729xe" filled="t" fillcolor="#36f" stroked="f">
              <v:fill type="solid"/>
              <v:path arrowok="t"/>
            </v:shape>
            <v:line id="_x0000_s1064" style="position:absolute" from="7456,-1819" to="7792,-1807" stroked="t" strokecolor="#36f" strokeweight="0.75pt">
              <v:stroke dashstyle="solid"/>
            </v:line>
            <v:shape id="_x0000_s1065" style="width:2;height:423;left:7467;position:absolute;top:-1849" coordorigin="7467,-1849" coordsize="1,423" path="m7468,-1426l7467,-1849e" filled="t" fillcolor="white" stroked="f">
              <v:fill type="solid"/>
              <v:path arrowok="t"/>
            </v:shape>
            <v:line id="_x0000_s1066" style="position:absolute" from="7467,-1849" to="7468,-1426" stroked="t" strokecolor="#36f" strokeweight="0.75pt">
              <v:stroke dashstyle="solid"/>
            </v:line>
            <v:shape id="_x0000_s1067" style="width:165;height:155;left:5063;position:absolute;top:-1204" coordorigin="5063,-1204" coordsize="165,155" path="m5143,-1049l5063,-1195,5063,-1199,5065,-1202,5067,-1203,5071,-1204,5074,-1203,5077,-1200,5143,-1079,5214,-1200,5218,-1202,5221,-1202,5224,-1200,5227,-1198,5227,-1195,5226,-1191,5143,-1049xe" filled="t" fillcolor="#36f" stroked="f">
              <v:fill type="solid"/>
              <v:path arrowok="t"/>
            </v:shape>
            <v:line id="_x0000_s1068" style="position:absolute" from="5147,-1334" to="5143,-1068" stroked="t" strokecolor="#36f" strokeweight="0.75pt">
              <v:stroke dashstyle="solid"/>
            </v:line>
            <v:line id="_x0000_s1069" style="position:absolute" from="9389,-1426" to="9607,-1439" stroked="t" strokecolor="#36f" strokeweight="0.75pt">
              <v:stroke dashstyle="solid"/>
            </v:line>
            <v:line id="_x0000_s1070" style="position:absolute" from="9594,-1426" to="9595,-895" stroked="t" strokecolor="#36f" strokeweight="0.75pt">
              <v:stroke dashstyle="solid"/>
            </v:line>
            <v:shape id="_x0000_s1071" type="#_x0000_t75" style="width:155;height:165;left:7043;position:absolute;top:-949" stroked="f">
              <v:imagedata r:id="rId28" o:title=""/>
            </v:shape>
            <v:line id="_x0000_s1072" style="position:absolute" from="9608,-881" to="7062,-866" stroked="t" strokecolor="#36f" strokeweight="0.75pt">
              <v:stroke dashstyle="solid"/>
            </v:lin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73" type="#_x0000_t202" style="width:230;height:1572;left:8737;position:absolute;top:-9298" filled="f" stroked="f">
              <v:textbox inset="0,0,0,0">
                <w:txbxContent>
                  <w:p>
                    <w:pPr>
                      <w:spacing w:before="0" w:line="240" w:lineRule="exact"/>
                      <w:ind w:left="0" w:right="0" w:firstLine="0"/>
                      <w:jc w:val="left"/>
                      <w:rPr>
                        <w:sz w:val="21"/>
                      </w:rPr>
                    </w:pPr>
                    <w:r>
                      <w:rPr>
                        <w:sz w:val="21"/>
                      </w:rPr>
                      <w:t>第</w:t>
                    </w:r>
                  </w:p>
                  <w:p>
                    <w:pPr>
                      <w:spacing w:before="0" w:line="242" w:lineRule="auto"/>
                      <w:ind w:left="0" w:right="18" w:firstLine="0"/>
                      <w:jc w:val="both"/>
                      <w:rPr>
                        <w:sz w:val="21"/>
                      </w:rPr>
                    </w:pPr>
                    <w:r>
                      <w:rPr>
                        <w:spacing w:val="-10"/>
                        <w:sz w:val="21"/>
                      </w:rPr>
                      <w:t>—</w:t>
                    </w:r>
                    <w:r>
                      <w:rPr>
                        <w:spacing w:val="-10"/>
                        <w:sz w:val="21"/>
                      </w:rPr>
                      <w:t>阶</w:t>
                    </w:r>
                    <w:r>
                      <w:rPr>
                        <w:spacing w:val="-10"/>
                        <w:sz w:val="21"/>
                      </w:rPr>
                      <w:t>段</w:t>
                    </w:r>
                    <w:r>
                      <w:rPr>
                        <w:spacing w:val="-10"/>
                        <w:sz w:val="21"/>
                      </w:rPr>
                      <w:t>设</w:t>
                    </w:r>
                    <w:r>
                      <w:rPr>
                        <w:spacing w:val="-10"/>
                        <w:sz w:val="21"/>
                      </w:rPr>
                      <w:t>计</w:t>
                    </w:r>
                  </w:p>
                </w:txbxContent>
              </v:textbox>
            </v:shape>
            <v:shape id="_x0000_s1074" type="#_x0000_t202" style="width:392;height:266;left:5481;position:absolute;top:-6070" filled="f" stroked="f">
              <v:textbox inset="0,0,0,0">
                <w:txbxContent>
                  <w:p>
                    <w:pPr>
                      <w:spacing w:before="0" w:line="266" w:lineRule="exact"/>
                      <w:ind w:left="0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rFonts w:ascii="Times New Roman" w:eastAsia="Times New Roman"/>
                        <w:spacing w:val="71"/>
                        <w:sz w:val="24"/>
                        <w:u w:val="single" w:color="3366FF"/>
                      </w:rPr>
                      <w:t xml:space="preserve"> </w:t>
                    </w:r>
                    <w:r>
                      <w:rPr>
                        <w:spacing w:val="-10"/>
                        <w:sz w:val="24"/>
                        <w:u w:val="single" w:color="3366FF"/>
                      </w:rPr>
                      <w:t>是</w:t>
                    </w:r>
                  </w:p>
                </w:txbxContent>
              </v:textbox>
            </v:shape>
            <v:shape id="_x0000_s1075" type="#_x0000_t202" style="width:230;height:210;left:4328;position:absolute;top:-5756" filled="f" stroked="f">
              <v:textbox inset="0,0,0,0">
                <w:txbxContent>
                  <w:p>
                    <w:pPr>
                      <w:spacing w:before="0" w:line="210" w:lineRule="exact"/>
                      <w:ind w:left="0" w:right="0" w:firstLine="0"/>
                      <w:jc w:val="left"/>
                      <w:rPr>
                        <w:sz w:val="21"/>
                      </w:rPr>
                    </w:pPr>
                    <w:r>
                      <w:rPr>
                        <w:sz w:val="21"/>
                      </w:rPr>
                      <w:t>否</w:t>
                    </w:r>
                  </w:p>
                </w:txbxContent>
              </v:textbox>
            </v:shape>
            <v:shape id="_x0000_s1076" type="#_x0000_t202" style="width:230;height:210;left:7194;position:absolute;top:-1974" filled="f" stroked="f">
              <v:textbox inset="0,0,0,0">
                <w:txbxContent>
                  <w:p>
                    <w:pPr>
                      <w:spacing w:before="0" w:line="210" w:lineRule="exact"/>
                      <w:ind w:left="0" w:right="0" w:firstLine="0"/>
                      <w:jc w:val="left"/>
                      <w:rPr>
                        <w:sz w:val="21"/>
                      </w:rPr>
                    </w:pPr>
                    <w:r>
                      <w:rPr>
                        <w:sz w:val="21"/>
                      </w:rPr>
                      <w:t>否</w:t>
                    </w:r>
                  </w:p>
                </w:txbxContent>
              </v:textbox>
            </v:shape>
            <v:shape id="_x0000_s1077" type="#_x0000_t202" style="width:230;height:1572;left:9908;position:absolute;top:-3400" filled="f" stroked="f">
              <v:textbox inset="0,0,0,0">
                <w:txbxContent>
                  <w:p>
                    <w:pPr>
                      <w:spacing w:before="0" w:line="240" w:lineRule="exact"/>
                      <w:ind w:left="0" w:right="0" w:firstLine="0"/>
                      <w:jc w:val="left"/>
                      <w:rPr>
                        <w:sz w:val="21"/>
                      </w:rPr>
                    </w:pPr>
                    <w:r>
                      <w:rPr>
                        <w:sz w:val="21"/>
                      </w:rPr>
                      <w:t>第</w:t>
                    </w:r>
                  </w:p>
                  <w:p>
                    <w:pPr>
                      <w:spacing w:before="0" w:line="242" w:lineRule="auto"/>
                      <w:ind w:left="0" w:right="18" w:firstLine="0"/>
                      <w:jc w:val="both"/>
                      <w:rPr>
                        <w:sz w:val="21"/>
                      </w:rPr>
                    </w:pPr>
                    <w:r>
                      <w:rPr>
                        <w:spacing w:val="-10"/>
                        <w:sz w:val="21"/>
                      </w:rPr>
                      <w:t>二</w:t>
                    </w:r>
                    <w:r>
                      <w:rPr>
                        <w:spacing w:val="-10"/>
                        <w:sz w:val="21"/>
                      </w:rPr>
                      <w:t>阶</w:t>
                    </w:r>
                    <w:r>
                      <w:rPr>
                        <w:spacing w:val="-10"/>
                        <w:sz w:val="21"/>
                      </w:rPr>
                      <w:t>段</w:t>
                    </w:r>
                    <w:r>
                      <w:rPr>
                        <w:spacing w:val="-10"/>
                        <w:sz w:val="21"/>
                      </w:rPr>
                      <w:t>设</w:t>
                    </w:r>
                    <w:r>
                      <w:rPr>
                        <w:spacing w:val="-10"/>
                        <w:sz w:val="21"/>
                      </w:rPr>
                      <w:t>计</w:t>
                    </w:r>
                  </w:p>
                </w:txbxContent>
              </v:textbox>
            </v:shape>
            <v:shape id="_x0000_s1078" type="#_x0000_t202" style="width:260;height:240;left:4808;position:absolute;top:-1300" filled="f" stroked="f">
              <v:textbox inset="0,0,0,0">
                <w:txbxContent>
                  <w:p>
                    <w:pPr>
                      <w:spacing w:before="0" w:line="240" w:lineRule="exact"/>
                      <w:ind w:left="0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是</w:t>
                    </w:r>
                  </w:p>
                </w:txbxContent>
              </v:textbox>
            </v:shape>
            <v:shape id="_x0000_s1079" type="#_x0000_t202" style="width:3702;height:425;left:3254;position:absolute;top:-1058" filled="f" stroked="t" strokecolor="#36f" strokeweight="0.75pt">
              <v:stroke dashstyle="solid"/>
              <v:textbox inset="0,0,0,0">
                <w:txbxContent>
                  <w:p>
                    <w:pPr>
                      <w:spacing w:before="75"/>
                      <w:ind w:left="1619" w:right="1618" w:firstLine="0"/>
                      <w:jc w:val="center"/>
                      <w:rPr>
                        <w:sz w:val="21"/>
                      </w:rPr>
                    </w:pPr>
                    <w:r>
                      <w:rPr>
                        <w:spacing w:val="-5"/>
                        <w:sz w:val="21"/>
                      </w:rPr>
                      <w:t>结束</w:t>
                    </w:r>
                  </w:p>
                </w:txbxContent>
              </v:textbox>
            </v:shape>
            <v:shape id="_x0000_s1080" type="#_x0000_t202" style="width:1525;height:331;left:7826;position:absolute;top:-1582" filled="f" stroked="t" strokecolor="#36f" strokeweight="0.75pt">
              <v:stroke dashstyle="solid"/>
              <v:textbox inset="0,0,0,0">
                <w:txbxContent>
                  <w:p>
                    <w:pPr>
                      <w:spacing w:before="74"/>
                      <w:ind w:left="148" w:right="0" w:firstLine="0"/>
                      <w:jc w:val="left"/>
                      <w:rPr>
                        <w:sz w:val="15"/>
                      </w:rPr>
                    </w:pPr>
                    <w:r>
                      <w:rPr>
                        <w:spacing w:val="-2"/>
                        <w:sz w:val="15"/>
                      </w:rPr>
                      <w:t>改变截面或配筋</w:t>
                    </w:r>
                  </w:p>
                </w:txbxContent>
              </v:textbox>
            </v:shape>
            <v:shape id="_x0000_s1081" type="#_x0000_t202" style="width:3702;height:479;left:3254;position:absolute;top:-1816" filled="f" stroked="t" strokecolor="#36f" strokeweight="0.75pt">
              <v:stroke dashstyle="solid"/>
              <v:textbox inset="0,0,0,0">
                <w:txbxContent>
                  <w:p>
                    <w:pPr>
                      <w:spacing w:before="60"/>
                      <w:ind w:left="145" w:right="0" w:firstLine="0"/>
                      <w:jc w:val="left"/>
                      <w:rPr>
                        <w:rFonts w:ascii="Times New Roman" w:hAnsi="Times New Roman"/>
                        <w:i/>
                        <w:sz w:val="24"/>
                      </w:rPr>
                    </w:pPr>
                    <w:r>
                      <w:rPr>
                        <w:spacing w:val="-2"/>
                        <w:sz w:val="21"/>
                      </w:rPr>
                      <w:t>层间弹塑性位移验算</w:t>
                    </w:r>
                    <w:r>
                      <w:rPr>
                        <w:rFonts w:ascii="Symbol" w:hAnsi="Symbol"/>
                        <w:spacing w:val="-2"/>
                        <w:sz w:val="24"/>
                      </w:rPr>
                      <w:sym w:font="Symbol" w:char="F044"/>
                    </w:r>
                    <w:r>
                      <w:rPr>
                        <w:rFonts w:ascii="Times New Roman" w:hAnsi="Times New Roman"/>
                        <w:i/>
                        <w:spacing w:val="-2"/>
                        <w:sz w:val="24"/>
                      </w:rPr>
                      <w:t>u</w:t>
                    </w:r>
                    <w:r>
                      <w:rPr>
                        <w:rFonts w:ascii="Times New Roman" w:hAnsi="Times New Roman"/>
                        <w:i/>
                        <w:spacing w:val="-2"/>
                        <w:position w:val="-5"/>
                        <w:sz w:val="14"/>
                      </w:rPr>
                      <w:t>p</w:t>
                    </w:r>
                    <w:r>
                      <w:rPr>
                        <w:rFonts w:ascii="Times New Roman" w:hAnsi="Times New Roman"/>
                        <w:i/>
                        <w:spacing w:val="44"/>
                        <w:position w:val="-5"/>
                        <w:sz w:val="14"/>
                      </w:rPr>
                      <w:t xml:space="preserve"> </w:t>
                    </w:r>
                    <w:r>
                      <w:rPr>
                        <w:rFonts w:ascii="Symbol" w:hAnsi="Symbol"/>
                        <w:spacing w:val="-2"/>
                        <w:sz w:val="24"/>
                      </w:rPr>
                      <w:sym w:font="Symbol" w:char="F0A3"/>
                    </w:r>
                    <w:r>
                      <w:rPr>
                        <w:rFonts w:ascii="Times New Roman" w:hAnsi="Times New Roman"/>
                        <w:spacing w:val="-9"/>
                        <w:sz w:val="24"/>
                      </w:rPr>
                      <w:t xml:space="preserve"> [</w:t>
                    </w:r>
                    <w:r>
                      <w:rPr>
                        <w:rFonts w:ascii="Verdana" w:hAnsi="Verdana"/>
                        <w:i/>
                        <w:spacing w:val="-2"/>
                        <w:sz w:val="25"/>
                      </w:rPr>
                      <w:t>θ</w:t>
                    </w:r>
                    <w:r>
                      <w:rPr>
                        <w:rFonts w:ascii="Times New Roman" w:hAnsi="Times New Roman"/>
                        <w:i/>
                        <w:spacing w:val="-2"/>
                        <w:position w:val="-5"/>
                        <w:sz w:val="14"/>
                      </w:rPr>
                      <w:t xml:space="preserve">p </w:t>
                    </w:r>
                    <w:r>
                      <w:rPr>
                        <w:rFonts w:ascii="Times New Roman" w:hAnsi="Times New Roman"/>
                        <w:spacing w:val="-5"/>
                        <w:sz w:val="24"/>
                      </w:rPr>
                      <w:t>]</w:t>
                    </w:r>
                    <w:r>
                      <w:rPr>
                        <w:rFonts w:ascii="Times New Roman" w:hAnsi="Times New Roman"/>
                        <w:i/>
                        <w:spacing w:val="-5"/>
                        <w:sz w:val="24"/>
                      </w:rPr>
                      <w:t>H</w:t>
                    </w:r>
                  </w:p>
                </w:txbxContent>
              </v:textbox>
            </v:shape>
            <v:shape id="_x0000_s1082" type="#_x0000_t202" style="width:1525;height:360;left:7826;position:absolute;top:-2040" filled="f" stroked="t" strokecolor="#36f" strokeweight="0.75pt">
              <v:stroke dashstyle="solid"/>
              <v:textbox inset="0,0,0,0">
                <w:txbxContent>
                  <w:p>
                    <w:pPr>
                      <w:spacing w:before="74"/>
                      <w:ind w:left="139" w:right="0" w:firstLine="0"/>
                      <w:jc w:val="left"/>
                      <w:rPr>
                        <w:sz w:val="15"/>
                      </w:rPr>
                    </w:pPr>
                    <w:r>
                      <w:rPr>
                        <w:spacing w:val="-2"/>
                        <w:sz w:val="15"/>
                      </w:rPr>
                      <w:t>改变截面或配筋</w:t>
                    </w:r>
                  </w:p>
                </w:txbxContent>
              </v:textbox>
            </v:shape>
            <v:shape id="_x0000_s1083" type="#_x0000_t202" style="width:2322;height:470;left:6136;position:absolute;top:-6235" filled="f" stroked="t" strokecolor="#36f" strokeweight="0.75pt">
              <v:stroke dashstyle="solid"/>
              <v:textbox inset="0,0,0,0">
                <w:txbxContent>
                  <w:p>
                    <w:pPr>
                      <w:spacing w:before="80"/>
                      <w:ind w:left="606" w:right="0" w:firstLine="0"/>
                      <w:jc w:val="left"/>
                      <w:rPr>
                        <w:sz w:val="18"/>
                      </w:rPr>
                    </w:pPr>
                    <w:r>
                      <w:rPr>
                        <w:spacing w:val="-2"/>
                        <w:sz w:val="18"/>
                      </w:rPr>
                      <w:t>第二阶段设计</w:t>
                    </w:r>
                  </w:p>
                </w:txbxContent>
              </v:textbox>
            </v:shape>
            <v:shape id="_x0000_s1084" type="#_x0000_t202" style="width:1879;height:460;left:3491;position:absolute;top:-6235" filled="f" stroked="t" strokecolor="#36f" strokeweight="0.75pt">
              <v:stroke dashstyle="solid"/>
              <v:textbox inset="0,0,0,0">
                <w:txbxContent>
                  <w:p>
                    <w:pPr>
                      <w:spacing w:before="70"/>
                      <w:ind w:left="289" w:right="0" w:firstLine="0"/>
                      <w:jc w:val="left"/>
                      <w:rPr>
                        <w:sz w:val="18"/>
                      </w:rPr>
                    </w:pPr>
                    <w:r>
                      <w:rPr>
                        <w:spacing w:val="-2"/>
                        <w:sz w:val="18"/>
                      </w:rPr>
                      <w:t>弹塑性变形验算</w:t>
                    </w:r>
                  </w:p>
                </w:txbxContent>
              </v:textbox>
            </v:shape>
            <v:shape id="_x0000_s1085" type="#_x0000_t202" style="width:4966;height:465;left:3491;position:absolute;top:-6945" filled="f" stroked="t" strokecolor="#36f" strokeweight="0.75pt">
              <v:stroke dashstyle="solid"/>
              <v:textbox inset="0,0,0,0">
                <w:txbxContent>
                  <w:p>
                    <w:pPr>
                      <w:spacing w:before="60"/>
                      <w:ind w:left="328" w:right="0" w:firstLine="0"/>
                      <w:jc w:val="left"/>
                      <w:rPr>
                        <w:rFonts w:ascii="Times New Roman" w:hAnsi="Times New Roman"/>
                        <w:i/>
                        <w:sz w:val="14"/>
                      </w:rPr>
                    </w:pPr>
                    <w:r>
                      <w:rPr>
                        <w:spacing w:val="-3"/>
                        <w:sz w:val="18"/>
                      </w:rPr>
                      <w:t xml:space="preserve">结构构件截面设计及配筋，抗震验算 </w:t>
                    </w:r>
                    <w:r>
                      <w:rPr>
                        <w:rFonts w:ascii="Times New Roman" w:hAnsi="Times New Roman"/>
                        <w:i/>
                        <w:sz w:val="24"/>
                      </w:rPr>
                      <w:t>S</w:t>
                    </w:r>
                    <w:r>
                      <w:rPr>
                        <w:rFonts w:ascii="Times New Roman" w:hAnsi="Times New Roman"/>
                        <w:i/>
                        <w:spacing w:val="8"/>
                        <w:sz w:val="24"/>
                      </w:rPr>
                      <w:t xml:space="preserve"> </w:t>
                    </w:r>
                    <w:r>
                      <w:rPr>
                        <w:rFonts w:ascii="Symbol" w:hAnsi="Symbol"/>
                        <w:sz w:val="24"/>
                      </w:rPr>
                      <w:sym w:font="Symbol" w:char="F0A3"/>
                    </w:r>
                    <w:r>
                      <w:rPr>
                        <w:rFonts w:ascii="Times New Roman" w:hAnsi="Times New Roman"/>
                        <w:spacing w:val="2"/>
                        <w:sz w:val="24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i/>
                        <w:sz w:val="24"/>
                      </w:rPr>
                      <w:t>R</w:t>
                    </w:r>
                    <w:r>
                      <w:rPr>
                        <w:rFonts w:ascii="Times New Roman" w:hAnsi="Times New Roman"/>
                        <w:i/>
                        <w:spacing w:val="-20"/>
                        <w:sz w:val="24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spacing w:val="-4"/>
                        <w:sz w:val="24"/>
                      </w:rPr>
                      <w:t>/</w:t>
                    </w:r>
                    <w:r>
                      <w:rPr>
                        <w:rFonts w:ascii="Verdana" w:hAnsi="Verdana"/>
                        <w:i/>
                        <w:spacing w:val="-4"/>
                        <w:sz w:val="25"/>
                      </w:rPr>
                      <w:t>γ</w:t>
                    </w:r>
                    <w:r>
                      <w:rPr>
                        <w:rFonts w:ascii="Times New Roman" w:hAnsi="Times New Roman"/>
                        <w:i/>
                        <w:spacing w:val="-4"/>
                        <w:position w:val="-5"/>
                        <w:sz w:val="14"/>
                      </w:rPr>
                      <w:t>RS</w:t>
                    </w:r>
                  </w:p>
                </w:txbxContent>
              </v:textbox>
            </v:shape>
            <v:shape id="_x0000_s1086" type="#_x0000_t202" style="width:4966;height:795;left:3491;position:absolute;top:-7971" filled="f" stroked="t" strokecolor="#36f" strokeweight="0.75pt">
              <v:stroke dashstyle="solid"/>
              <v:textbox inset="0,0,0,0">
                <w:txbxContent>
                  <w:p>
                    <w:pPr>
                      <w:spacing w:before="75" w:line="225" w:lineRule="exact"/>
                      <w:ind w:left="422" w:right="0" w:firstLine="0"/>
                      <w:jc w:val="left"/>
                      <w:rPr>
                        <w:sz w:val="18"/>
                      </w:rPr>
                    </w:pPr>
                    <w:r>
                      <w:rPr>
                        <w:spacing w:val="-1"/>
                        <w:sz w:val="18"/>
                      </w:rPr>
                      <w:t>计算构件地震作用效应及其所荷载效应组合</w:t>
                    </w:r>
                  </w:p>
                  <w:p>
                    <w:pPr>
                      <w:spacing w:before="0" w:line="336" w:lineRule="exact"/>
                      <w:ind w:left="192" w:right="0" w:firstLine="0"/>
                      <w:jc w:val="left"/>
                      <w:rPr>
                        <w:rFonts w:ascii="Times New Roman" w:hAnsi="Times New Roman"/>
                        <w:i/>
                        <w:sz w:val="24"/>
                      </w:rPr>
                    </w:pPr>
                    <w:r>
                      <w:rPr>
                        <w:rFonts w:ascii="Times New Roman" w:hAnsi="Times New Roman"/>
                        <w:i/>
                        <w:spacing w:val="-12"/>
                        <w:sz w:val="24"/>
                      </w:rPr>
                      <w:t>S</w:t>
                    </w:r>
                    <w:r>
                      <w:rPr>
                        <w:rFonts w:ascii="Times New Roman" w:hAnsi="Times New Roman"/>
                        <w:i/>
                        <w:spacing w:val="-3"/>
                        <w:sz w:val="24"/>
                      </w:rPr>
                      <w:t xml:space="preserve"> </w:t>
                    </w:r>
                    <w:r>
                      <w:rPr>
                        <w:rFonts w:ascii="Symbol" w:hAnsi="Symbol"/>
                        <w:spacing w:val="-12"/>
                        <w:sz w:val="24"/>
                      </w:rPr>
                      <w:sym w:font="Symbol" w:char="F03D"/>
                    </w:r>
                    <w:r>
                      <w:rPr>
                        <w:rFonts w:ascii="Times New Roman" w:hAnsi="Times New Roman"/>
                        <w:spacing w:val="-34"/>
                        <w:sz w:val="24"/>
                      </w:rPr>
                      <w:t xml:space="preserve"> </w:t>
                    </w:r>
                    <w:r>
                      <w:rPr>
                        <w:rFonts w:ascii="Verdana" w:hAnsi="Verdana"/>
                        <w:i/>
                        <w:spacing w:val="-12"/>
                        <w:sz w:val="25"/>
                      </w:rPr>
                      <w:t>γ</w:t>
                    </w:r>
                    <w:r>
                      <w:rPr>
                        <w:rFonts w:ascii="Times New Roman" w:hAnsi="Times New Roman"/>
                        <w:i/>
                        <w:spacing w:val="-12"/>
                        <w:position w:val="-5"/>
                        <w:sz w:val="14"/>
                      </w:rPr>
                      <w:t>G</w:t>
                    </w:r>
                    <w:r>
                      <w:rPr>
                        <w:rFonts w:ascii="Times New Roman" w:hAnsi="Times New Roman"/>
                        <w:i/>
                        <w:spacing w:val="-12"/>
                        <w:sz w:val="24"/>
                      </w:rPr>
                      <w:t>C</w:t>
                    </w:r>
                    <w:r>
                      <w:rPr>
                        <w:rFonts w:ascii="Times New Roman" w:hAnsi="Times New Roman"/>
                        <w:i/>
                        <w:spacing w:val="-12"/>
                        <w:position w:val="-5"/>
                        <w:sz w:val="14"/>
                      </w:rPr>
                      <w:t>G</w:t>
                    </w:r>
                    <w:r>
                      <w:rPr>
                        <w:rFonts w:ascii="Times New Roman" w:hAnsi="Times New Roman"/>
                        <w:i/>
                        <w:spacing w:val="-12"/>
                        <w:sz w:val="24"/>
                      </w:rPr>
                      <w:t>G</w:t>
                    </w:r>
                    <w:r>
                      <w:rPr>
                        <w:rFonts w:ascii="Times New Roman" w:hAnsi="Times New Roman"/>
                        <w:i/>
                        <w:spacing w:val="-12"/>
                        <w:position w:val="-5"/>
                        <w:sz w:val="14"/>
                      </w:rPr>
                      <w:t>E</w:t>
                    </w:r>
                    <w:r>
                      <w:rPr>
                        <w:rFonts w:ascii="Times New Roman" w:hAnsi="Times New Roman"/>
                        <w:i/>
                        <w:spacing w:val="12"/>
                        <w:position w:val="-5"/>
                        <w:sz w:val="14"/>
                      </w:rPr>
                      <w:t xml:space="preserve"> </w:t>
                    </w:r>
                    <w:r>
                      <w:rPr>
                        <w:rFonts w:ascii="Symbol" w:hAnsi="Symbol"/>
                        <w:spacing w:val="-12"/>
                        <w:sz w:val="24"/>
                      </w:rPr>
                      <w:sym w:font="Symbol" w:char="F02B"/>
                    </w:r>
                    <w:r>
                      <w:rPr>
                        <w:rFonts w:ascii="Verdana" w:hAnsi="Verdana"/>
                        <w:i/>
                        <w:spacing w:val="-12"/>
                        <w:sz w:val="25"/>
                      </w:rPr>
                      <w:t>γ</w:t>
                    </w:r>
                    <w:r>
                      <w:rPr>
                        <w:rFonts w:ascii="Times New Roman" w:hAnsi="Times New Roman"/>
                        <w:i/>
                        <w:spacing w:val="-12"/>
                        <w:position w:val="-5"/>
                        <w:sz w:val="14"/>
                      </w:rPr>
                      <w:t>Eh</w:t>
                    </w:r>
                    <w:r>
                      <w:rPr>
                        <w:rFonts w:ascii="Times New Roman" w:hAnsi="Times New Roman"/>
                        <w:i/>
                        <w:spacing w:val="-12"/>
                        <w:sz w:val="24"/>
                      </w:rPr>
                      <w:t>C</w:t>
                    </w:r>
                    <w:r>
                      <w:rPr>
                        <w:rFonts w:ascii="Times New Roman" w:hAnsi="Times New Roman"/>
                        <w:i/>
                        <w:spacing w:val="-12"/>
                        <w:position w:val="-5"/>
                        <w:sz w:val="14"/>
                      </w:rPr>
                      <w:t>Eh</w:t>
                    </w:r>
                    <w:r>
                      <w:rPr>
                        <w:rFonts w:ascii="Times New Roman" w:hAnsi="Times New Roman"/>
                        <w:i/>
                        <w:spacing w:val="-14"/>
                        <w:position w:val="-5"/>
                        <w:sz w:val="14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i/>
                        <w:spacing w:val="-12"/>
                        <w:sz w:val="24"/>
                      </w:rPr>
                      <w:t>F</w:t>
                    </w:r>
                    <w:r>
                      <w:rPr>
                        <w:rFonts w:ascii="Times New Roman" w:hAnsi="Times New Roman"/>
                        <w:i/>
                        <w:spacing w:val="-12"/>
                        <w:position w:val="-5"/>
                        <w:sz w:val="14"/>
                      </w:rPr>
                      <w:t>Ek</w:t>
                    </w:r>
                    <w:r>
                      <w:rPr>
                        <w:rFonts w:ascii="Times New Roman" w:hAnsi="Times New Roman"/>
                        <w:i/>
                        <w:spacing w:val="14"/>
                        <w:position w:val="-5"/>
                        <w:sz w:val="14"/>
                      </w:rPr>
                      <w:t xml:space="preserve"> </w:t>
                    </w:r>
                    <w:r>
                      <w:rPr>
                        <w:rFonts w:ascii="Symbol" w:hAnsi="Symbol"/>
                        <w:spacing w:val="-12"/>
                        <w:sz w:val="24"/>
                      </w:rPr>
                      <w:sym w:font="Symbol" w:char="F02B"/>
                    </w:r>
                    <w:r>
                      <w:rPr>
                        <w:rFonts w:ascii="Verdana" w:hAnsi="Verdana"/>
                        <w:i/>
                        <w:spacing w:val="-12"/>
                        <w:sz w:val="25"/>
                      </w:rPr>
                      <w:t>γ</w:t>
                    </w:r>
                    <w:r>
                      <w:rPr>
                        <w:rFonts w:ascii="Times New Roman" w:hAnsi="Times New Roman"/>
                        <w:i/>
                        <w:spacing w:val="-12"/>
                        <w:position w:val="-5"/>
                        <w:sz w:val="14"/>
                      </w:rPr>
                      <w:t>EV</w:t>
                    </w:r>
                    <w:r>
                      <w:rPr>
                        <w:rFonts w:ascii="Times New Roman" w:hAnsi="Times New Roman"/>
                        <w:i/>
                        <w:spacing w:val="4"/>
                        <w:position w:val="-5"/>
                        <w:sz w:val="14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i/>
                        <w:spacing w:val="-12"/>
                        <w:sz w:val="24"/>
                      </w:rPr>
                      <w:t>E</w:t>
                    </w:r>
                    <w:r>
                      <w:rPr>
                        <w:rFonts w:ascii="Times New Roman" w:hAnsi="Times New Roman"/>
                        <w:i/>
                        <w:spacing w:val="-12"/>
                        <w:position w:val="-5"/>
                        <w:sz w:val="14"/>
                      </w:rPr>
                      <w:t>Evk</w:t>
                    </w:r>
                    <w:r>
                      <w:rPr>
                        <w:rFonts w:ascii="Times New Roman" w:hAnsi="Times New Roman"/>
                        <w:i/>
                        <w:spacing w:val="18"/>
                        <w:position w:val="-5"/>
                        <w:sz w:val="14"/>
                      </w:rPr>
                      <w:t xml:space="preserve"> </w:t>
                    </w:r>
                    <w:r>
                      <w:rPr>
                        <w:rFonts w:ascii="Symbol" w:hAnsi="Symbol"/>
                        <w:spacing w:val="-12"/>
                        <w:sz w:val="24"/>
                      </w:rPr>
                      <w:sym w:font="Symbol" w:char="F02B"/>
                    </w:r>
                    <w:r>
                      <w:rPr>
                        <w:rFonts w:ascii="Verdana" w:hAnsi="Verdana"/>
                        <w:i/>
                        <w:spacing w:val="-12"/>
                        <w:sz w:val="25"/>
                      </w:rPr>
                      <w:t>ψ</w:t>
                    </w:r>
                    <w:r>
                      <w:rPr>
                        <w:rFonts w:ascii="Times New Roman" w:hAnsi="Times New Roman"/>
                        <w:i/>
                        <w:spacing w:val="-12"/>
                        <w:position w:val="-5"/>
                        <w:sz w:val="14"/>
                      </w:rPr>
                      <w:t>W</w:t>
                    </w:r>
                    <w:r>
                      <w:rPr>
                        <w:rFonts w:ascii="Verdana" w:hAnsi="Verdana"/>
                        <w:i/>
                        <w:spacing w:val="-12"/>
                        <w:sz w:val="25"/>
                      </w:rPr>
                      <w:t>γ</w:t>
                    </w:r>
                    <w:r>
                      <w:rPr>
                        <w:rFonts w:ascii="Times New Roman" w:hAnsi="Times New Roman"/>
                        <w:i/>
                        <w:spacing w:val="-12"/>
                        <w:position w:val="-5"/>
                        <w:sz w:val="14"/>
                      </w:rPr>
                      <w:t>K</w:t>
                    </w:r>
                    <w:r>
                      <w:rPr>
                        <w:rFonts w:ascii="Times New Roman" w:hAnsi="Times New Roman"/>
                        <w:i/>
                        <w:spacing w:val="-15"/>
                        <w:position w:val="-5"/>
                        <w:sz w:val="14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i/>
                        <w:spacing w:val="-12"/>
                        <w:sz w:val="24"/>
                      </w:rPr>
                      <w:t>C</w:t>
                    </w:r>
                    <w:r>
                      <w:rPr>
                        <w:rFonts w:ascii="Times New Roman" w:hAnsi="Times New Roman"/>
                        <w:i/>
                        <w:spacing w:val="-12"/>
                        <w:position w:val="-5"/>
                        <w:sz w:val="14"/>
                      </w:rPr>
                      <w:t>W</w:t>
                    </w:r>
                    <w:r>
                      <w:rPr>
                        <w:rFonts w:ascii="Times New Roman" w:hAnsi="Times New Roman"/>
                        <w:i/>
                        <w:spacing w:val="2"/>
                        <w:position w:val="-5"/>
                        <w:sz w:val="14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i/>
                        <w:spacing w:val="-12"/>
                        <w:sz w:val="24"/>
                      </w:rPr>
                      <w:t>wk</w:t>
                    </w:r>
                  </w:p>
                </w:txbxContent>
              </v:textbox>
            </v:shape>
            <v:shape id="_x0000_s1087" type="#_x0000_t202" style="width:4966;height:1111;left:3491;position:absolute;top:-9346" filled="f" stroked="t" strokecolor="#36f" strokeweight="0.75pt">
              <v:stroke dashstyle="solid"/>
              <v:textbox inset="0,0,0,0">
                <w:txbxContent>
                  <w:p>
                    <w:pPr>
                      <w:spacing w:before="75"/>
                      <w:ind w:left="511" w:right="0" w:firstLine="0"/>
                      <w:jc w:val="left"/>
                      <w:rPr>
                        <w:sz w:val="18"/>
                      </w:rPr>
                    </w:pPr>
                    <w:r>
                      <w:rPr>
                        <w:spacing w:val="-2"/>
                        <w:sz w:val="18"/>
                      </w:rPr>
                      <w:t>计算结构地震作用</w:t>
                    </w:r>
                  </w:p>
                  <w:p>
                    <w:pPr>
                      <w:numPr>
                        <w:ilvl w:val="0"/>
                        <w:numId w:val="3"/>
                      </w:numPr>
                      <w:tabs>
                        <w:tab w:val="left" w:pos="288"/>
                      </w:tabs>
                      <w:spacing w:before="2"/>
                      <w:ind w:left="287" w:right="0" w:hanging="137"/>
                      <w:jc w:val="left"/>
                      <w:rPr>
                        <w:rFonts w:ascii="Times New Roman" w:eastAsia="Times New Roman" w:hAnsi="Times New Roman"/>
                        <w:sz w:val="18"/>
                      </w:rPr>
                    </w:pPr>
                    <w:r>
                      <w:rPr>
                        <w:spacing w:val="-8"/>
                        <w:sz w:val="18"/>
                      </w:rPr>
                      <w:t xml:space="preserve">底部剪力法 </w:t>
                    </w:r>
                    <w:r>
                      <w:rPr>
                        <w:rFonts w:ascii="Times New Roman" w:eastAsia="Times New Roman" w:hAnsi="Times New Roman"/>
                        <w:spacing w:val="-2"/>
                        <w:sz w:val="18"/>
                      </w:rPr>
                      <w:t>F</w:t>
                    </w:r>
                    <w:r>
                      <w:rPr>
                        <w:rFonts w:ascii="Times New Roman" w:eastAsia="Times New Roman" w:hAnsi="Times New Roman"/>
                        <w:spacing w:val="-2"/>
                        <w:sz w:val="18"/>
                        <w:vertAlign w:val="subscript"/>
                      </w:rPr>
                      <w:t>EK</w:t>
                    </w:r>
                    <w:r>
                      <w:rPr>
                        <w:rFonts w:ascii="Times New Roman" w:eastAsia="Times New Roman" w:hAnsi="Times New Roman"/>
                        <w:spacing w:val="-2"/>
                        <w:sz w:val="18"/>
                        <w:vertAlign w:val="baseline"/>
                      </w:rPr>
                      <w:t>=</w:t>
                    </w:r>
                    <w:r>
                      <w:rPr>
                        <w:rFonts w:ascii="Arial" w:eastAsia="Arial" w:hAnsi="Arial"/>
                        <w:spacing w:val="-2"/>
                        <w:sz w:val="18"/>
                        <w:vertAlign w:val="baseline"/>
                      </w:rPr>
                      <w:t>α</w:t>
                    </w:r>
                    <w:r>
                      <w:rPr>
                        <w:rFonts w:ascii="Times New Roman" w:eastAsia="Times New Roman" w:hAnsi="Times New Roman"/>
                        <w:spacing w:val="-2"/>
                        <w:sz w:val="18"/>
                        <w:vertAlign w:val="baseline"/>
                      </w:rPr>
                      <w:t>1G</w:t>
                    </w:r>
                    <w:r>
                      <w:rPr>
                        <w:rFonts w:ascii="Times New Roman" w:eastAsia="Times New Roman" w:hAnsi="Times New Roman"/>
                        <w:spacing w:val="-2"/>
                        <w:sz w:val="18"/>
                        <w:vertAlign w:val="subscript"/>
                      </w:rPr>
                      <w:t>eq</w:t>
                    </w:r>
                  </w:p>
                  <w:p>
                    <w:pPr>
                      <w:numPr>
                        <w:ilvl w:val="0"/>
                        <w:numId w:val="3"/>
                      </w:numPr>
                      <w:tabs>
                        <w:tab w:val="left" w:pos="288"/>
                      </w:tabs>
                      <w:spacing w:before="3"/>
                      <w:ind w:left="287" w:right="0" w:hanging="137"/>
                      <w:jc w:val="left"/>
                      <w:rPr>
                        <w:sz w:val="18"/>
                      </w:rPr>
                    </w:pPr>
                    <w:r>
                      <w:rPr>
                        <w:sz w:val="18"/>
                      </w:rPr>
                      <w:t>振型分解反应谱法（平动或扭转</w:t>
                    </w:r>
                    <w:r>
                      <w:rPr>
                        <w:spacing w:val="-10"/>
                        <w:sz w:val="18"/>
                      </w:rPr>
                      <w:t>）</w:t>
                    </w:r>
                  </w:p>
                  <w:p>
                    <w:pPr>
                      <w:numPr>
                        <w:ilvl w:val="0"/>
                        <w:numId w:val="3"/>
                      </w:numPr>
                      <w:tabs>
                        <w:tab w:val="left" w:pos="288"/>
                      </w:tabs>
                      <w:spacing w:before="3"/>
                      <w:ind w:left="287" w:right="0" w:hanging="137"/>
                      <w:jc w:val="left"/>
                      <w:rPr>
                        <w:sz w:val="18"/>
                      </w:rPr>
                    </w:pPr>
                    <w:r>
                      <w:rPr>
                        <w:sz w:val="18"/>
                      </w:rPr>
                      <w:t>竖向地震作用（有些结构</w:t>
                    </w:r>
                    <w:r>
                      <w:rPr>
                        <w:spacing w:val="-10"/>
                        <w:sz w:val="18"/>
                      </w:rPr>
                      <w:t>）</w:t>
                    </w:r>
                  </w:p>
                </w:txbxContent>
              </v:textbox>
            </v:shape>
            <v:shape id="_x0000_s1088" type="#_x0000_t202" style="width:4966;height:465;left:3491;position:absolute;top:-10033" filled="f" stroked="t" strokecolor="#36f" strokeweight="0.75pt">
              <v:stroke dashstyle="solid"/>
              <v:textbox inset="0,0,0,0">
                <w:txbxContent>
                  <w:p>
                    <w:pPr>
                      <w:spacing w:before="75"/>
                      <w:ind w:left="427" w:right="0" w:firstLine="0"/>
                      <w:jc w:val="left"/>
                      <w:rPr>
                        <w:sz w:val="18"/>
                      </w:rPr>
                    </w:pPr>
                    <w:r>
                      <w:rPr>
                        <w:sz w:val="18"/>
                      </w:rPr>
                      <w:t>计算结构基本周期（或前几个振型和周期</w:t>
                    </w:r>
                    <w:r>
                      <w:rPr>
                        <w:spacing w:val="-10"/>
                        <w:sz w:val="18"/>
                      </w:rPr>
                      <w:t>）</w:t>
                    </w:r>
                  </w:p>
                </w:txbxContent>
              </v:textbox>
            </v:shape>
            <v:shape id="_x0000_s1089" type="#_x0000_t202" style="width:4966;height:465;left:3491;position:absolute;top:-10748" filled="f" stroked="t" strokecolor="#36f" strokeweight="0.75pt">
              <v:stroke dashstyle="solid"/>
              <v:textbox inset="0,0,0,0">
                <w:txbxContent>
                  <w:p>
                    <w:pPr>
                      <w:spacing w:before="75"/>
                      <w:ind w:left="579" w:right="0" w:firstLine="0"/>
                      <w:jc w:val="left"/>
                      <w:rPr>
                        <w:sz w:val="18"/>
                      </w:rPr>
                    </w:pPr>
                    <w:r>
                      <w:rPr>
                        <w:spacing w:val="-1"/>
                        <w:sz w:val="18"/>
                      </w:rPr>
                      <w:t>确定结构形式，初选截面，计算重力载及其组合</w:t>
                    </w:r>
                  </w:p>
                </w:txbxContent>
              </v:textbox>
            </v:shape>
            <v:shape id="_x0000_s1090" type="#_x0000_t202" style="width:4966;height:465;left:3491;position:absolute;top:-11481" filled="f" stroked="t" strokecolor="#36f" strokeweight="0.75pt">
              <v:stroke dashstyle="solid"/>
              <v:textbox inset="0,0,0,0">
                <w:txbxContent>
                  <w:p>
                    <w:pPr>
                      <w:spacing w:before="75"/>
                      <w:ind w:left="817" w:right="0" w:firstLine="0"/>
                      <w:jc w:val="left"/>
                      <w:rPr>
                        <w:sz w:val="18"/>
                      </w:rPr>
                    </w:pPr>
                    <w:r>
                      <w:rPr>
                        <w:spacing w:val="-3"/>
                        <w:sz w:val="18"/>
                      </w:rPr>
                      <w:t xml:space="preserve">确定场地类别及近、远震和特征周期 </w:t>
                    </w:r>
                    <w:r>
                      <w:rPr>
                        <w:rFonts w:ascii="Times New Roman" w:eastAsia="Times New Roman"/>
                        <w:i/>
                        <w:sz w:val="18"/>
                      </w:rPr>
                      <w:t>T</w:t>
                    </w:r>
                    <w:r>
                      <w:rPr>
                        <w:rFonts w:ascii="Times New Roman" w:eastAsia="Times New Roman"/>
                        <w:sz w:val="18"/>
                        <w:vertAlign w:val="subscript"/>
                      </w:rPr>
                      <w:t>g</w:t>
                    </w:r>
                    <w:r>
                      <w:rPr>
                        <w:rFonts w:ascii="Times New Roman" w:eastAsia="Times New Roman"/>
                        <w:spacing w:val="-15"/>
                        <w:sz w:val="18"/>
                        <w:vertAlign w:val="baseline"/>
                      </w:rPr>
                      <w:t xml:space="preserve"> </w:t>
                    </w:r>
                    <w:r>
                      <w:rPr>
                        <w:spacing w:val="-10"/>
                        <w:sz w:val="18"/>
                        <w:vertAlign w:val="baseline"/>
                      </w:rPr>
                      <w:t>值</w:t>
                    </w:r>
                  </w:p>
                </w:txbxContent>
              </v:textbox>
            </v:shape>
            <v:shape id="_x0000_s1091" type="#_x0000_t202" style="width:1853;height:465;left:3517;position:absolute;top:-5575" filled="f" stroked="t" strokecolor="#36f" strokeweight="0.75pt">
              <v:stroke dashstyle="solid"/>
              <v:textbox inset="0,0,0,0">
                <w:txbxContent>
                  <w:p>
                    <w:pPr>
                      <w:spacing w:before="75"/>
                      <w:ind w:left="724" w:right="724" w:firstLine="0"/>
                      <w:jc w:val="center"/>
                      <w:rPr>
                        <w:sz w:val="18"/>
                      </w:rPr>
                    </w:pPr>
                    <w:r>
                      <w:rPr>
                        <w:spacing w:val="-5"/>
                        <w:sz w:val="18"/>
                      </w:rPr>
                      <w:t>结束</w:t>
                    </w:r>
                  </w:p>
                </w:txbxContent>
              </v:textbox>
            </v:shape>
          </v:group>
        </w:pict>
      </w:r>
      <w:r>
        <w:t>图</w:t>
      </w:r>
      <w:r>
        <w:rPr>
          <w:spacing w:val="-60"/>
        </w:rPr>
        <w:t xml:space="preserve"> </w:t>
      </w:r>
      <w:r>
        <w:t>2-</w:t>
      </w:r>
      <w:r>
        <w:rPr>
          <w:spacing w:val="-10"/>
        </w:rPr>
        <w:t>1</w:t>
      </w:r>
      <w:r>
        <w:tab/>
        <w:t>两阶段设计</w:t>
      </w:r>
      <w:r>
        <w:rPr>
          <w:spacing w:val="-10"/>
        </w:rPr>
        <w:t>图</w:t>
      </w:r>
    </w:p>
    <w:p>
      <w:pPr>
        <w:pStyle w:val="BodyText"/>
        <w:spacing w:before="5"/>
        <w:rPr>
          <w:sz w:val="25"/>
        </w:rPr>
      </w:pPr>
    </w:p>
    <w:p>
      <w:pPr>
        <w:pStyle w:val="Heading3"/>
        <w:numPr>
          <w:ilvl w:val="2"/>
          <w:numId w:val="4"/>
        </w:numPr>
        <w:tabs>
          <w:tab w:val="left" w:pos="1092"/>
          <w:tab w:val="left" w:pos="1093"/>
        </w:tabs>
        <w:spacing w:before="0" w:after="0" w:line="429" w:lineRule="exact"/>
        <w:ind w:left="1092" w:right="0" w:hanging="845"/>
        <w:jc w:val="left"/>
      </w:pPr>
      <w:bookmarkStart w:id="11" w:name="_TOC_250014"/>
      <w:bookmarkEnd w:id="11"/>
      <w:r>
        <w:rPr>
          <w:spacing w:val="-2"/>
        </w:rPr>
        <w:t>防风设计工作</w:t>
      </w:r>
    </w:p>
    <w:p>
      <w:pPr>
        <w:pStyle w:val="BodyText"/>
        <w:spacing w:before="6"/>
        <w:rPr>
          <w:rFonts w:ascii="Microsoft JhengHei"/>
          <w:b/>
          <w:sz w:val="18"/>
        </w:rPr>
      </w:pPr>
    </w:p>
    <w:p>
      <w:pPr>
        <w:pStyle w:val="BodyText"/>
        <w:spacing w:before="1" w:line="343" w:lineRule="auto"/>
        <w:ind w:left="248" w:right="352" w:firstLine="480"/>
      </w:pPr>
      <w:r>
        <w:rPr>
          <w:spacing w:val="-2"/>
        </w:rPr>
        <w:t>一般超高层大楼的设计主要都是受到风力的控制，因此设计风力的条件影响</w:t>
      </w:r>
      <w:r>
        <w:rPr>
          <w:spacing w:val="-1"/>
        </w:rPr>
        <w:t>结构设计的结果甚大。在建筑结构设计时，应分别计算风荷载对建筑物的总体效</w:t>
      </w:r>
    </w:p>
    <w:p>
      <w:pPr>
        <w:spacing w:after="0" w:line="343" w:lineRule="auto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29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https://d.book118.com/868137107125006043</w:t>
        </w:r>
      </w:hyperlink>
    </w:p>
    <w:p>
      <w:pPr>
        <w:spacing w:after="0" w:line="343" w:lineRule="auto"/>
      </w:pPr>
    </w:p>
    <w:sectPr>
      <w:headerReference w:type="default" r:id="rId30"/>
      <w:footerReference w:type="default" r:id="rId31"/>
      <w:pgSz w:w="11910" w:h="16840"/>
      <w:pgMar w:top="1460" w:right="1120" w:bottom="1160" w:left="1680" w:header="879" w:footer="965"/>
      <w:pgNumType w:start="9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黑体">
    <w:altName w:val="黑体"/>
    <w:charset w:val="86"/>
    <w:family w:val="modern"/>
    <w:pitch w:val="fixed"/>
    <w:sig w:usb0="00000000" w:usb1="00000000" w:usb2="00000000" w:usb3="00000000" w:csb0="00040000" w:csb1="00000000"/>
  </w:font>
  <w:font w:name="Microsoft JhengHei">
    <w:altName w:val="Microsoft JhengHei"/>
    <w:charset w:val="00"/>
    <w:family w:val="swiss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  <w:font w:name="Verdana">
    <w:altName w:val="Verdana"/>
    <w:charset w:val="00"/>
    <w:family w:val="swiss"/>
    <w:pitch w:val="variable"/>
    <w:sig w:usb0="00000000" w:usb1="00000000" w:usb2="00000000" w:usb3="00000000" w:csb0="00000001" w:csb1="00000000"/>
  </w:font>
  <w:font w:name="Symbol">
    <w:altName w:val="Symbol"/>
    <w:charset w:val="02"/>
    <w:family w:val="roman"/>
    <w:pitch w:val="variable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5pt;height:12pt;margin-top:781.48pt;margin-left:306.53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12"/>
                  <w:ind w:left="20" w:right="0" w:firstLine="0"/>
                  <w:jc w:val="left"/>
                  <w:rPr>
                    <w:rFonts w:ascii="Times New Roman"/>
                    <w:sz w:val="18"/>
                  </w:rPr>
                </w:pPr>
                <w:r>
                  <w:rPr>
                    <w:rFonts w:ascii="Times New Roman"/>
                    <w:sz w:val="18"/>
                  </w:rPr>
                  <w:t>I</w:t>
                </w:r>
              </w:p>
            </w:txbxContent>
          </v:textbox>
        </v:shape>
      </w:pic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5pt;height:12pt;margin-top:781.48pt;margin-left:306.53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12"/>
                  <w:ind w:left="20" w:right="0" w:firstLine="0"/>
                  <w:jc w:val="left"/>
                  <w:rPr>
                    <w:rFonts w:ascii="Times New Roman"/>
                    <w:sz w:val="18"/>
                  </w:rPr>
                </w:pPr>
                <w:r>
                  <w:rPr>
                    <w:rFonts w:ascii="Times New Roman"/>
                    <w:sz w:val="18"/>
                  </w:rPr>
                  <w:t>I</w:t>
                </w:r>
              </w:p>
            </w:txbxContent>
          </v:textbox>
        </v:shape>
      </w:pic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8pt;height:12pt;margin-top:781.48pt;margin-left:305.03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12"/>
                  <w:ind w:left="20" w:right="0" w:firstLine="0"/>
                  <w:jc w:val="left"/>
                  <w:rPr>
                    <w:rFonts w:ascii="Times New Roman"/>
                    <w:sz w:val="18"/>
                  </w:rPr>
                </w:pPr>
                <w:r>
                  <w:rPr>
                    <w:rFonts w:ascii="Times New Roman"/>
                    <w:spacing w:val="-5"/>
                    <w:sz w:val="18"/>
                  </w:rPr>
                  <w:t>II</w:t>
                </w:r>
              </w:p>
            </w:txbxContent>
          </v:textbox>
        </v:shape>
      </w:pic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0" type="#_x0000_t202" style="width:17.5pt;height:12.5pt;margin-top:782.74pt;margin-left:300.77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0" w:line="250" w:lineRule="exact"/>
                  <w:ind w:left="60" w:right="0" w:firstLine="0"/>
                  <w:jc w:val="left"/>
                  <w:rPr>
                    <w:sz w:val="21"/>
                  </w:rPr>
                </w:pPr>
                <w:r>
                  <w:rPr>
                    <w:spacing w:val="-5"/>
                    <w:sz w:val="21"/>
                  </w:rPr>
                  <w:fldChar w:fldCharType="begin"/>
                </w:r>
                <w:r>
                  <w:rPr>
                    <w:spacing w:val="-5"/>
                    <w:sz w:val="21"/>
                  </w:rPr>
                  <w:instrText xml:space="preserve"> PAGE </w:instrText>
                </w:r>
                <w:r>
                  <w:rPr>
                    <w:spacing w:val="-5"/>
                    <w:sz w:val="21"/>
                  </w:rPr>
                  <w:fldChar w:fldCharType="separate"/>
                </w:r>
                <w:r>
                  <w:rPr>
                    <w:spacing w:val="-5"/>
                    <w:sz w:val="21"/>
                  </w:rPr>
                  <w:t>3</w:t>
                </w:r>
                <w:r>
                  <w:rPr>
                    <w:spacing w:val="-5"/>
                    <w:sz w:val="21"/>
                  </w:rPr>
                  <w:fldChar w:fldCharType="end"/>
                </w:r>
              </w:p>
            </w:txbxContent>
          </v:textbox>
        </v:shape>
      </w:pic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3" type="#_x0000_t202" style="width:17.5pt;height:12.5pt;margin-top:782.74pt;margin-left:300.77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0" w:line="250" w:lineRule="exact"/>
                  <w:ind w:left="60" w:right="0" w:firstLine="0"/>
                  <w:jc w:val="left"/>
                  <w:rPr>
                    <w:sz w:val="21"/>
                  </w:rPr>
                </w:pPr>
                <w:r>
                  <w:rPr>
                    <w:spacing w:val="-5"/>
                    <w:sz w:val="21"/>
                  </w:rPr>
                  <w:fldChar w:fldCharType="begin"/>
                </w:r>
                <w:r>
                  <w:rPr>
                    <w:spacing w:val="-5"/>
                    <w:sz w:val="21"/>
                  </w:rPr>
                  <w:instrText xml:space="preserve"> PAGE </w:instrText>
                </w:r>
                <w:r>
                  <w:rPr>
                    <w:spacing w:val="-5"/>
                    <w:sz w:val="21"/>
                  </w:rPr>
                  <w:fldChar w:fldCharType="separate"/>
                </w:r>
                <w:r>
                  <w:rPr>
                    <w:spacing w:val="-5"/>
                    <w:sz w:val="21"/>
                  </w:rPr>
                  <w:t>4</w:t>
                </w:r>
                <w:r>
                  <w:rPr>
                    <w:spacing w:val="-5"/>
                    <w:sz w:val="21"/>
                  </w:rPr>
                  <w:fldChar w:fldCharType="end"/>
                </w:r>
              </w:p>
            </w:txbxContent>
          </v:textbox>
        </v:shape>
      </w:pic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6" type="#_x0000_t202" style="width:17.5pt;height:12.5pt;margin-top:782.74pt;margin-left:300.77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0" w:line="250" w:lineRule="exact"/>
                  <w:ind w:left="60" w:right="0" w:firstLine="0"/>
                  <w:jc w:val="left"/>
                  <w:rPr>
                    <w:sz w:val="21"/>
                  </w:rPr>
                </w:pPr>
                <w:r>
                  <w:rPr>
                    <w:spacing w:val="-5"/>
                    <w:sz w:val="21"/>
                  </w:rPr>
                  <w:fldChar w:fldCharType="begin"/>
                </w:r>
                <w:r>
                  <w:rPr>
                    <w:spacing w:val="-5"/>
                    <w:sz w:val="21"/>
                  </w:rPr>
                  <w:instrText xml:space="preserve"> PAGE </w:instrText>
                </w:r>
                <w:r>
                  <w:rPr>
                    <w:spacing w:val="-5"/>
                    <w:sz w:val="21"/>
                  </w:rPr>
                  <w:fldChar w:fldCharType="separate"/>
                </w:r>
                <w:r>
                  <w:rPr>
                    <w:spacing w:val="-5"/>
                    <w:sz w:val="21"/>
                  </w:rPr>
                  <w:t>5</w:t>
                </w:r>
                <w:r>
                  <w:rPr>
                    <w:spacing w:val="-5"/>
                    <w:sz w:val="21"/>
                  </w:rPr>
                  <w:fldChar w:fldCharType="end"/>
                </w:r>
              </w:p>
            </w:txbxContent>
          </v:textbox>
        </v:shape>
      </w:pic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9" type="#_x0000_t202" style="width:17.5pt;height:12.5pt;margin-top:782.74pt;margin-left:300.77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0" w:line="250" w:lineRule="exact"/>
                  <w:ind w:left="60" w:right="0" w:firstLine="0"/>
                  <w:jc w:val="left"/>
                  <w:rPr>
                    <w:sz w:val="21"/>
                  </w:rPr>
                </w:pPr>
                <w:r>
                  <w:rPr>
                    <w:spacing w:val="-5"/>
                    <w:sz w:val="21"/>
                  </w:rPr>
                  <w:fldChar w:fldCharType="begin"/>
                </w:r>
                <w:r>
                  <w:rPr>
                    <w:spacing w:val="-5"/>
                    <w:sz w:val="21"/>
                  </w:rPr>
                  <w:instrText xml:space="preserve"> PAGE </w:instrText>
                </w:r>
                <w:r>
                  <w:rPr>
                    <w:spacing w:val="-5"/>
                    <w:sz w:val="21"/>
                  </w:rPr>
                  <w:fldChar w:fldCharType="separate"/>
                </w:r>
                <w:r>
                  <w:rPr>
                    <w:spacing w:val="-5"/>
                    <w:sz w:val="21"/>
                  </w:rPr>
                  <w:t>6</w:t>
                </w:r>
                <w:r>
                  <w:rPr>
                    <w:spacing w:val="-5"/>
                    <w:sz w:val="21"/>
                  </w:rPr>
                  <w:fldChar w:fldCharType="end"/>
                </w:r>
              </w:p>
            </w:txbxContent>
          </v:textbox>
        </v:shape>
      </w:pic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2" type="#_x0000_t202" style="width:17.5pt;height:12.5pt;margin-top:782.74pt;margin-left:300.77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0" w:line="250" w:lineRule="exact"/>
                  <w:ind w:left="60" w:right="0" w:firstLine="0"/>
                  <w:jc w:val="left"/>
                  <w:rPr>
                    <w:sz w:val="21"/>
                  </w:rPr>
                </w:pPr>
                <w:r>
                  <w:rPr>
                    <w:spacing w:val="-5"/>
                    <w:sz w:val="21"/>
                  </w:rPr>
                  <w:fldChar w:fldCharType="begin"/>
                </w:r>
                <w:r>
                  <w:rPr>
                    <w:spacing w:val="-5"/>
                    <w:sz w:val="21"/>
                  </w:rPr>
                  <w:instrText xml:space="preserve"> PAGE </w:instrText>
                </w:r>
                <w:r>
                  <w:rPr>
                    <w:spacing w:val="-5"/>
                    <w:sz w:val="21"/>
                  </w:rPr>
                  <w:fldChar w:fldCharType="separate"/>
                </w:r>
                <w:r>
                  <w:rPr>
                    <w:spacing w:val="-5"/>
                    <w:sz w:val="21"/>
                  </w:rPr>
                  <w:t>7</w:t>
                </w:r>
                <w:r>
                  <w:rPr>
                    <w:spacing w:val="-5"/>
                    <w:sz w:val="21"/>
                  </w:rPr>
                  <w:fldChar w:fldCharType="end"/>
                </w:r>
              </w:p>
            </w:txbxContent>
          </v:textbox>
        </v:shape>
      </w:pic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5" type="#_x0000_t202" style="width:17.5pt;height:12.5pt;margin-top:782.74pt;margin-left:300.77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0" w:line="250" w:lineRule="exact"/>
                  <w:ind w:left="60" w:right="0" w:firstLine="0"/>
                  <w:jc w:val="left"/>
                  <w:rPr>
                    <w:sz w:val="21"/>
                  </w:rPr>
                </w:pPr>
                <w:r>
                  <w:rPr>
                    <w:spacing w:val="-5"/>
                    <w:sz w:val="21"/>
                  </w:rPr>
                  <w:fldChar w:fldCharType="begin"/>
                </w:r>
                <w:r>
                  <w:rPr>
                    <w:spacing w:val="-5"/>
                    <w:sz w:val="21"/>
                  </w:rPr>
                  <w:instrText xml:space="preserve"> PAGE </w:instrText>
                </w:r>
                <w:r>
                  <w:rPr>
                    <w:spacing w:val="-5"/>
                    <w:sz w:val="21"/>
                  </w:rPr>
                  <w:fldChar w:fldCharType="separate"/>
                </w:r>
                <w:r>
                  <w:rPr>
                    <w:spacing w:val="-5"/>
                    <w:sz w:val="21"/>
                  </w:rPr>
                  <w:t>8</w:t>
                </w:r>
                <w:r>
                  <w:rPr>
                    <w:spacing w:val="-5"/>
                    <w:sz w:val="21"/>
                  </w:rPr>
                  <w:fldChar w:fldCharType="end"/>
                </w:r>
              </w:p>
            </w:txbxContent>
          </v:textbox>
        </v:shape>
      </w:pic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8" type="#_x0000_t202" style="width:17.5pt;height:12.5pt;margin-top:782.74pt;margin-left:300.77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0" w:line="250" w:lineRule="exact"/>
                  <w:ind w:left="60" w:right="0" w:firstLine="0"/>
                  <w:jc w:val="left"/>
                  <w:rPr>
                    <w:sz w:val="21"/>
                  </w:rPr>
                </w:pPr>
                <w:r>
                  <w:rPr>
                    <w:spacing w:val="-5"/>
                    <w:sz w:val="21"/>
                  </w:rPr>
                  <w:fldChar w:fldCharType="begin"/>
                </w:r>
                <w:r>
                  <w:rPr>
                    <w:spacing w:val="-5"/>
                    <w:sz w:val="21"/>
                  </w:rPr>
                  <w:instrText xml:space="preserve"> PAGE </w:instrText>
                </w:r>
                <w:r>
                  <w:rPr>
                    <w:spacing w:val="-5"/>
                    <w:sz w:val="21"/>
                  </w:rPr>
                  <w:fldChar w:fldCharType="separate"/>
                </w:r>
                <w:r>
                  <w:rPr>
                    <w:spacing w:val="-5"/>
                    <w:sz w:val="21"/>
                  </w:rPr>
                  <w:t>10</w:t>
                </w:r>
                <w:r>
                  <w:rPr>
                    <w:spacing w:val="-5"/>
                    <w:sz w:val="21"/>
                  </w:rPr>
                  <w:fldChar w:fldCharType="end"/>
                </w:r>
              </w:p>
            </w:txbxContent>
          </v:textbox>
        </v:shape>
      </w:pic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line id="_x0000_s2049" style="mso-position-horizontal-relative:page;mso-position-vertical-relative:page;position:absolute;z-index:-251658240" from="94.95pt,55.6pt" to="523.1pt,55.6pt" stroked="t" strokecolor="black" strokeweight="0.75pt">
          <v:stroke dashstyle="solid"/>
        </v:lin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155pt;height:11pt;margin-top:42.96pt;margin-left:231.53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0" w:line="220" w:lineRule="exact"/>
                  <w:ind w:left="20" w:right="0" w:firstLine="0"/>
                  <w:jc w:val="left"/>
                  <w:rPr>
                    <w:rFonts w:ascii="黑体" w:eastAsia="黑体"/>
                    <w:sz w:val="18"/>
                  </w:rPr>
                </w:pPr>
                <w:r>
                  <w:rPr>
                    <w:rFonts w:ascii="黑体" w:eastAsia="黑体"/>
                    <w:spacing w:val="-1"/>
                    <w:sz w:val="18"/>
                  </w:rPr>
                  <w:t>高层建筑结构发展现状及前沿发展方向</w:t>
                </w:r>
              </w:p>
            </w:txbxContent>
          </v:textbox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line id="_x0000_s2052" style="mso-position-horizontal-relative:page;mso-position-vertical-relative:page;position:absolute;z-index:-251656192" from="94.95pt,55.6pt" to="523.1pt,55.6pt" stroked="t" strokecolor="black" strokeweight="0.75pt">
          <v:stroke dashstyle="solid"/>
        </v:lin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155pt;height:11pt;margin-top:42.96pt;margin-left:231.53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0" w:line="220" w:lineRule="exact"/>
                  <w:ind w:left="20" w:right="0" w:firstLine="0"/>
                  <w:jc w:val="left"/>
                  <w:rPr>
                    <w:rFonts w:ascii="黑体" w:eastAsia="黑体"/>
                    <w:sz w:val="18"/>
                  </w:rPr>
                </w:pPr>
                <w:r>
                  <w:rPr>
                    <w:rFonts w:ascii="黑体" w:eastAsia="黑体"/>
                    <w:spacing w:val="-1"/>
                    <w:sz w:val="18"/>
                  </w:rPr>
                  <w:t>高层建筑结构发展现状及前沿发展方向</w:t>
                </w:r>
              </w:p>
            </w:txbxContent>
          </v:textbox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line id="_x0000_s2055" style="mso-position-horizontal-relative:page;mso-position-vertical-relative:page;position:absolute;z-index:-251654144" from="94.95pt,55.6pt" to="523.1pt,55.6pt" stroked="t" strokecolor="black" strokeweight="0.75pt">
          <v:stroke dashstyle="solid"/>
        </v:lin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155pt;height:11pt;margin-top:42.96pt;margin-left:231.53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0" w:line="220" w:lineRule="exact"/>
                  <w:ind w:left="20" w:right="0" w:firstLine="0"/>
                  <w:jc w:val="left"/>
                  <w:rPr>
                    <w:rFonts w:ascii="黑体" w:eastAsia="黑体"/>
                    <w:sz w:val="18"/>
                  </w:rPr>
                </w:pPr>
                <w:r>
                  <w:rPr>
                    <w:rFonts w:ascii="黑体" w:eastAsia="黑体"/>
                    <w:spacing w:val="-1"/>
                    <w:sz w:val="18"/>
                  </w:rPr>
                  <w:t>高层建筑结构发展现状及前沿发展方向</w:t>
                </w:r>
              </w:p>
            </w:txbxContent>
          </v:textbox>
        </v:shape>
      </w:pic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line id="_x0000_s2058" style="mso-position-horizontal-relative:page;mso-position-vertical-relative:page;position:absolute;z-index:-251652096" from="94.95pt,55.6pt" to="523.1pt,55.6pt" stroked="t" strokecolor="black" strokeweight="0.75pt">
          <v:stroke dashstyle="solid"/>
        </v:lin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9" type="#_x0000_t202" style="width:155pt;height:11pt;margin-top:42.96pt;margin-left:231.53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0" w:line="220" w:lineRule="exact"/>
                  <w:ind w:left="20" w:right="0" w:firstLine="0"/>
                  <w:jc w:val="left"/>
                  <w:rPr>
                    <w:rFonts w:ascii="黑体" w:eastAsia="黑体"/>
                    <w:sz w:val="18"/>
                  </w:rPr>
                </w:pPr>
                <w:r>
                  <w:rPr>
                    <w:rFonts w:ascii="黑体" w:eastAsia="黑体"/>
                    <w:spacing w:val="-1"/>
                    <w:sz w:val="18"/>
                  </w:rPr>
                  <w:t>高层建筑结构发展现状及前沿发展方向</w:t>
                </w:r>
              </w:p>
            </w:txbxContent>
          </v:textbox>
        </v:shape>
      </w:pic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line id="_x0000_s2061" style="mso-position-horizontal-relative:page;mso-position-vertical-relative:page;position:absolute;z-index:-251650048" from="94.95pt,55.6pt" to="523.1pt,55.6pt" stroked="t" strokecolor="black" strokeweight="0.75pt">
          <v:stroke dashstyle="solid"/>
        </v:lin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2" type="#_x0000_t202" style="width:155pt;height:11pt;margin-top:42.96pt;margin-left:231.53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0" w:line="220" w:lineRule="exact"/>
                  <w:ind w:left="20" w:right="0" w:firstLine="0"/>
                  <w:jc w:val="left"/>
                  <w:rPr>
                    <w:rFonts w:ascii="黑体" w:eastAsia="黑体"/>
                    <w:sz w:val="18"/>
                  </w:rPr>
                </w:pPr>
                <w:r>
                  <w:rPr>
                    <w:rFonts w:ascii="黑体" w:eastAsia="黑体"/>
                    <w:spacing w:val="-1"/>
                    <w:sz w:val="18"/>
                  </w:rPr>
                  <w:t>高层建筑结构发展现状及前沿发展方向</w:t>
                </w:r>
              </w:p>
            </w:txbxContent>
          </v:textbox>
        </v:shape>
      </w:pic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line id="_x0000_s2064" style="mso-position-horizontal-relative:page;mso-position-vertical-relative:page;position:absolute;z-index:-251648000" from="94.95pt,55.6pt" to="523.1pt,55.6pt" stroked="t" strokecolor="black" strokeweight="0.75pt">
          <v:stroke dashstyle="solid"/>
        </v:lin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5" type="#_x0000_t202" style="width:155pt;height:11pt;margin-top:42.96pt;margin-left:231.53pt;mso-position-horizontal-relative:page;mso-position-vertical-relative:page;position:absolute;z-index:-251646976" filled="f" stroked="f">
          <v:textbox inset="0,0,0,0">
            <w:txbxContent>
              <w:p>
                <w:pPr>
                  <w:spacing w:before="0" w:line="220" w:lineRule="exact"/>
                  <w:ind w:left="20" w:right="0" w:firstLine="0"/>
                  <w:jc w:val="left"/>
                  <w:rPr>
                    <w:rFonts w:ascii="黑体" w:eastAsia="黑体"/>
                    <w:sz w:val="18"/>
                  </w:rPr>
                </w:pPr>
                <w:r>
                  <w:rPr>
                    <w:rFonts w:ascii="黑体" w:eastAsia="黑体"/>
                    <w:spacing w:val="-1"/>
                    <w:sz w:val="18"/>
                  </w:rPr>
                  <w:t>高层建筑结构发展现状及前沿发展方向</w:t>
                </w:r>
              </w:p>
            </w:txbxContent>
          </v:textbox>
        </v:shape>
      </w:pic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line id="_x0000_s2067" style="mso-position-horizontal-relative:page;mso-position-vertical-relative:page;position:absolute;z-index:-251645952" from="94.95pt,55.6pt" to="523.1pt,55.6pt" stroked="t" strokecolor="black" strokeweight="0.75pt">
          <v:stroke dashstyle="solid"/>
        </v:lin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8" type="#_x0000_t202" style="width:155pt;height:11pt;margin-top:42.96pt;margin-left:231.53pt;mso-position-horizontal-relative:page;mso-position-vertical-relative:page;position:absolute;z-index:-251644928" filled="f" stroked="f">
          <v:textbox inset="0,0,0,0">
            <w:txbxContent>
              <w:p>
                <w:pPr>
                  <w:spacing w:before="0" w:line="220" w:lineRule="exact"/>
                  <w:ind w:left="20" w:right="0" w:firstLine="0"/>
                  <w:jc w:val="left"/>
                  <w:rPr>
                    <w:rFonts w:ascii="黑体" w:eastAsia="黑体"/>
                    <w:sz w:val="18"/>
                  </w:rPr>
                </w:pPr>
                <w:r>
                  <w:rPr>
                    <w:rFonts w:ascii="黑体" w:eastAsia="黑体"/>
                    <w:spacing w:val="-1"/>
                    <w:sz w:val="18"/>
                  </w:rPr>
                  <w:t>高层建筑结构发展现状及前沿发展方向</w:t>
                </w:r>
              </w:p>
            </w:txbxContent>
          </v:textbox>
        </v:shape>
      </w:pic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line id="_x0000_s2070" style="mso-position-horizontal-relative:page;mso-position-vertical-relative:page;position:absolute;z-index:-251643904" from="94.95pt,55.6pt" to="523.1pt,55.6pt" stroked="t" strokecolor="black" strokeweight="0.75pt">
          <v:stroke dashstyle="solid"/>
        </v:lin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1" type="#_x0000_t202" style="width:155pt;height:11pt;margin-top:42.96pt;margin-left:231.53pt;mso-position-horizontal-relative:page;mso-position-vertical-relative:page;position:absolute;z-index:-251642880" filled="f" stroked="f">
          <v:textbox inset="0,0,0,0">
            <w:txbxContent>
              <w:p>
                <w:pPr>
                  <w:spacing w:before="0" w:line="220" w:lineRule="exact"/>
                  <w:ind w:left="20" w:right="0" w:firstLine="0"/>
                  <w:jc w:val="left"/>
                  <w:rPr>
                    <w:rFonts w:ascii="黑体" w:eastAsia="黑体"/>
                    <w:sz w:val="18"/>
                  </w:rPr>
                </w:pPr>
                <w:r>
                  <w:rPr>
                    <w:rFonts w:ascii="黑体" w:eastAsia="黑体"/>
                    <w:spacing w:val="-1"/>
                    <w:sz w:val="18"/>
                  </w:rPr>
                  <w:t>高层建筑结构发展现状及前沿发展方向</w:t>
                </w:r>
              </w:p>
            </w:txbxContent>
          </v:textbox>
        </v:shape>
      </w:pic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line id="_x0000_s2073" style="mso-position-horizontal-relative:page;mso-position-vertical-relative:page;position:absolute;z-index:-251641856" from="94.95pt,55.6pt" to="523.1pt,55.6pt" stroked="t" strokecolor="black" strokeweight="0.75pt">
          <v:stroke dashstyle="solid"/>
        </v:lin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4" type="#_x0000_t202" style="width:155pt;height:11pt;margin-top:42.96pt;margin-left:231.53pt;mso-position-horizontal-relative:page;mso-position-vertical-relative:page;position:absolute;z-index:-251640832" filled="f" stroked="f">
          <v:textbox inset="0,0,0,0">
            <w:txbxContent>
              <w:p>
                <w:pPr>
                  <w:spacing w:before="0" w:line="220" w:lineRule="exact"/>
                  <w:ind w:left="20" w:right="0" w:firstLine="0"/>
                  <w:jc w:val="left"/>
                  <w:rPr>
                    <w:rFonts w:ascii="黑体" w:eastAsia="黑体"/>
                    <w:sz w:val="18"/>
                  </w:rPr>
                </w:pPr>
                <w:r>
                  <w:rPr>
                    <w:rFonts w:ascii="黑体" w:eastAsia="黑体"/>
                    <w:spacing w:val="-1"/>
                    <w:sz w:val="18"/>
                  </w:rPr>
                  <w:t>高层建筑结构发展现状及前沿发展方向</w:t>
                </w:r>
              </w:p>
            </w:txbxContent>
          </v:textbox>
        </v:shape>
      </w:pic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line id="_x0000_s2076" style="mso-position-horizontal-relative:page;mso-position-vertical-relative:page;position:absolute;z-index:-251639808" from="94.95pt,55.6pt" to="523.1pt,55.6pt" stroked="t" strokecolor="black" strokeweight="0.75pt">
          <v:stroke dashstyle="solid"/>
        </v:lin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7" type="#_x0000_t202" style="width:155pt;height:11pt;margin-top:42.96pt;margin-left:231.53pt;mso-position-horizontal-relative:page;mso-position-vertical-relative:page;position:absolute;z-index:-251638784" filled="f" stroked="f">
          <v:textbox inset="0,0,0,0">
            <w:txbxContent>
              <w:p>
                <w:pPr>
                  <w:spacing w:before="0" w:line="220" w:lineRule="exact"/>
                  <w:ind w:left="20" w:right="0" w:firstLine="0"/>
                  <w:jc w:val="left"/>
                  <w:rPr>
                    <w:rFonts w:ascii="黑体" w:eastAsia="黑体"/>
                    <w:sz w:val="18"/>
                  </w:rPr>
                </w:pPr>
                <w:r>
                  <w:rPr>
                    <w:rFonts w:ascii="黑体" w:eastAsia="黑体"/>
                    <w:spacing w:val="-1"/>
                    <w:sz w:val="18"/>
                  </w:rPr>
                  <w:t>高层建筑结构发展现状及前沿发展方向</w:t>
                </w:r>
              </w:p>
            </w:txbxContent>
          </v:textbox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09693C09"/>
    <w:multiLevelType w:val="hybridMultilevel"/>
    <w:tmpl w:val="00000000"/>
    <w:lvl w:ilvl="0">
      <w:start w:val="1"/>
      <w:numFmt w:val="decimal"/>
      <w:lvlText w:val="%1"/>
      <w:lvlJc w:val="left"/>
      <w:pPr>
        <w:ind w:left="4420" w:hanging="480"/>
        <w:jc w:val="right"/>
      </w:pPr>
      <w:rPr>
        <w:rFonts w:ascii="黑体" w:eastAsia="黑体" w:hAnsi="黑体" w:cs="黑体" w:hint="default"/>
        <w:b w:val="0"/>
        <w:bCs w:val="0"/>
        <w:i w:val="0"/>
        <w:iCs w:val="0"/>
        <w:w w:val="100"/>
        <w:sz w:val="32"/>
        <w:szCs w:val="32"/>
        <w:lang w:val="en-US" w:eastAsia="zh-CN" w:bidi="ar-SA"/>
      </w:rPr>
    </w:lvl>
    <w:lvl w:ilvl="1">
      <w:start w:val="1"/>
      <w:numFmt w:val="decimal"/>
      <w:lvlText w:val="%1.%2"/>
      <w:lvlJc w:val="left"/>
      <w:pPr>
        <w:ind w:left="948" w:hanging="700"/>
        <w:jc w:val="left"/>
      </w:pPr>
      <w:rPr>
        <w:rFonts w:ascii="黑体" w:eastAsia="黑体" w:hAnsi="黑体" w:cs="黑体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2">
      <w:start w:val="1"/>
      <w:numFmt w:val="decimal"/>
      <w:lvlText w:val="%1.%2.%3"/>
      <w:lvlJc w:val="left"/>
      <w:pPr>
        <w:ind w:left="1092" w:hanging="845"/>
        <w:jc w:val="left"/>
      </w:pPr>
      <w:rPr>
        <w:rFonts w:ascii="Microsoft JhengHei" w:eastAsia="Microsoft JhengHei" w:hAnsi="Microsoft JhengHei" w:cs="Microsoft JhengHei" w:hint="default"/>
        <w:b/>
        <w:bCs/>
        <w:i w:val="0"/>
        <w:iCs w:val="0"/>
        <w:w w:val="83"/>
        <w:sz w:val="24"/>
        <w:szCs w:val="24"/>
        <w:lang w:val="en-US" w:eastAsia="zh-CN" w:bidi="ar-SA"/>
      </w:rPr>
    </w:lvl>
    <w:lvl w:ilvl="3">
      <w:start w:val="1"/>
      <w:numFmt w:val="decimal"/>
      <w:lvlText w:val="（%4）"/>
      <w:lvlJc w:val="left"/>
      <w:pPr>
        <w:ind w:left="248" w:hanging="601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22"/>
        <w:szCs w:val="22"/>
        <w:lang w:val="en-US" w:eastAsia="zh-CN" w:bidi="ar-SA"/>
      </w:rPr>
    </w:lvl>
    <w:lvl w:ilvl="4">
      <w:start w:val="0"/>
      <w:numFmt w:val="bullet"/>
      <w:lvlText w:val="•"/>
      <w:lvlJc w:val="left"/>
      <w:pPr>
        <w:ind w:left="5089" w:hanging="60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759" w:hanging="60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428" w:hanging="60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098" w:hanging="60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767" w:hanging="601"/>
      </w:pPr>
      <w:rPr>
        <w:rFonts w:hint="default"/>
        <w:lang w:val="en-US" w:eastAsia="zh-CN" w:bidi="ar-SA"/>
      </w:rPr>
    </w:lvl>
  </w:abstractNum>
  <w:abstractNum w:abstractNumId="1">
    <w:nsid w:val="1A747E4B"/>
    <w:multiLevelType w:val="hybridMultilevel"/>
    <w:tmpl w:val="00000000"/>
    <w:lvl w:ilvl="0">
      <w:start w:val="1"/>
      <w:numFmt w:val="decimal"/>
      <w:lvlText w:val="%1"/>
      <w:lvlJc w:val="left"/>
      <w:pPr>
        <w:ind w:left="608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en-US" w:eastAsia="zh-CN" w:bidi="ar-SA"/>
      </w:rPr>
    </w:lvl>
    <w:lvl w:ilvl="1">
      <w:start w:val="1"/>
      <w:numFmt w:val="decimal"/>
      <w:lvlText w:val="%1.%2"/>
      <w:lvlJc w:val="left"/>
      <w:pPr>
        <w:ind w:left="1268" w:hanging="600"/>
        <w:jc w:val="left"/>
      </w:pPr>
      <w:rPr>
        <w:rFonts w:ascii="黑体" w:eastAsia="黑体" w:hAnsi="黑体" w:cs="黑体" w:hint="default"/>
        <w:b w:val="0"/>
        <w:bCs w:val="0"/>
        <w:i w:val="0"/>
        <w:iCs w:val="0"/>
        <w:w w:val="100"/>
        <w:sz w:val="24"/>
        <w:szCs w:val="24"/>
        <w:lang w:val="en-US" w:eastAsia="zh-CN" w:bidi="ar-SA"/>
      </w:rPr>
    </w:lvl>
    <w:lvl w:ilvl="2">
      <w:start w:val="1"/>
      <w:numFmt w:val="decimal"/>
      <w:lvlText w:val="%1.%2.%3"/>
      <w:lvlJc w:val="left"/>
      <w:pPr>
        <w:ind w:left="1928" w:hanging="840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24"/>
        <w:szCs w:val="24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818" w:hanging="84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716" w:hanging="84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615" w:hanging="84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13" w:hanging="84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11" w:hanging="84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310" w:hanging="840"/>
      </w:pPr>
      <w:rPr>
        <w:rFonts w:hint="default"/>
        <w:lang w:val="en-US" w:eastAsia="zh-CN" w:bidi="ar-SA"/>
      </w:rPr>
    </w:lvl>
  </w:abstractNum>
  <w:abstractNum w:abstractNumId="2">
    <w:nsid w:val="1B1A0466"/>
    <w:multiLevelType w:val="hybridMultilevel"/>
    <w:tmpl w:val="00000000"/>
    <w:lvl w:ilvl="0">
      <w:start w:val="1"/>
      <w:numFmt w:val="decimal"/>
      <w:lvlText w:val="%1"/>
      <w:lvlJc w:val="left"/>
      <w:pPr>
        <w:ind w:left="608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en-US" w:eastAsia="zh-CN" w:bidi="ar-SA"/>
      </w:rPr>
    </w:lvl>
    <w:lvl w:ilvl="1">
      <w:start w:val="1"/>
      <w:numFmt w:val="decimal"/>
      <w:lvlText w:val="%1.%2"/>
      <w:lvlJc w:val="left"/>
      <w:pPr>
        <w:ind w:left="1268" w:hanging="600"/>
        <w:jc w:val="left"/>
      </w:pPr>
      <w:rPr>
        <w:rFonts w:ascii="黑体" w:eastAsia="黑体" w:hAnsi="黑体" w:cs="黑体" w:hint="default"/>
        <w:b w:val="0"/>
        <w:bCs w:val="0"/>
        <w:i w:val="0"/>
        <w:iCs w:val="0"/>
        <w:w w:val="100"/>
        <w:sz w:val="24"/>
        <w:szCs w:val="24"/>
        <w:lang w:val="en-US" w:eastAsia="zh-CN" w:bidi="ar-SA"/>
      </w:rPr>
    </w:lvl>
    <w:lvl w:ilvl="2">
      <w:start w:val="1"/>
      <w:numFmt w:val="decimal"/>
      <w:lvlText w:val="%1.%2.%3"/>
      <w:lvlJc w:val="left"/>
      <w:pPr>
        <w:ind w:left="1928" w:hanging="840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24"/>
        <w:szCs w:val="24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818" w:hanging="84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716" w:hanging="84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615" w:hanging="84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13" w:hanging="84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11" w:hanging="84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310" w:hanging="840"/>
      </w:pPr>
      <w:rPr>
        <w:rFonts w:hint="default"/>
        <w:lang w:val="en-US" w:eastAsia="zh-CN" w:bidi="ar-SA"/>
      </w:rPr>
    </w:lvl>
  </w:abstractNum>
  <w:abstractNum w:abstractNumId="3">
    <w:nsid w:val="3ADD7D67"/>
    <w:multiLevelType w:val="hybridMultilevel"/>
    <w:tmpl w:val="00000000"/>
    <w:lvl w:ilvl="0">
      <w:start w:val="1"/>
      <w:numFmt w:val="decimal"/>
      <w:lvlText w:val="%1"/>
      <w:lvlJc w:val="left"/>
      <w:pPr>
        <w:ind w:left="4420" w:hanging="480"/>
        <w:jc w:val="right"/>
      </w:pPr>
      <w:rPr>
        <w:rFonts w:ascii="黑体" w:eastAsia="黑体" w:hAnsi="黑体" w:cs="黑体" w:hint="default"/>
        <w:b w:val="0"/>
        <w:bCs w:val="0"/>
        <w:i w:val="0"/>
        <w:iCs w:val="0"/>
        <w:w w:val="100"/>
        <w:sz w:val="32"/>
        <w:szCs w:val="32"/>
        <w:lang w:val="en-US" w:eastAsia="zh-CN" w:bidi="ar-SA"/>
      </w:rPr>
    </w:lvl>
    <w:lvl w:ilvl="1">
      <w:start w:val="1"/>
      <w:numFmt w:val="decimal"/>
      <w:lvlText w:val="%1.%2"/>
      <w:lvlJc w:val="left"/>
      <w:pPr>
        <w:ind w:left="948" w:hanging="700"/>
        <w:jc w:val="left"/>
      </w:pPr>
      <w:rPr>
        <w:rFonts w:ascii="黑体" w:eastAsia="黑体" w:hAnsi="黑体" w:cs="黑体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2">
      <w:start w:val="1"/>
      <w:numFmt w:val="decimal"/>
      <w:lvlText w:val="%1.%2.%3"/>
      <w:lvlJc w:val="left"/>
      <w:pPr>
        <w:ind w:left="1092" w:hanging="845"/>
        <w:jc w:val="left"/>
      </w:pPr>
      <w:rPr>
        <w:rFonts w:ascii="Microsoft JhengHei" w:eastAsia="Microsoft JhengHei" w:hAnsi="Microsoft JhengHei" w:cs="Microsoft JhengHei" w:hint="default"/>
        <w:b/>
        <w:bCs/>
        <w:i w:val="0"/>
        <w:iCs w:val="0"/>
        <w:w w:val="83"/>
        <w:sz w:val="24"/>
        <w:szCs w:val="24"/>
        <w:lang w:val="en-US" w:eastAsia="zh-CN" w:bidi="ar-SA"/>
      </w:rPr>
    </w:lvl>
    <w:lvl w:ilvl="3">
      <w:start w:val="1"/>
      <w:numFmt w:val="decimal"/>
      <w:lvlText w:val="（%4）"/>
      <w:lvlJc w:val="left"/>
      <w:pPr>
        <w:ind w:left="248" w:hanging="601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22"/>
        <w:szCs w:val="22"/>
        <w:lang w:val="en-US" w:eastAsia="zh-CN" w:bidi="ar-SA"/>
      </w:rPr>
    </w:lvl>
    <w:lvl w:ilvl="4">
      <w:start w:val="0"/>
      <w:numFmt w:val="bullet"/>
      <w:lvlText w:val="•"/>
      <w:lvlJc w:val="left"/>
      <w:pPr>
        <w:ind w:left="5089" w:hanging="60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759" w:hanging="60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428" w:hanging="60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098" w:hanging="60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767" w:hanging="601"/>
      </w:pPr>
      <w:rPr>
        <w:rFonts w:hint="default"/>
        <w:lang w:val="en-US" w:eastAsia="zh-CN" w:bidi="ar-SA"/>
      </w:rPr>
    </w:lvl>
  </w:abstractNum>
  <w:abstractNum w:abstractNumId="4">
    <w:nsid w:val="5332B0B8"/>
    <w:multiLevelType w:val="hybridMultilevel"/>
    <w:tmpl w:val="00000000"/>
    <w:lvl w:ilvl="0">
      <w:start w:val="1"/>
      <w:numFmt w:val="decimal"/>
      <w:lvlText w:val="[%1]"/>
      <w:lvlJc w:val="left"/>
      <w:pPr>
        <w:ind w:left="248" w:hanging="316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19"/>
        <w:szCs w:val="19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126" w:hanging="316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013" w:hanging="316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900" w:hanging="316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786" w:hanging="316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673" w:hanging="316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60" w:hanging="316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46" w:hanging="316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333" w:hanging="316"/>
      </w:pPr>
      <w:rPr>
        <w:rFonts w:hint="default"/>
        <w:lang w:val="en-US" w:eastAsia="zh-CN" w:bidi="ar-SA"/>
      </w:rPr>
    </w:lvl>
  </w:abstractNum>
  <w:abstractNum w:abstractNumId="5">
    <w:nsid w:val="5BC94E0C"/>
    <w:multiLevelType w:val="hybridMultilevel"/>
    <w:tmpl w:val="00000000"/>
    <w:lvl w:ilvl="0">
      <w:start w:val="1"/>
      <w:numFmt w:val="decimal"/>
      <w:lvlText w:val="（%1）"/>
      <w:lvlJc w:val="left"/>
      <w:pPr>
        <w:ind w:left="1329" w:hanging="601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22"/>
        <w:szCs w:val="22"/>
        <w:lang w:val="en-US" w:eastAsia="zh-CN" w:bidi="ar-SA"/>
      </w:rPr>
    </w:lvl>
    <w:lvl w:ilvl="1">
      <w:start w:val="0"/>
      <w:numFmt w:val="bullet"/>
      <w:lvlText w:val="•"/>
      <w:lvlJc w:val="left"/>
      <w:pPr>
        <w:ind w:left="2098" w:hanging="60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877" w:hanging="60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656" w:hanging="60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434" w:hanging="60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213" w:hanging="60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992" w:hanging="60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770" w:hanging="60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549" w:hanging="601"/>
      </w:pPr>
      <w:rPr>
        <w:rFonts w:hint="default"/>
        <w:lang w:val="en-US" w:eastAsia="zh-CN" w:bidi="ar-SA"/>
      </w:rPr>
    </w:lvl>
  </w:abstractNum>
  <w:abstractNum w:abstractNumId="6">
    <w:nsid w:val="6931DDE9"/>
    <w:multiLevelType w:val="hybridMultilevel"/>
    <w:tmpl w:val="00000000"/>
    <w:lvl w:ilvl="0">
      <w:start w:val="1"/>
      <w:numFmt w:val="decimal"/>
      <w:lvlText w:val="%1."/>
      <w:lvlJc w:val="left"/>
      <w:pPr>
        <w:ind w:left="287" w:hanging="13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16"/>
        <w:szCs w:val="1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747" w:hanging="136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214" w:hanging="136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681" w:hanging="136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148" w:hanging="136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615" w:hanging="136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082" w:hanging="136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549" w:hanging="136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016" w:hanging="136"/>
      </w:pPr>
      <w:rPr>
        <w:rFonts w:hint="default"/>
        <w:lang w:val="en-US" w:eastAsia="zh-CN" w:bidi="ar-SA"/>
      </w:rPr>
    </w:lvl>
  </w:abstractNum>
  <w:num w:numId="1">
    <w:abstractNumId w:val="4"/>
  </w:num>
  <w:num w:numId="2">
    <w:abstractNumId w:val="5"/>
  </w:num>
  <w:num w:numId="3">
    <w:abstractNumId w:val="6"/>
  </w:num>
  <w:num w:numId="4">
    <w:abstractNumId w:val="0"/>
  </w:num>
  <w:num w:numId="5">
    <w:abstractNumId w:val="1"/>
  </w:num>
  <w:num w:numId="6">
    <w:abstractNumId w:val="2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  <w:lang w:val="en-US" w:eastAsia="zh-CN" w:bidi="ar-SA"/>
    </w:rPr>
  </w:style>
  <w:style w:type="paragraph" w:styleId="Heading1">
    <w:name w:val="heading 1"/>
    <w:basedOn w:val="Normal"/>
    <w:uiPriority w:val="1"/>
    <w:qFormat/>
    <w:pPr>
      <w:spacing w:before="45"/>
      <w:ind w:hanging="481"/>
      <w:outlineLvl w:val="0"/>
    </w:pPr>
    <w:rPr>
      <w:rFonts w:ascii="黑体" w:eastAsia="黑体" w:hAnsi="黑体" w:cs="黑体"/>
      <w:sz w:val="32"/>
      <w:szCs w:val="32"/>
      <w:lang w:val="en-US" w:eastAsia="zh-CN" w:bidi="ar-SA"/>
    </w:rPr>
  </w:style>
  <w:style w:type="paragraph" w:styleId="Heading2">
    <w:name w:val="heading 2"/>
    <w:basedOn w:val="Normal"/>
    <w:uiPriority w:val="1"/>
    <w:qFormat/>
    <w:pPr>
      <w:spacing w:line="320" w:lineRule="exact"/>
      <w:ind w:left="948" w:hanging="700"/>
      <w:outlineLvl w:val="1"/>
    </w:pPr>
    <w:rPr>
      <w:rFonts w:ascii="黑体" w:eastAsia="黑体" w:hAnsi="黑体" w:cs="黑体"/>
      <w:sz w:val="28"/>
      <w:szCs w:val="28"/>
      <w:lang w:val="en-US" w:eastAsia="zh-CN" w:bidi="ar-SA"/>
    </w:rPr>
  </w:style>
  <w:style w:type="paragraph" w:styleId="Heading3">
    <w:name w:val="heading 3"/>
    <w:basedOn w:val="Normal"/>
    <w:uiPriority w:val="1"/>
    <w:qFormat/>
    <w:pPr>
      <w:ind w:left="1092" w:hanging="845"/>
      <w:outlineLvl w:val="2"/>
    </w:pPr>
    <w:rPr>
      <w:rFonts w:ascii="Microsoft JhengHei" w:eastAsia="Microsoft JhengHei" w:hAnsi="Microsoft JhengHei" w:cs="Microsoft JhengHei"/>
      <w:b/>
      <w:bCs/>
      <w:sz w:val="24"/>
      <w:szCs w:val="24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OC1">
    <w:name w:val="toc 1"/>
    <w:basedOn w:val="Normal"/>
    <w:uiPriority w:val="1"/>
    <w:qFormat/>
    <w:pPr>
      <w:spacing w:before="159"/>
      <w:ind w:right="103"/>
      <w:jc w:val="center"/>
    </w:pPr>
    <w:rPr>
      <w:rFonts w:ascii="宋体" w:eastAsia="宋体" w:hAnsi="宋体" w:cs="宋体"/>
      <w:b/>
      <w:bCs/>
      <w:i/>
      <w:iCs/>
      <w:lang w:val="en-US" w:eastAsia="zh-CN" w:bidi="ar-SA"/>
    </w:rPr>
  </w:style>
  <w:style w:type="paragraph" w:styleId="TOC2">
    <w:name w:val="toc 2"/>
    <w:basedOn w:val="Normal"/>
    <w:uiPriority w:val="1"/>
    <w:qFormat/>
    <w:pPr>
      <w:spacing w:before="160"/>
      <w:ind w:left="608" w:hanging="360"/>
    </w:pPr>
    <w:rPr>
      <w:rFonts w:ascii="宋体" w:eastAsia="宋体" w:hAnsi="宋体" w:cs="宋体"/>
      <w:i/>
      <w:iCs/>
      <w:sz w:val="24"/>
      <w:szCs w:val="24"/>
      <w:lang w:val="en-US" w:eastAsia="zh-CN" w:bidi="ar-SA"/>
    </w:rPr>
  </w:style>
  <w:style w:type="paragraph" w:styleId="TOC3">
    <w:name w:val="toc 3"/>
    <w:basedOn w:val="Normal"/>
    <w:uiPriority w:val="1"/>
    <w:qFormat/>
    <w:pPr>
      <w:spacing w:before="159"/>
      <w:ind w:left="608" w:hanging="360"/>
    </w:pPr>
    <w:rPr>
      <w:rFonts w:ascii="宋体" w:eastAsia="宋体" w:hAnsi="宋体" w:cs="宋体"/>
      <w:b/>
      <w:bCs/>
      <w:i/>
      <w:iCs/>
      <w:lang w:val="en-US" w:eastAsia="zh-CN" w:bidi="ar-SA"/>
    </w:rPr>
  </w:style>
  <w:style w:type="paragraph" w:styleId="TOC4">
    <w:name w:val="toc 4"/>
    <w:basedOn w:val="Normal"/>
    <w:uiPriority w:val="1"/>
    <w:qFormat/>
    <w:pPr>
      <w:spacing w:before="159"/>
      <w:ind w:left="1268" w:hanging="600"/>
    </w:pPr>
    <w:rPr>
      <w:rFonts w:ascii="宋体" w:eastAsia="宋体" w:hAnsi="宋体" w:cs="宋体"/>
      <w:i/>
      <w:iCs/>
      <w:sz w:val="24"/>
      <w:szCs w:val="24"/>
      <w:lang w:val="en-US" w:eastAsia="zh-CN" w:bidi="ar-SA"/>
    </w:rPr>
  </w:style>
  <w:style w:type="paragraph" w:styleId="TOC5">
    <w:name w:val="toc 5"/>
    <w:basedOn w:val="Normal"/>
    <w:uiPriority w:val="1"/>
    <w:qFormat/>
    <w:pPr>
      <w:spacing w:before="159"/>
      <w:ind w:left="1268" w:hanging="600"/>
    </w:pPr>
    <w:rPr>
      <w:rFonts w:ascii="宋体" w:eastAsia="宋体" w:hAnsi="宋体" w:cs="宋体"/>
      <w:b/>
      <w:bCs/>
      <w:i/>
      <w:iCs/>
      <w:lang w:val="en-US" w:eastAsia="zh-CN" w:bidi="ar-SA"/>
    </w:rPr>
  </w:style>
  <w:style w:type="paragraph" w:styleId="TOC6">
    <w:name w:val="toc 6"/>
    <w:basedOn w:val="Normal"/>
    <w:uiPriority w:val="1"/>
    <w:qFormat/>
    <w:pPr>
      <w:spacing w:before="159"/>
      <w:ind w:left="1928" w:hanging="840"/>
    </w:pPr>
    <w:rPr>
      <w:rFonts w:ascii="宋体" w:eastAsia="宋体" w:hAnsi="宋体" w:cs="宋体"/>
      <w:i/>
      <w:iCs/>
      <w:sz w:val="24"/>
      <w:szCs w:val="24"/>
      <w:lang w:val="en-US" w:eastAsia="zh-CN" w:bidi="ar-SA"/>
    </w:rPr>
  </w:style>
  <w:style w:type="paragraph" w:styleId="TOC7">
    <w:name w:val="toc 7"/>
    <w:basedOn w:val="Normal"/>
    <w:uiPriority w:val="1"/>
    <w:qFormat/>
    <w:pPr>
      <w:spacing w:before="159"/>
      <w:ind w:left="1928" w:hanging="840"/>
    </w:pPr>
    <w:rPr>
      <w:rFonts w:ascii="宋体" w:eastAsia="宋体" w:hAnsi="宋体" w:cs="宋体"/>
      <w:b/>
      <w:bCs/>
      <w:i/>
      <w:iCs/>
      <w:lang w:val="en-US" w:eastAsia="zh-CN" w:bidi="ar-SA"/>
    </w:rPr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24"/>
      <w:szCs w:val="24"/>
      <w:lang w:val="en-US" w:eastAsia="zh-CN" w:bidi="ar-SA"/>
    </w:rPr>
  </w:style>
  <w:style w:type="paragraph" w:styleId="Title">
    <w:name w:val="Title"/>
    <w:basedOn w:val="Normal"/>
    <w:uiPriority w:val="1"/>
    <w:qFormat/>
    <w:pPr>
      <w:spacing w:before="56"/>
      <w:ind w:right="105"/>
      <w:jc w:val="center"/>
    </w:pPr>
    <w:rPr>
      <w:rFonts w:ascii="Microsoft JhengHei" w:eastAsia="Microsoft JhengHei" w:hAnsi="Microsoft JhengHei" w:cs="Microsoft JhengHei"/>
      <w:b/>
      <w:bCs/>
      <w:sz w:val="44"/>
      <w:szCs w:val="44"/>
      <w:lang w:val="en-US" w:eastAsia="zh-CN" w:bidi="ar-SA"/>
    </w:rPr>
  </w:style>
  <w:style w:type="paragraph" w:styleId="ListParagraph">
    <w:name w:val="List Paragraph"/>
    <w:basedOn w:val="Normal"/>
    <w:uiPriority w:val="1"/>
    <w:qFormat/>
    <w:pPr>
      <w:ind w:left="948" w:hanging="700"/>
    </w:pPr>
    <w:rPr>
      <w:rFonts w:ascii="宋体" w:eastAsia="宋体" w:hAnsi="宋体" w:cs="宋体"/>
      <w:lang w:val="en-US" w:eastAsia="zh-CN" w:bidi="ar-SA"/>
    </w:rPr>
  </w:style>
  <w:style w:type="paragraph" w:customStyle="1" w:styleId="TableParagraph">
    <w:name w:val="Table Paragraph"/>
    <w:basedOn w:val="Normal"/>
    <w:uiPriority w:val="1"/>
    <w:qFormat/>
    <w:pPr>
      <w:spacing w:before="142"/>
      <w:ind w:left="118"/>
      <w:jc w:val="center"/>
    </w:pPr>
    <w:rPr>
      <w:rFonts w:ascii="宋体" w:eastAsia="宋体" w:hAnsi="宋体" w:cs="宋体"/>
      <w:lang w:val="en-US" w:eastAsia="zh-CN" w:bidi="ar-SA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image" Target="media/image1.jpeg" /><Relationship Id="rId17" Type="http://schemas.openxmlformats.org/officeDocument/2006/relationships/image" Target="media/image2.jpeg" /><Relationship Id="rId18" Type="http://schemas.openxmlformats.org/officeDocument/2006/relationships/header" Target="header7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header" Target="header8.xml" /><Relationship Id="rId21" Type="http://schemas.openxmlformats.org/officeDocument/2006/relationships/footer" Target="footer8.xml" /><Relationship Id="rId22" Type="http://schemas.openxmlformats.org/officeDocument/2006/relationships/header" Target="header9.xml" /><Relationship Id="rId23" Type="http://schemas.openxmlformats.org/officeDocument/2006/relationships/footer" Target="footer9.xml" /><Relationship Id="rId24" Type="http://schemas.openxmlformats.org/officeDocument/2006/relationships/image" Target="media/image3.png" /><Relationship Id="rId25" Type="http://schemas.openxmlformats.org/officeDocument/2006/relationships/image" Target="media/image4.png" /><Relationship Id="rId26" Type="http://schemas.openxmlformats.org/officeDocument/2006/relationships/image" Target="media/image5.png" /><Relationship Id="rId27" Type="http://schemas.openxmlformats.org/officeDocument/2006/relationships/image" Target="media/image6.png" /><Relationship Id="rId28" Type="http://schemas.openxmlformats.org/officeDocument/2006/relationships/image" Target="media/image7.png" /><Relationship Id="rId29" Type="http://schemas.openxmlformats.org/officeDocument/2006/relationships/hyperlink" Target="https://d.book118.com/868137107125006043" TargetMode="External" /><Relationship Id="rId3" Type="http://schemas.openxmlformats.org/officeDocument/2006/relationships/fontTable" Target="fontTable.xml" /><Relationship Id="rId30" Type="http://schemas.openxmlformats.org/officeDocument/2006/relationships/header" Target="header10.xml" /><Relationship Id="rId31" Type="http://schemas.openxmlformats.org/officeDocument/2006/relationships/footer" Target="footer10.xml" /><Relationship Id="rId32" Type="http://schemas.openxmlformats.org/officeDocument/2006/relationships/theme" Target="theme/theme1.xml" /><Relationship Id="rId33" Type="http://schemas.openxmlformats.org/officeDocument/2006/relationships/numbering" Target="numbering.xml" /><Relationship Id="rId34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2024-03-04T12:11:45Z</dcterms:created>
  <dcterms:modified xsi:type="dcterms:W3CDTF">2024-03-04T12:11:45Z</dcterms:modified>
</cp:coreProperties>
</file>