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0" w:line="894" w:lineRule="exact"/>
        <w:ind w:left="0" w:right="1507" w:firstLine="0"/>
        <w:jc w:val="center"/>
        <w:rPr>
          <w:rFonts w:ascii="宋体" w:eastAsia="宋体" w:hint="eastAsia"/>
          <w:b/>
          <w:sz w:val="72"/>
        </w:rPr>
      </w:pPr>
      <w:r>
        <w:rPr>
          <w:rFonts w:ascii="宋体" w:eastAsia="宋体" w:hint="eastAsia"/>
          <w:b/>
          <w:sz w:val="72"/>
        </w:rPr>
        <w:t>人工湖</w:t>
      </w:r>
    </w:p>
    <w:p>
      <w:pPr>
        <w:pStyle w:val="BodyText"/>
        <w:spacing w:before="3"/>
        <w:rPr>
          <w:rFonts w:ascii="宋体"/>
          <w:b/>
          <w:sz w:val="85"/>
        </w:rPr>
      </w:pPr>
    </w:p>
    <w:p>
      <w:pPr>
        <w:pStyle w:val="Title"/>
        <w:spacing w:line="338" w:lineRule="auto"/>
        <w:rPr>
          <w:rFonts w:ascii="黑体" w:eastAsia="黑体" w:hint="eastAsia"/>
        </w:rPr>
      </w:pPr>
      <w:r>
        <w:t>施工组织</w:t>
      </w:r>
      <w:r>
        <w:rPr>
          <w:rFonts w:ascii="黑体" w:eastAsia="黑体" w:hint="eastAsia"/>
        </w:rPr>
        <w:t>设计</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5"/>
        <w:rPr>
          <w:b/>
          <w:sz w:val="24"/>
        </w:rPr>
      </w:pPr>
    </w:p>
    <w:p>
      <w:pPr>
        <w:spacing w:before="42" w:line="417" w:lineRule="auto"/>
        <w:ind w:left="4783" w:right="9678" w:firstLine="0"/>
        <w:jc w:val="both"/>
        <w:rPr>
          <w:b/>
          <w:sz w:val="42"/>
        </w:rPr>
      </w:pPr>
      <w:r>
        <w:rPr>
          <w:b/>
          <w:sz w:val="42"/>
        </w:rPr>
        <w:t>编制 人： 审核 人： 审批 人：</w:t>
      </w:r>
    </w:p>
    <w:p>
      <w:pPr>
        <w:spacing w:after="0" w:line="417" w:lineRule="auto"/>
        <w:jc w:val="both"/>
        <w:rPr>
          <w:sz w:val="42"/>
        </w:rPr>
        <w:sectPr>
          <w:type w:val="continuous"/>
          <w:pgSz w:w="17860" w:h="25260"/>
          <w:pgMar w:top="1560" w:right="0" w:bottom="280" w:left="1500" w:header="708" w:footer="708"/>
          <w:cols w:space="708"/>
        </w:sectPr>
      </w:pPr>
    </w:p>
    <w:p>
      <w:pPr>
        <w:pStyle w:val="BodyText"/>
        <w:rPr>
          <w:b/>
          <w:sz w:val="20"/>
        </w:rPr>
      </w:pPr>
    </w:p>
    <w:p>
      <w:pPr>
        <w:pStyle w:val="BodyText"/>
        <w:rPr>
          <w:b/>
          <w:sz w:val="20"/>
        </w:rPr>
      </w:pPr>
    </w:p>
    <w:p>
      <w:pPr>
        <w:pStyle w:val="BodyText"/>
        <w:rPr>
          <w:b/>
          <w:sz w:val="20"/>
        </w:rPr>
      </w:pPr>
    </w:p>
    <w:p>
      <w:pPr>
        <w:pStyle w:val="BodyText"/>
        <w:spacing w:before="8"/>
        <w:rPr>
          <w:b/>
          <w:sz w:val="25"/>
        </w:rPr>
      </w:pPr>
    </w:p>
    <w:p>
      <w:pPr>
        <w:spacing w:before="31"/>
        <w:ind w:left="0" w:right="1505" w:firstLine="0"/>
        <w:jc w:val="center"/>
        <w:rPr>
          <w:b/>
          <w:sz w:val="48"/>
        </w:rPr>
      </w:pPr>
      <w:r>
        <w:rPr>
          <w:b/>
          <w:color w:val="355F90"/>
          <w:sz w:val="48"/>
        </w:rPr>
        <w:t>目录</w:t>
      </w:r>
    </w:p>
    <w:p>
      <w:pPr>
        <w:tabs>
          <w:tab w:val="left" w:leader="dot" w:pos="9811"/>
        </w:tabs>
        <w:spacing w:before="339"/>
        <w:ind w:left="0" w:right="1506" w:firstLine="0"/>
        <w:jc w:val="center"/>
        <w:rPr>
          <w:rFonts w:ascii="宋体" w:eastAsia="宋体" w:hint="eastAsia"/>
          <w:b/>
          <w:sz w:val="31"/>
        </w:rPr>
      </w:pPr>
      <w:r>
        <w:rPr>
          <w:sz w:val="31"/>
        </w:rPr>
        <w:t>第</w:t>
      </w:r>
      <w:r>
        <w:rPr>
          <w:spacing w:val="-70"/>
          <w:sz w:val="31"/>
        </w:rPr>
        <w:t xml:space="preserve"> </w:t>
      </w:r>
      <w:r>
        <w:rPr>
          <w:sz w:val="31"/>
        </w:rPr>
        <w:t>1</w:t>
      </w:r>
      <w:r>
        <w:rPr>
          <w:spacing w:val="-69"/>
          <w:sz w:val="31"/>
        </w:rPr>
        <w:t xml:space="preserve"> </w:t>
      </w:r>
      <w:r>
        <w:rPr>
          <w:sz w:val="31"/>
        </w:rPr>
        <w:t>章</w:t>
      </w:r>
      <w:r>
        <w:rPr>
          <w:spacing w:val="12"/>
          <w:sz w:val="31"/>
        </w:rPr>
        <w:t xml:space="preserve"> </w:t>
      </w:r>
      <w:r>
        <w:rPr>
          <w:sz w:val="31"/>
        </w:rPr>
        <w:t>编制说明</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tabs>
          <w:tab w:val="left" w:leader="dot" w:pos="10889"/>
        </w:tabs>
        <w:spacing w:before="78"/>
        <w:ind w:left="1531" w:right="0" w:firstLine="0"/>
        <w:jc w:val="left"/>
        <w:rPr>
          <w:rFonts w:ascii="宋体" w:eastAsia="宋体" w:hint="eastAsia"/>
          <w:b/>
          <w:sz w:val="33"/>
        </w:rPr>
      </w:pPr>
      <w:r>
        <w:rPr>
          <w:sz w:val="33"/>
        </w:rPr>
        <w:t>、编制依据</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leader="dot" w:pos="10889"/>
        </w:tabs>
        <w:spacing w:before="264"/>
        <w:ind w:left="1531" w:right="0" w:firstLine="0"/>
        <w:jc w:val="left"/>
        <w:rPr>
          <w:rFonts w:ascii="宋体" w:eastAsia="宋体" w:hint="eastAsia"/>
          <w:b/>
          <w:sz w:val="33"/>
        </w:rPr>
      </w:pPr>
      <w:r>
        <w:rPr>
          <w:sz w:val="33"/>
        </w:rPr>
        <w:t>、编制目的</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leader="dot" w:pos="10889"/>
        </w:tabs>
        <w:spacing w:before="265"/>
        <w:ind w:left="1531" w:right="0" w:firstLine="0"/>
        <w:jc w:val="left"/>
        <w:rPr>
          <w:rFonts w:ascii="宋体" w:eastAsia="宋体" w:hint="eastAsia"/>
          <w:b/>
          <w:sz w:val="33"/>
        </w:rPr>
      </w:pPr>
      <w:r>
        <w:rPr>
          <w:sz w:val="33"/>
        </w:rPr>
        <w:t>、编制原则</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leader="dot" w:pos="9811"/>
        </w:tabs>
        <w:spacing w:before="258"/>
        <w:ind w:left="0" w:right="1506" w:firstLine="0"/>
        <w:jc w:val="center"/>
        <w:rPr>
          <w:rFonts w:ascii="宋体" w:eastAsia="宋体" w:hint="eastAsia"/>
          <w:b/>
          <w:sz w:val="31"/>
        </w:rPr>
      </w:pPr>
      <w:r>
        <w:rPr>
          <w:sz w:val="31"/>
        </w:rPr>
        <w:t>第</w:t>
      </w:r>
      <w:r>
        <w:rPr>
          <w:spacing w:val="-70"/>
          <w:sz w:val="31"/>
        </w:rPr>
        <w:t xml:space="preserve"> </w:t>
      </w:r>
      <w:r>
        <w:rPr>
          <w:sz w:val="31"/>
        </w:rPr>
        <w:t>2</w:t>
      </w:r>
      <w:r>
        <w:rPr>
          <w:spacing w:val="-69"/>
          <w:sz w:val="31"/>
        </w:rPr>
        <w:t xml:space="preserve"> </w:t>
      </w:r>
      <w:r>
        <w:rPr>
          <w:sz w:val="31"/>
        </w:rPr>
        <w:t>章</w:t>
      </w:r>
      <w:r>
        <w:rPr>
          <w:spacing w:val="12"/>
          <w:sz w:val="31"/>
        </w:rPr>
        <w:t xml:space="preserve"> </w:t>
      </w:r>
      <w:r>
        <w:rPr>
          <w:sz w:val="31"/>
        </w:rPr>
        <w:t>工程概况</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tabs>
          <w:tab w:val="left" w:leader="dot" w:pos="10889"/>
        </w:tabs>
        <w:spacing w:before="79"/>
        <w:ind w:left="1531" w:right="0" w:firstLine="0"/>
        <w:jc w:val="left"/>
        <w:rPr>
          <w:rFonts w:ascii="宋体" w:eastAsia="宋体" w:hint="eastAsia"/>
          <w:b/>
          <w:sz w:val="33"/>
        </w:rPr>
      </w:pPr>
      <w:r>
        <w:rPr>
          <w:sz w:val="33"/>
        </w:rPr>
        <w:t>、项目简介</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leader="dot" w:pos="10889"/>
        </w:tabs>
        <w:spacing w:before="268"/>
        <w:ind w:left="1531" w:right="0" w:firstLine="0"/>
        <w:jc w:val="left"/>
        <w:rPr>
          <w:rFonts w:ascii="宋体" w:eastAsia="宋体" w:hint="eastAsia"/>
          <w:b/>
          <w:sz w:val="33"/>
        </w:rPr>
      </w:pPr>
      <w:r>
        <w:rPr>
          <w:sz w:val="33"/>
        </w:rPr>
        <w:t>、自然地理概况</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leader="dot" w:pos="11011"/>
        </w:tabs>
        <w:spacing w:before="258"/>
        <w:ind w:left="1200" w:right="0" w:firstLine="0"/>
        <w:jc w:val="left"/>
        <w:rPr>
          <w:rFonts w:ascii="宋体" w:eastAsia="宋体" w:hint="eastAsia"/>
          <w:b/>
          <w:sz w:val="31"/>
        </w:rPr>
      </w:pPr>
      <w:r>
        <w:rPr>
          <w:sz w:val="31"/>
        </w:rPr>
        <w:t>第</w:t>
      </w:r>
      <w:r>
        <w:rPr>
          <w:spacing w:val="-65"/>
          <w:sz w:val="31"/>
        </w:rPr>
        <w:t xml:space="preserve"> </w:t>
      </w:r>
      <w:r>
        <w:rPr>
          <w:sz w:val="31"/>
        </w:rPr>
        <w:t>3</w:t>
      </w:r>
      <w:r>
        <w:rPr>
          <w:spacing w:val="-64"/>
          <w:sz w:val="31"/>
        </w:rPr>
        <w:t xml:space="preserve"> </w:t>
      </w:r>
      <w:r>
        <w:rPr>
          <w:sz w:val="31"/>
        </w:rPr>
        <w:t>章</w:t>
      </w:r>
      <w:r>
        <w:rPr>
          <w:spacing w:val="22"/>
          <w:sz w:val="31"/>
        </w:rPr>
        <w:t xml:space="preserve"> </w:t>
      </w:r>
      <w:r>
        <w:rPr>
          <w:sz w:val="31"/>
        </w:rPr>
        <w:t>施工部署及施工准备</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tabs>
          <w:tab w:val="left" w:leader="dot" w:pos="10889"/>
        </w:tabs>
        <w:spacing w:before="78"/>
        <w:ind w:left="1531" w:right="0" w:firstLine="0"/>
        <w:jc w:val="left"/>
        <w:rPr>
          <w:rFonts w:ascii="宋体" w:eastAsia="宋体" w:hint="eastAsia"/>
          <w:b/>
          <w:sz w:val="33"/>
        </w:rPr>
      </w:pPr>
      <w:r>
        <w:rPr>
          <w:sz w:val="33"/>
        </w:rPr>
        <w:t>、工程目标及方针</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leader="dot" w:pos="10889"/>
        </w:tabs>
        <w:spacing w:before="265"/>
        <w:ind w:left="1531" w:right="0" w:firstLine="0"/>
        <w:jc w:val="left"/>
        <w:rPr>
          <w:rFonts w:ascii="宋体" w:eastAsia="宋体" w:hint="eastAsia"/>
          <w:b/>
          <w:sz w:val="33"/>
        </w:rPr>
      </w:pPr>
      <w:r>
        <w:rPr>
          <w:sz w:val="33"/>
        </w:rPr>
        <w:t>、项目部组织机构</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leader="dot" w:pos="10889"/>
        </w:tabs>
        <w:spacing w:before="264"/>
        <w:ind w:left="1531" w:right="0" w:firstLine="0"/>
        <w:jc w:val="left"/>
        <w:rPr>
          <w:rFonts w:ascii="宋体" w:eastAsia="宋体" w:hint="eastAsia"/>
          <w:b/>
          <w:sz w:val="33"/>
        </w:rPr>
      </w:pPr>
      <w:r>
        <w:rPr>
          <w:sz w:val="33"/>
        </w:rPr>
        <w:t>、施工准备</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leader="dot" w:pos="10889"/>
        </w:tabs>
        <w:spacing w:before="265"/>
        <w:ind w:left="1531" w:right="0" w:firstLine="0"/>
        <w:jc w:val="left"/>
        <w:rPr>
          <w:rFonts w:ascii="宋体" w:eastAsia="宋体" w:hint="eastAsia"/>
          <w:b/>
          <w:sz w:val="33"/>
        </w:rPr>
      </w:pPr>
      <w:r>
        <w:rPr>
          <w:sz w:val="33"/>
        </w:rPr>
        <w:t>、制定施工准备工作计划</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leader="dot" w:pos="11011"/>
        </w:tabs>
        <w:spacing w:before="258"/>
        <w:ind w:left="1200" w:right="0" w:firstLine="0"/>
        <w:jc w:val="left"/>
        <w:rPr>
          <w:rFonts w:ascii="宋体" w:eastAsia="宋体" w:hint="eastAsia"/>
          <w:b/>
          <w:sz w:val="31"/>
        </w:rPr>
      </w:pPr>
      <w:r>
        <w:rPr>
          <w:sz w:val="31"/>
        </w:rPr>
        <w:t>第</w:t>
      </w:r>
      <w:r>
        <w:rPr>
          <w:spacing w:val="66"/>
          <w:sz w:val="31"/>
        </w:rPr>
        <w:t xml:space="preserve"> </w:t>
      </w:r>
      <w:r>
        <w:rPr>
          <w:sz w:val="31"/>
        </w:rPr>
        <w:t>4</w:t>
      </w:r>
      <w:r>
        <w:rPr>
          <w:spacing w:val="-5"/>
          <w:sz w:val="31"/>
        </w:rPr>
        <w:t xml:space="preserve"> </w:t>
      </w:r>
      <w:r>
        <w:rPr>
          <w:sz w:val="31"/>
        </w:rPr>
        <w:t>章</w:t>
      </w:r>
      <w:r>
        <w:rPr>
          <w:spacing w:val="90"/>
          <w:sz w:val="31"/>
        </w:rPr>
        <w:t xml:space="preserve"> </w:t>
      </w:r>
      <w:r>
        <w:rPr>
          <w:sz w:val="31"/>
        </w:rPr>
        <w:t>施工方案与技术措施</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tabs>
          <w:tab w:val="left" w:leader="dot" w:pos="10889"/>
        </w:tabs>
        <w:spacing w:before="78"/>
        <w:ind w:left="1531" w:right="0" w:firstLine="0"/>
        <w:jc w:val="left"/>
        <w:rPr>
          <w:rFonts w:ascii="宋体" w:eastAsia="宋体" w:hint="eastAsia"/>
          <w:b/>
          <w:sz w:val="33"/>
        </w:rPr>
      </w:pPr>
      <w:r>
        <w:rPr>
          <w:sz w:val="33"/>
        </w:rPr>
        <w:t>、工程施工测量</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leader="dot" w:pos="10889"/>
        </w:tabs>
        <w:spacing w:before="269"/>
        <w:ind w:left="1531" w:right="0" w:firstLine="0"/>
        <w:jc w:val="left"/>
        <w:rPr>
          <w:rFonts w:ascii="宋体" w:eastAsia="宋体" w:hint="eastAsia"/>
          <w:b/>
          <w:sz w:val="33"/>
        </w:rPr>
      </w:pPr>
      <w:r>
        <w:rPr>
          <w:sz w:val="33"/>
        </w:rPr>
        <w:t>、基础处理工程</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leader="dot" w:pos="10889"/>
        </w:tabs>
        <w:spacing w:before="265"/>
        <w:ind w:left="1531" w:right="0" w:firstLine="0"/>
        <w:jc w:val="left"/>
        <w:rPr>
          <w:rFonts w:ascii="宋体" w:eastAsia="宋体" w:hint="eastAsia"/>
          <w:b/>
          <w:sz w:val="33"/>
        </w:rPr>
      </w:pPr>
      <w:r>
        <w:rPr>
          <w:sz w:val="33"/>
        </w:rPr>
        <w:t>、景观处理工程</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leader="dot" w:pos="10889"/>
        </w:tabs>
        <w:spacing w:before="264"/>
        <w:ind w:left="1531" w:right="0" w:firstLine="0"/>
        <w:jc w:val="left"/>
        <w:rPr>
          <w:rFonts w:ascii="宋体" w:eastAsia="宋体" w:hint="eastAsia"/>
          <w:b/>
          <w:sz w:val="33"/>
        </w:rPr>
      </w:pPr>
      <w:r>
        <w:rPr>
          <w:sz w:val="33"/>
        </w:rPr>
        <w:t>、混凝土工程</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leader="dot" w:pos="10889"/>
        </w:tabs>
        <w:spacing w:before="265"/>
        <w:ind w:left="1531" w:right="0" w:firstLine="0"/>
        <w:jc w:val="left"/>
        <w:rPr>
          <w:rFonts w:ascii="宋体" w:eastAsia="宋体" w:hint="eastAsia"/>
          <w:b/>
          <w:sz w:val="33"/>
        </w:rPr>
      </w:pPr>
      <w:r>
        <w:rPr>
          <w:sz w:val="33"/>
        </w:rPr>
        <w:t>、人工栈桥工程</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pos="2827"/>
          <w:tab w:val="left" w:leader="dot" w:pos="11011"/>
        </w:tabs>
        <w:spacing w:before="258"/>
        <w:ind w:left="1200" w:right="0" w:firstLine="0"/>
        <w:jc w:val="left"/>
        <w:rPr>
          <w:rFonts w:ascii="宋体" w:eastAsia="宋体" w:hint="eastAsia"/>
          <w:b/>
          <w:sz w:val="31"/>
        </w:rPr>
      </w:pPr>
      <w:r>
        <w:rPr>
          <w:sz w:val="31"/>
        </w:rPr>
        <w:t>第</w:t>
      </w:r>
      <w:r>
        <w:rPr>
          <w:spacing w:val="51"/>
          <w:sz w:val="31"/>
        </w:rPr>
        <w:t xml:space="preserve"> </w:t>
      </w:r>
      <w:r>
        <w:rPr>
          <w:sz w:val="31"/>
        </w:rPr>
        <w:t>5</w:t>
      </w:r>
      <w:r>
        <w:rPr>
          <w:spacing w:val="77"/>
          <w:sz w:val="31"/>
        </w:rPr>
        <w:t xml:space="preserve"> </w:t>
      </w:r>
      <w:r>
        <w:rPr>
          <w:sz w:val="31"/>
        </w:rPr>
        <w:t>章</w:t>
        <w:tab/>
        <w:t>质量管理体系和措施</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tabs>
          <w:tab w:val="left" w:leader="dot" w:pos="10889"/>
        </w:tabs>
        <w:spacing w:before="78"/>
        <w:ind w:left="1531" w:right="0" w:firstLine="0"/>
        <w:jc w:val="left"/>
        <w:rPr>
          <w:rFonts w:ascii="宋体" w:eastAsia="宋体" w:hint="eastAsia"/>
          <w:b/>
          <w:sz w:val="33"/>
        </w:rPr>
      </w:pPr>
      <w:r>
        <w:rPr>
          <w:sz w:val="33"/>
        </w:rPr>
        <w:t>、质量保证体系</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leader="dot" w:pos="10889"/>
        </w:tabs>
        <w:spacing w:before="265"/>
        <w:ind w:left="1531" w:right="0" w:firstLine="0"/>
        <w:jc w:val="left"/>
        <w:rPr>
          <w:rFonts w:ascii="宋体" w:eastAsia="宋体" w:hint="eastAsia"/>
          <w:b/>
          <w:sz w:val="33"/>
        </w:rPr>
      </w:pPr>
      <w:r>
        <w:rPr>
          <w:sz w:val="33"/>
        </w:rPr>
        <w:t>、质量保证总体措施</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pos="2827"/>
          <w:tab w:val="left" w:leader="dot" w:pos="11011"/>
        </w:tabs>
        <w:spacing w:before="261"/>
        <w:ind w:left="1200" w:right="0" w:firstLine="0"/>
        <w:jc w:val="left"/>
        <w:rPr>
          <w:rFonts w:ascii="宋体" w:eastAsia="宋体" w:hint="eastAsia"/>
          <w:b/>
          <w:sz w:val="31"/>
        </w:rPr>
      </w:pPr>
      <w:r>
        <w:rPr>
          <w:sz w:val="31"/>
        </w:rPr>
        <w:t>第</w:t>
      </w:r>
      <w:r>
        <w:rPr>
          <w:spacing w:val="51"/>
          <w:sz w:val="31"/>
        </w:rPr>
        <w:t xml:space="preserve"> </w:t>
      </w:r>
      <w:r>
        <w:rPr>
          <w:sz w:val="31"/>
        </w:rPr>
        <w:t>6</w:t>
      </w:r>
      <w:r>
        <w:rPr>
          <w:spacing w:val="77"/>
          <w:sz w:val="31"/>
        </w:rPr>
        <w:t xml:space="preserve"> </w:t>
      </w:r>
      <w:r>
        <w:rPr>
          <w:sz w:val="31"/>
        </w:rPr>
        <w:t>章</w:t>
        <w:tab/>
        <w:t>安全文明管理体系与措施</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tabs>
          <w:tab w:val="left" w:leader="dot" w:pos="10889"/>
        </w:tabs>
        <w:spacing w:before="79"/>
        <w:ind w:left="1531" w:right="0" w:firstLine="0"/>
        <w:jc w:val="left"/>
        <w:rPr>
          <w:rFonts w:ascii="宋体" w:eastAsia="宋体" w:hint="eastAsia"/>
          <w:b/>
          <w:sz w:val="33"/>
        </w:rPr>
      </w:pPr>
      <w:r>
        <w:rPr>
          <w:sz w:val="33"/>
        </w:rPr>
        <w:t>、建立健全安全管理体系与措施</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leader="dot" w:pos="10889"/>
        </w:tabs>
        <w:spacing w:before="264"/>
        <w:ind w:left="1531" w:right="0" w:firstLine="0"/>
        <w:jc w:val="left"/>
        <w:rPr>
          <w:rFonts w:ascii="宋体" w:eastAsia="宋体" w:hint="eastAsia"/>
          <w:b/>
          <w:sz w:val="33"/>
        </w:rPr>
      </w:pPr>
      <w:r>
        <w:rPr>
          <w:sz w:val="33"/>
        </w:rPr>
        <w:t>、文明施工管理体系与措施</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pos="2827"/>
          <w:tab w:val="left" w:leader="dot" w:pos="11011"/>
        </w:tabs>
        <w:spacing w:before="258"/>
        <w:ind w:left="1200" w:right="0" w:firstLine="0"/>
        <w:jc w:val="left"/>
        <w:rPr>
          <w:rFonts w:ascii="宋体" w:eastAsia="宋体" w:hint="eastAsia"/>
          <w:b/>
          <w:sz w:val="31"/>
        </w:rPr>
      </w:pPr>
      <w:r>
        <w:rPr>
          <w:sz w:val="31"/>
        </w:rPr>
        <w:t>第</w:t>
      </w:r>
      <w:r>
        <w:rPr>
          <w:spacing w:val="51"/>
          <w:sz w:val="31"/>
        </w:rPr>
        <w:t xml:space="preserve"> </w:t>
      </w:r>
      <w:r>
        <w:rPr>
          <w:sz w:val="31"/>
        </w:rPr>
        <w:t>7</w:t>
      </w:r>
      <w:r>
        <w:rPr>
          <w:spacing w:val="77"/>
          <w:sz w:val="31"/>
        </w:rPr>
        <w:t xml:space="preserve"> </w:t>
      </w:r>
      <w:r>
        <w:rPr>
          <w:sz w:val="31"/>
        </w:rPr>
        <w:t>章</w:t>
        <w:tab/>
        <w:t>环境保护管理体系与措施</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tabs>
          <w:tab w:val="left" w:leader="dot" w:pos="10889"/>
        </w:tabs>
        <w:spacing w:before="78"/>
        <w:ind w:left="1531" w:right="0" w:firstLine="0"/>
        <w:jc w:val="left"/>
        <w:rPr>
          <w:rFonts w:ascii="宋体" w:eastAsia="宋体" w:hint="eastAsia"/>
          <w:b/>
          <w:sz w:val="33"/>
        </w:rPr>
      </w:pPr>
      <w:r>
        <w:rPr>
          <w:sz w:val="33"/>
        </w:rPr>
        <w:t>、环境保护管理体系</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leader="dot" w:pos="10889"/>
        </w:tabs>
        <w:spacing w:before="265"/>
        <w:ind w:left="1531" w:right="0" w:firstLine="0"/>
        <w:jc w:val="left"/>
        <w:rPr>
          <w:rFonts w:ascii="宋体" w:eastAsia="宋体" w:hint="eastAsia"/>
          <w:b/>
          <w:sz w:val="33"/>
        </w:rPr>
      </w:pPr>
      <w:r>
        <w:rPr>
          <w:sz w:val="33"/>
        </w:rPr>
        <w:t>、环境保护措施</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pos="2827"/>
          <w:tab w:val="left" w:leader="dot" w:pos="11011"/>
        </w:tabs>
        <w:spacing w:before="257"/>
        <w:ind w:left="1200" w:right="0" w:firstLine="0"/>
        <w:jc w:val="left"/>
        <w:rPr>
          <w:rFonts w:ascii="宋体" w:eastAsia="宋体" w:hint="eastAsia"/>
          <w:b/>
          <w:sz w:val="31"/>
        </w:rPr>
      </w:pPr>
      <w:r>
        <w:rPr>
          <w:sz w:val="31"/>
        </w:rPr>
        <w:t>第</w:t>
      </w:r>
      <w:r>
        <w:rPr>
          <w:spacing w:val="51"/>
          <w:sz w:val="31"/>
        </w:rPr>
        <w:t xml:space="preserve"> </w:t>
      </w:r>
      <w:r>
        <w:rPr>
          <w:sz w:val="31"/>
        </w:rPr>
        <w:t>8</w:t>
      </w:r>
      <w:r>
        <w:rPr>
          <w:spacing w:val="77"/>
          <w:sz w:val="31"/>
        </w:rPr>
        <w:t xml:space="preserve"> </w:t>
      </w:r>
      <w:r>
        <w:rPr>
          <w:sz w:val="31"/>
        </w:rPr>
        <w:t>章</w:t>
        <w:tab/>
        <w:t>工期及进度计划和措施</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tabs>
          <w:tab w:val="left" w:leader="dot" w:pos="10889"/>
        </w:tabs>
        <w:spacing w:before="78"/>
        <w:ind w:left="1531" w:right="0" w:firstLine="0"/>
        <w:jc w:val="left"/>
        <w:rPr>
          <w:rFonts w:ascii="宋体" w:eastAsia="宋体" w:hint="eastAsia"/>
          <w:b/>
          <w:sz w:val="33"/>
        </w:rPr>
      </w:pPr>
      <w:r>
        <w:rPr>
          <w:sz w:val="33"/>
        </w:rPr>
        <w:t>、进度计划</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spacing w:after="0"/>
        <w:jc w:val="left"/>
        <w:rPr>
          <w:rFonts w:ascii="宋体" w:eastAsia="宋体" w:hint="eastAsia"/>
          <w:sz w:val="33"/>
        </w:rPr>
        <w:sectPr>
          <w:pgSz w:w="17860" w:h="25260"/>
          <w:pgMar w:top="2420" w:right="0" w:bottom="280" w:left="1500" w:header="708" w:footer="708"/>
          <w:pgNumType w:start="2"/>
          <w:cols w:space="708"/>
        </w:sectPr>
      </w:pPr>
    </w:p>
    <w:p>
      <w:pPr>
        <w:tabs>
          <w:tab w:val="left" w:leader="dot" w:pos="10889"/>
        </w:tabs>
        <w:spacing w:before="36"/>
        <w:ind w:left="1531" w:right="0" w:firstLine="0"/>
        <w:jc w:val="left"/>
        <w:rPr>
          <w:rFonts w:ascii="宋体" w:eastAsia="宋体" w:hint="eastAsia"/>
          <w:b/>
          <w:sz w:val="33"/>
        </w:rPr>
      </w:pPr>
      <w:r>
        <w:rPr>
          <w:sz w:val="33"/>
        </w:rPr>
        <w:t>、工期保证总体措施</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pos="2737"/>
          <w:tab w:val="left" w:leader="dot" w:pos="11011"/>
        </w:tabs>
        <w:spacing w:before="258"/>
        <w:ind w:left="1200" w:right="0" w:firstLine="0"/>
        <w:jc w:val="left"/>
        <w:rPr>
          <w:rFonts w:ascii="宋体" w:eastAsia="宋体" w:hint="eastAsia"/>
          <w:b/>
          <w:sz w:val="31"/>
        </w:rPr>
      </w:pPr>
      <w:r>
        <w:rPr>
          <w:sz w:val="31"/>
        </w:rPr>
        <w:t>第</w:t>
      </w:r>
      <w:r>
        <w:rPr>
          <w:spacing w:val="52"/>
          <w:sz w:val="31"/>
        </w:rPr>
        <w:t xml:space="preserve"> </w:t>
      </w:r>
      <w:r>
        <w:rPr>
          <w:sz w:val="31"/>
        </w:rPr>
        <w:t>9</w:t>
      </w:r>
      <w:r>
        <w:rPr>
          <w:spacing w:val="-15"/>
          <w:sz w:val="31"/>
        </w:rPr>
        <w:t xml:space="preserve"> </w:t>
      </w:r>
      <w:r>
        <w:rPr>
          <w:sz w:val="31"/>
        </w:rPr>
        <w:t>章</w:t>
        <w:tab/>
        <w:t>资源配备计划</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tabs>
          <w:tab w:val="left" w:leader="dot" w:pos="10889"/>
        </w:tabs>
        <w:spacing w:before="79"/>
        <w:ind w:left="1531" w:right="0" w:firstLine="0"/>
        <w:jc w:val="left"/>
        <w:rPr>
          <w:rFonts w:ascii="宋体" w:eastAsia="宋体" w:hint="eastAsia"/>
          <w:b/>
          <w:sz w:val="33"/>
        </w:rPr>
      </w:pPr>
      <w:r>
        <w:rPr>
          <w:sz w:val="33"/>
        </w:rPr>
        <w:t>、动力计划安排及劳动力保障措施</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leader="dot" w:pos="10889"/>
        </w:tabs>
        <w:spacing w:before="264"/>
        <w:ind w:left="1531" w:right="0" w:firstLine="0"/>
        <w:jc w:val="left"/>
        <w:rPr>
          <w:rFonts w:ascii="宋体" w:eastAsia="宋体" w:hint="eastAsia"/>
          <w:b/>
          <w:sz w:val="33"/>
        </w:rPr>
      </w:pPr>
      <w:r>
        <w:rPr>
          <w:sz w:val="33"/>
        </w:rPr>
        <w:t>、主要材料供应计划和材料供应保障措施</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leader="dot" w:pos="10889"/>
        </w:tabs>
        <w:spacing w:before="265"/>
        <w:ind w:left="1531" w:right="0" w:firstLine="0"/>
        <w:jc w:val="left"/>
        <w:rPr>
          <w:rFonts w:ascii="宋体" w:eastAsia="宋体" w:hint="eastAsia"/>
          <w:b/>
          <w:sz w:val="33"/>
        </w:rPr>
      </w:pPr>
      <w:r>
        <w:rPr>
          <w:sz w:val="33"/>
        </w:rPr>
        <w:t>、主要机械设备组织计划</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spacing w:before="261"/>
        <w:ind w:left="0" w:right="2705" w:firstLine="0"/>
        <w:jc w:val="right"/>
        <w:rPr>
          <w:rFonts w:ascii="宋体" w:eastAsia="宋体" w:hint="eastAsia"/>
          <w:b/>
          <w:sz w:val="31"/>
        </w:rPr>
      </w:pPr>
      <w:r>
        <w:pict>
          <v:group id="_x0000_s1025" style="width:327pt;height:21pt;margin-top:10.57pt;margin-left:135pt;mso-position-horizontal-relative:page;position:absolute;z-index:251658240" coordorigin="2700,211" coordsize="6540,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6540;height:420;left:2700;position:absolute;top:211" stroked="f">
              <v:imagedata r:id="rId4" o:title=""/>
            </v:shape>
            <v:shapetype id="_x0000_t202" coordsize="21600,21600" o:spt="202" path="m,l,21600r21600,l21600,xe">
              <v:stroke joinstyle="miter"/>
              <v:path gradientshapeok="t" o:connecttype="rect"/>
            </v:shapetype>
            <v:shape id="_x0000_s1027" type="#_x0000_t202" style="width:1421;height:317;left:2700;position:absolute;top:298" filled="f" stroked="f">
              <v:textbox inset="0,0,0,0">
                <w:txbxContent>
                  <w:p>
                    <w:pPr>
                      <w:tabs>
                        <w:tab w:val="left" w:pos="1083"/>
                      </w:tabs>
                      <w:spacing w:before="0" w:line="317" w:lineRule="exact"/>
                      <w:ind w:left="0" w:right="0" w:firstLine="0"/>
                      <w:jc w:val="left"/>
                      <w:rPr>
                        <w:sz w:val="31"/>
                      </w:rPr>
                    </w:pPr>
                    <w:r>
                      <w:rPr>
                        <w:sz w:val="31"/>
                      </w:rPr>
                      <w:t>第</w:t>
                    </w:r>
                    <w:r>
                      <w:rPr>
                        <w:spacing w:val="52"/>
                        <w:sz w:val="31"/>
                      </w:rPr>
                      <w:t xml:space="preserve"> </w:t>
                    </w:r>
                    <w:r>
                      <w:rPr>
                        <w:sz w:val="31"/>
                      </w:rPr>
                      <w:t>10</w:t>
                      <w:tab/>
                      <w:t>章</w:t>
                    </w:r>
                  </w:p>
                </w:txbxContent>
              </v:textbox>
            </v:shape>
            <v:shape id="_x0000_s1028" type="#_x0000_t202" style="width:4139;height:317;left:4507;position:absolute;top:298" filled="f" stroked="f">
              <v:textbox inset="0,0,0,0">
                <w:txbxContent>
                  <w:p>
                    <w:pPr>
                      <w:spacing w:before="0" w:line="317" w:lineRule="exact"/>
                      <w:ind w:left="0" w:right="0" w:firstLine="0"/>
                      <w:jc w:val="left"/>
                      <w:rPr>
                        <w:sz w:val="31"/>
                      </w:rPr>
                    </w:pPr>
                    <w:r>
                      <w:rPr>
                        <w:sz w:val="31"/>
                      </w:rPr>
                      <w:t>冬、雨季及高温季节施工方案</w:t>
                    </w:r>
                  </w:p>
                </w:txbxContent>
              </v:textbox>
            </v:shape>
          </v:group>
        </w:pict>
      </w:r>
      <w:r>
        <w:rPr>
          <w:spacing w:val="4"/>
          <w:sz w:val="31"/>
        </w:rPr>
        <w:t xml:space="preserve">................... </w:t>
      </w:r>
      <w:r>
        <w:rPr>
          <w:rFonts w:ascii="宋体" w:eastAsia="宋体" w:hint="eastAsia"/>
          <w:b/>
          <w:spacing w:val="1"/>
          <w:sz w:val="31"/>
        </w:rPr>
        <w:t>错误</w:t>
      </w:r>
      <w:r>
        <w:rPr>
          <w:rFonts w:ascii="Times New Roman" w:eastAsia="Times New Roman"/>
          <w:b/>
          <w:spacing w:val="-4"/>
          <w:sz w:val="31"/>
        </w:rPr>
        <w:t>!</w:t>
      </w:r>
      <w:r>
        <w:rPr>
          <w:rFonts w:ascii="宋体" w:eastAsia="宋体" w:hint="eastAsia"/>
          <w:b/>
          <w:sz w:val="31"/>
        </w:rPr>
        <w:t>未定义书签。</w:t>
      </w:r>
    </w:p>
    <w:p>
      <w:pPr>
        <w:tabs>
          <w:tab w:val="left" w:leader="dot" w:pos="10889"/>
        </w:tabs>
        <w:spacing w:before="78"/>
        <w:ind w:left="1531" w:right="0" w:firstLine="0"/>
        <w:jc w:val="left"/>
        <w:rPr>
          <w:rFonts w:ascii="宋体" w:eastAsia="宋体" w:hint="eastAsia"/>
          <w:b/>
          <w:sz w:val="33"/>
        </w:rPr>
      </w:pPr>
      <w:r>
        <w:rPr>
          <w:sz w:val="33"/>
        </w:rPr>
        <w:t>、施工准备工作</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leader="dot" w:pos="10889"/>
        </w:tabs>
        <w:spacing w:before="265"/>
        <w:ind w:left="1531" w:right="0" w:firstLine="0"/>
        <w:jc w:val="left"/>
        <w:rPr>
          <w:rFonts w:ascii="宋体" w:eastAsia="宋体" w:hint="eastAsia"/>
          <w:b/>
          <w:sz w:val="33"/>
        </w:rPr>
      </w:pPr>
      <w:r>
        <w:rPr>
          <w:sz w:val="33"/>
        </w:rPr>
        <w:t>、冬季施工措施</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leader="dot" w:pos="10889"/>
        </w:tabs>
        <w:spacing w:before="265"/>
        <w:ind w:left="1531" w:right="0" w:firstLine="0"/>
        <w:jc w:val="left"/>
        <w:rPr>
          <w:rFonts w:ascii="宋体" w:eastAsia="宋体" w:hint="eastAsia"/>
          <w:b/>
          <w:sz w:val="33"/>
        </w:rPr>
      </w:pPr>
      <w:r>
        <w:rPr>
          <w:sz w:val="33"/>
        </w:rPr>
        <w:t>、雨季施工措施</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leader="dot" w:pos="10889"/>
        </w:tabs>
        <w:spacing w:before="266"/>
        <w:ind w:left="1531" w:right="0" w:firstLine="0"/>
        <w:jc w:val="left"/>
        <w:rPr>
          <w:rFonts w:ascii="宋体" w:eastAsia="宋体" w:hint="eastAsia"/>
          <w:b/>
          <w:sz w:val="33"/>
        </w:rPr>
      </w:pPr>
      <w:r>
        <w:rPr>
          <w:sz w:val="33"/>
        </w:rPr>
        <w:t>、高温季节施工措施</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pos="1083"/>
          <w:tab w:val="left" w:pos="9811"/>
        </w:tabs>
        <w:spacing w:before="257"/>
        <w:ind w:left="0" w:right="2705" w:firstLine="0"/>
        <w:jc w:val="right"/>
        <w:rPr>
          <w:rFonts w:ascii="宋体" w:eastAsia="宋体" w:hint="eastAsia"/>
          <w:b/>
          <w:sz w:val="31"/>
        </w:rPr>
      </w:pPr>
      <w:r>
        <w:rPr>
          <w:sz w:val="31"/>
        </w:rPr>
        <w:t>第</w:t>
      </w:r>
      <w:r>
        <w:rPr>
          <w:spacing w:val="52"/>
          <w:sz w:val="31"/>
        </w:rPr>
        <w:t xml:space="preserve"> </w:t>
      </w:r>
      <w:r>
        <w:rPr>
          <w:sz w:val="31"/>
        </w:rPr>
        <w:t>11</w:t>
        <w:tab/>
        <w:t>章</w:t>
      </w:r>
      <w:r>
        <w:rPr>
          <w:spacing w:val="152"/>
          <w:sz w:val="31"/>
        </w:rPr>
        <w:t xml:space="preserve"> </w:t>
      </w:r>
      <w:r>
        <w:rPr>
          <w:sz w:val="31"/>
        </w:rPr>
        <w:t>消防、防洪组织措施及其它突发事件应急预案措施</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tabs>
          <w:tab w:val="left" w:leader="dot" w:pos="10889"/>
        </w:tabs>
        <w:spacing w:before="78"/>
        <w:ind w:left="1531" w:right="0" w:firstLine="0"/>
        <w:jc w:val="left"/>
        <w:rPr>
          <w:rFonts w:ascii="宋体" w:eastAsia="宋体" w:hint="eastAsia"/>
          <w:b/>
          <w:sz w:val="33"/>
        </w:rPr>
      </w:pPr>
      <w:r>
        <w:rPr>
          <w:sz w:val="33"/>
        </w:rPr>
        <w:t>、消防措施</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leader="dot" w:pos="10889"/>
        </w:tabs>
        <w:spacing w:before="265"/>
        <w:ind w:left="1531" w:right="0" w:firstLine="0"/>
        <w:jc w:val="left"/>
        <w:rPr>
          <w:rFonts w:ascii="宋体" w:eastAsia="宋体" w:hint="eastAsia"/>
          <w:b/>
          <w:sz w:val="33"/>
        </w:rPr>
      </w:pPr>
      <w:r>
        <w:rPr>
          <w:sz w:val="33"/>
        </w:rPr>
        <w:t>、防洪组织措施</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leader="dot" w:pos="10889"/>
        </w:tabs>
        <w:spacing w:before="268"/>
        <w:ind w:left="1531" w:right="0" w:firstLine="0"/>
        <w:jc w:val="left"/>
        <w:rPr>
          <w:rFonts w:ascii="宋体" w:eastAsia="宋体" w:hint="eastAsia"/>
          <w:b/>
          <w:sz w:val="33"/>
        </w:rPr>
      </w:pPr>
      <w:r>
        <w:rPr>
          <w:sz w:val="33"/>
        </w:rPr>
        <w:t>、突发事件应急预案措施</w:t>
        <w:tab/>
      </w:r>
      <w:r>
        <w:rPr>
          <w:rFonts w:ascii="宋体" w:eastAsia="宋体" w:hint="eastAsia"/>
          <w:b/>
          <w:w w:val="95"/>
          <w:sz w:val="33"/>
        </w:rPr>
        <w:t>错</w:t>
      </w:r>
      <w:r>
        <w:rPr>
          <w:rFonts w:ascii="宋体" w:eastAsia="宋体" w:hint="eastAsia"/>
          <w:b/>
          <w:spacing w:val="3"/>
          <w:w w:val="95"/>
          <w:sz w:val="33"/>
        </w:rPr>
        <w:t>误</w:t>
      </w:r>
      <w:r>
        <w:rPr>
          <w:rFonts w:ascii="Calibri" w:eastAsia="Calibri"/>
          <w:b/>
          <w:spacing w:val="-4"/>
          <w:w w:val="95"/>
          <w:sz w:val="33"/>
        </w:rPr>
        <w:t>!</w:t>
      </w:r>
      <w:r>
        <w:rPr>
          <w:rFonts w:ascii="宋体" w:eastAsia="宋体" w:hint="eastAsia"/>
          <w:b/>
          <w:w w:val="95"/>
          <w:sz w:val="33"/>
        </w:rPr>
        <w:t>未定义书签。</w:t>
      </w:r>
    </w:p>
    <w:p>
      <w:pPr>
        <w:tabs>
          <w:tab w:val="left" w:leader="dot" w:pos="11011"/>
        </w:tabs>
        <w:spacing w:before="258"/>
        <w:ind w:left="1200" w:right="0" w:firstLine="0"/>
        <w:jc w:val="left"/>
        <w:rPr>
          <w:rFonts w:ascii="宋体" w:eastAsia="宋体" w:hint="eastAsia"/>
          <w:b/>
          <w:sz w:val="31"/>
        </w:rPr>
      </w:pPr>
      <w:r>
        <w:rPr>
          <w:b/>
          <w:sz w:val="31"/>
        </w:rPr>
        <w:t>附表一：主要施工机械设备表</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tabs>
          <w:tab w:val="left" w:leader="dot" w:pos="11011"/>
        </w:tabs>
        <w:spacing w:before="71"/>
        <w:ind w:left="1200" w:right="0" w:firstLine="0"/>
        <w:jc w:val="left"/>
        <w:rPr>
          <w:rFonts w:ascii="宋体" w:eastAsia="宋体" w:hint="eastAsia"/>
          <w:b/>
          <w:sz w:val="31"/>
        </w:rPr>
      </w:pPr>
      <w:r>
        <w:rPr>
          <w:b/>
          <w:sz w:val="31"/>
        </w:rPr>
        <w:t>附表二：试验和检测仪器设备表</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tabs>
          <w:tab w:val="left" w:leader="dot" w:pos="11011"/>
        </w:tabs>
        <w:spacing w:before="71"/>
        <w:ind w:left="1200" w:right="0" w:firstLine="0"/>
        <w:jc w:val="left"/>
        <w:rPr>
          <w:rFonts w:ascii="宋体" w:eastAsia="宋体" w:hint="eastAsia"/>
          <w:b/>
          <w:sz w:val="31"/>
        </w:rPr>
      </w:pPr>
      <w:r>
        <w:rPr>
          <w:b/>
          <w:sz w:val="31"/>
        </w:rPr>
        <w:t>附图三：施工便道布置图</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tabs>
          <w:tab w:val="left" w:leader="dot" w:pos="11011"/>
        </w:tabs>
        <w:spacing w:before="70"/>
        <w:ind w:left="1200" w:right="0" w:firstLine="0"/>
        <w:jc w:val="left"/>
        <w:rPr>
          <w:rFonts w:ascii="宋体" w:eastAsia="宋体" w:hint="eastAsia"/>
          <w:b/>
          <w:sz w:val="31"/>
        </w:rPr>
      </w:pPr>
      <w:r>
        <w:rPr>
          <w:b/>
          <w:sz w:val="31"/>
        </w:rPr>
        <w:t>附图四：施工现场平面布置图</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tabs>
          <w:tab w:val="left" w:leader="dot" w:pos="11011"/>
        </w:tabs>
        <w:spacing w:before="71"/>
        <w:ind w:left="1200" w:right="0" w:firstLine="0"/>
        <w:jc w:val="left"/>
        <w:rPr>
          <w:rFonts w:ascii="宋体" w:eastAsia="宋体" w:hint="eastAsia"/>
          <w:b/>
          <w:sz w:val="31"/>
        </w:rPr>
      </w:pPr>
      <w:r>
        <w:rPr>
          <w:b/>
          <w:sz w:val="31"/>
        </w:rPr>
        <w:t>附表五：施工进度横道图</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tabs>
          <w:tab w:val="left" w:leader="dot" w:pos="11011"/>
        </w:tabs>
        <w:spacing w:before="72"/>
        <w:ind w:left="1200" w:right="0" w:firstLine="0"/>
        <w:jc w:val="left"/>
        <w:rPr>
          <w:rFonts w:ascii="宋体" w:eastAsia="宋体" w:hint="eastAsia"/>
          <w:b/>
          <w:sz w:val="31"/>
        </w:rPr>
      </w:pPr>
      <w:r>
        <w:rPr>
          <w:b/>
          <w:sz w:val="31"/>
        </w:rPr>
        <w:t>附表六：施工机械进退场计划</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tabs>
          <w:tab w:val="left" w:leader="dot" w:pos="11011"/>
        </w:tabs>
        <w:spacing w:before="70"/>
        <w:ind w:left="1200" w:right="0" w:firstLine="0"/>
        <w:jc w:val="left"/>
        <w:rPr>
          <w:rFonts w:ascii="宋体" w:eastAsia="宋体" w:hint="eastAsia"/>
          <w:b/>
          <w:sz w:val="31"/>
        </w:rPr>
      </w:pPr>
      <w:r>
        <w:rPr>
          <w:b/>
          <w:sz w:val="31"/>
        </w:rPr>
        <w:t>附表七：施工人员计划</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spacing w:after="0"/>
        <w:jc w:val="left"/>
        <w:rPr>
          <w:rFonts w:ascii="宋体" w:eastAsia="宋体" w:hint="eastAsia"/>
          <w:sz w:val="31"/>
        </w:rPr>
        <w:sectPr>
          <w:pgSz w:w="17860" w:h="25260"/>
          <w:pgMar w:top="1880" w:right="0" w:bottom="280" w:left="1500" w:header="708" w:footer="708"/>
          <w:pgNumType w:start="3"/>
          <w:cols w:space="708"/>
        </w:sectPr>
      </w:pPr>
    </w:p>
    <w:p>
      <w:pPr>
        <w:pStyle w:val="Heading1"/>
        <w:spacing w:line="833" w:lineRule="exact"/>
        <w:ind w:left="4945"/>
      </w:pPr>
      <w:r>
        <w:rPr>
          <w:spacing w:val="-83"/>
        </w:rPr>
        <w:t xml:space="preserve">第 </w:t>
      </w:r>
      <w:r>
        <w:t>1</w:t>
      </w:r>
      <w:r>
        <w:rPr>
          <w:spacing w:val="-25"/>
        </w:rPr>
        <w:t xml:space="preserve"> 章 编制说明</w:t>
      </w:r>
    </w:p>
    <w:p>
      <w:pPr>
        <w:pStyle w:val="BodyText"/>
        <w:rPr>
          <w:b/>
          <w:sz w:val="20"/>
        </w:rPr>
      </w:pPr>
    </w:p>
    <w:p>
      <w:pPr>
        <w:pStyle w:val="BodyText"/>
        <w:rPr>
          <w:b/>
          <w:sz w:val="20"/>
        </w:rPr>
      </w:pPr>
    </w:p>
    <w:p>
      <w:pPr>
        <w:pStyle w:val="BodyText"/>
        <w:rPr>
          <w:b/>
          <w:sz w:val="20"/>
        </w:rPr>
      </w:pPr>
    </w:p>
    <w:p>
      <w:pPr>
        <w:pStyle w:val="BodyText"/>
        <w:spacing w:before="9"/>
        <w:rPr>
          <w:b/>
          <w:sz w:val="14"/>
        </w:rPr>
      </w:pPr>
    </w:p>
    <w:p>
      <w:pPr>
        <w:pStyle w:val="Heading2"/>
        <w:spacing w:before="37"/>
      </w:pPr>
      <w:r>
        <w:t>、编制依据</w:t>
      </w:r>
    </w:p>
    <w:p>
      <w:pPr>
        <w:pStyle w:val="BodyText"/>
        <w:spacing w:before="3"/>
        <w:rPr>
          <w:b/>
          <w:sz w:val="60"/>
        </w:rPr>
      </w:pPr>
    </w:p>
    <w:p>
      <w:pPr>
        <w:pStyle w:val="BodyText"/>
        <w:ind w:left="1740"/>
      </w:pPr>
      <w:r>
        <w:t>、业主提供资料</w:t>
      </w:r>
    </w:p>
    <w:p>
      <w:pPr>
        <w:pStyle w:val="BodyText"/>
        <w:spacing w:before="241"/>
        <w:ind w:left="1740"/>
      </w:pPr>
      <w:r>
        <w:t>招标文件及 A 版图纸、图纸会审、勘测资料、清单等。</w:t>
      </w:r>
    </w:p>
    <w:p>
      <w:pPr>
        <w:pStyle w:val="BodyText"/>
        <w:spacing w:before="241"/>
        <w:ind w:left="1740"/>
      </w:pPr>
      <w:r>
        <w:t>、踏勘现场所得资料信息</w:t>
      </w:r>
    </w:p>
    <w:p>
      <w:pPr>
        <w:pStyle w:val="BodyText"/>
        <w:spacing w:before="241" w:line="364" w:lineRule="auto"/>
        <w:ind w:left="1200" w:right="2738" w:firstLine="539"/>
      </w:pPr>
      <w:r>
        <w:rPr>
          <w:spacing w:val="-1"/>
        </w:rPr>
        <w:t>我单位通过现场实地考察，获得的现场地质、水文情况、现场设施情况、现</w:t>
      </w:r>
      <w:r>
        <w:t>场条件和地形地貌等信息。</w:t>
      </w:r>
    </w:p>
    <w:p>
      <w:pPr>
        <w:pStyle w:val="BodyText"/>
        <w:spacing w:before="2"/>
        <w:ind w:left="1740"/>
      </w:pPr>
      <w:r>
        <w:t>、施工经验</w:t>
      </w:r>
    </w:p>
    <w:p>
      <w:pPr>
        <w:pStyle w:val="BodyText"/>
        <w:spacing w:before="241"/>
        <w:ind w:left="1740"/>
      </w:pPr>
      <w:r>
        <w:t>公司企业管理制度、技术管理、装备及类似工程施工经验。</w:t>
      </w:r>
    </w:p>
    <w:p>
      <w:pPr>
        <w:pStyle w:val="BodyText"/>
        <w:spacing w:before="240"/>
        <w:ind w:left="1740"/>
      </w:pPr>
      <w:r>
        <w:t>、技术标准</w:t>
      </w:r>
    </w:p>
    <w:p>
      <w:pPr>
        <w:pStyle w:val="BodyText"/>
        <w:spacing w:before="241"/>
        <w:ind w:left="1740"/>
      </w:pPr>
      <w:r>
        <w:t>国家及省、部、委或行业的现行工程建设和规范。</w:t>
      </w:r>
    </w:p>
    <w:p>
      <w:pPr>
        <w:pStyle w:val="ListParagraph"/>
        <w:numPr>
          <w:ilvl w:val="0"/>
          <w:numId w:val="26"/>
        </w:numPr>
        <w:tabs>
          <w:tab w:val="left" w:pos="2462"/>
        </w:tabs>
        <w:spacing w:before="241" w:after="0" w:line="240" w:lineRule="auto"/>
        <w:ind w:left="2461" w:right="0" w:hanging="902"/>
        <w:jc w:val="left"/>
        <w:rPr>
          <w:sz w:val="36"/>
        </w:rPr>
      </w:pPr>
      <w:r>
        <w:rPr>
          <w:spacing w:val="-15"/>
          <w:sz w:val="36"/>
        </w:rPr>
        <w:t>《建筑地基基础设计规范》</w:t>
      </w:r>
      <w:r>
        <w:rPr>
          <w:sz w:val="36"/>
        </w:rPr>
        <w:t>（GB50007-2014）</w:t>
      </w:r>
    </w:p>
    <w:p>
      <w:pPr>
        <w:pStyle w:val="ListParagraph"/>
        <w:numPr>
          <w:ilvl w:val="0"/>
          <w:numId w:val="26"/>
        </w:numPr>
        <w:tabs>
          <w:tab w:val="left" w:pos="2462"/>
        </w:tabs>
        <w:spacing w:before="241" w:after="0" w:line="240" w:lineRule="auto"/>
        <w:ind w:left="2461" w:right="0" w:hanging="902"/>
        <w:jc w:val="left"/>
        <w:rPr>
          <w:sz w:val="36"/>
        </w:rPr>
      </w:pPr>
      <w:r>
        <w:rPr>
          <w:spacing w:val="-15"/>
          <w:sz w:val="36"/>
        </w:rPr>
        <w:t>《建筑地基处理技术规范》</w:t>
      </w:r>
      <w:r>
        <w:rPr>
          <w:sz w:val="36"/>
        </w:rPr>
        <w:t>（JGJ79-2012）</w:t>
      </w:r>
    </w:p>
    <w:p>
      <w:pPr>
        <w:pStyle w:val="ListParagraph"/>
        <w:numPr>
          <w:ilvl w:val="0"/>
          <w:numId w:val="26"/>
        </w:numPr>
        <w:tabs>
          <w:tab w:val="left" w:pos="2462"/>
        </w:tabs>
        <w:spacing w:before="241" w:after="0" w:line="240" w:lineRule="auto"/>
        <w:ind w:left="2461" w:right="0" w:hanging="902"/>
        <w:jc w:val="left"/>
        <w:rPr>
          <w:sz w:val="36"/>
        </w:rPr>
      </w:pPr>
      <w:r>
        <w:rPr>
          <w:spacing w:val="-12"/>
          <w:sz w:val="36"/>
        </w:rPr>
        <w:t>《建筑地基基础施工质量验收规范》</w:t>
      </w:r>
      <w:r>
        <w:rPr>
          <w:sz w:val="36"/>
        </w:rPr>
        <w:t>（GB50202-2013）</w:t>
      </w:r>
    </w:p>
    <w:p>
      <w:pPr>
        <w:pStyle w:val="ListParagraph"/>
        <w:numPr>
          <w:ilvl w:val="0"/>
          <w:numId w:val="26"/>
        </w:numPr>
        <w:tabs>
          <w:tab w:val="left" w:pos="2462"/>
        </w:tabs>
        <w:spacing w:before="241" w:after="0" w:line="240" w:lineRule="auto"/>
        <w:ind w:left="2461" w:right="0" w:hanging="902"/>
        <w:jc w:val="left"/>
        <w:rPr>
          <w:sz w:val="36"/>
        </w:rPr>
      </w:pPr>
      <w:r>
        <w:rPr>
          <w:spacing w:val="-15"/>
          <w:sz w:val="36"/>
        </w:rPr>
        <w:t>《城市防洪工程设计规范》</w:t>
      </w:r>
      <w:r>
        <w:rPr>
          <w:sz w:val="36"/>
        </w:rPr>
        <w:t>（GB/T 50805-2012）</w:t>
      </w:r>
    </w:p>
    <w:p>
      <w:pPr>
        <w:pStyle w:val="BodyText"/>
        <w:spacing w:before="240"/>
        <w:ind w:left="1560"/>
      </w:pPr>
      <w:r>
        <w:t>（5</w:t>
      </w:r>
      <w:r>
        <w:rPr>
          <w:spacing w:val="-180"/>
        </w:rPr>
        <w:t>）</w:t>
      </w:r>
      <w:r>
        <w:rPr>
          <w:spacing w:val="-30"/>
        </w:rPr>
        <w:t>《防洪标准》</w:t>
      </w:r>
      <w:r>
        <w:rPr>
          <w:spacing w:val="1"/>
        </w:rPr>
        <w:t>（</w:t>
      </w:r>
      <w:r>
        <w:t>GB 50201-2014）</w:t>
      </w:r>
    </w:p>
    <w:p>
      <w:pPr>
        <w:pStyle w:val="ListParagraph"/>
        <w:numPr>
          <w:ilvl w:val="0"/>
          <w:numId w:val="25"/>
        </w:numPr>
        <w:tabs>
          <w:tab w:val="left" w:pos="2462"/>
        </w:tabs>
        <w:spacing w:before="241" w:after="0" w:line="240" w:lineRule="auto"/>
        <w:ind w:left="2461" w:right="0" w:hanging="902"/>
        <w:jc w:val="left"/>
        <w:rPr>
          <w:sz w:val="36"/>
        </w:rPr>
      </w:pPr>
      <w:r>
        <w:rPr>
          <w:spacing w:val="-11"/>
          <w:sz w:val="36"/>
        </w:rPr>
        <w:t>《水利水电工程等级划分及设计标准》</w:t>
      </w:r>
      <w:r>
        <w:rPr>
          <w:sz w:val="36"/>
        </w:rPr>
        <w:t>（SL252-2000）</w:t>
      </w:r>
    </w:p>
    <w:p>
      <w:pPr>
        <w:pStyle w:val="ListParagraph"/>
        <w:numPr>
          <w:ilvl w:val="0"/>
          <w:numId w:val="25"/>
        </w:numPr>
        <w:tabs>
          <w:tab w:val="left" w:pos="2462"/>
        </w:tabs>
        <w:spacing w:before="241" w:after="0" w:line="240" w:lineRule="auto"/>
        <w:ind w:left="2461" w:right="0" w:hanging="902"/>
        <w:jc w:val="left"/>
        <w:rPr>
          <w:sz w:val="36"/>
        </w:rPr>
      </w:pPr>
      <w:r>
        <w:rPr>
          <w:spacing w:val="-18"/>
          <w:sz w:val="36"/>
        </w:rPr>
        <w:t>《堤防工程设计规范》</w:t>
      </w:r>
      <w:r>
        <w:rPr>
          <w:sz w:val="36"/>
        </w:rPr>
        <w:t>（GB50286-2013）</w:t>
      </w:r>
    </w:p>
    <w:p>
      <w:pPr>
        <w:pStyle w:val="ListParagraph"/>
        <w:numPr>
          <w:ilvl w:val="0"/>
          <w:numId w:val="25"/>
        </w:numPr>
        <w:tabs>
          <w:tab w:val="left" w:pos="2462"/>
        </w:tabs>
        <w:spacing w:before="241" w:after="0" w:line="240" w:lineRule="auto"/>
        <w:ind w:left="2461" w:right="0" w:hanging="902"/>
        <w:jc w:val="left"/>
        <w:rPr>
          <w:sz w:val="36"/>
        </w:rPr>
      </w:pPr>
      <w:r>
        <w:rPr>
          <w:spacing w:val="-18"/>
          <w:sz w:val="36"/>
        </w:rPr>
        <w:t>《堤防工程施工规范》</w:t>
      </w:r>
      <w:r>
        <w:rPr>
          <w:sz w:val="36"/>
        </w:rPr>
        <w:t>（SL260-2014）</w:t>
      </w:r>
    </w:p>
    <w:p>
      <w:pPr>
        <w:pStyle w:val="ListParagraph"/>
        <w:numPr>
          <w:ilvl w:val="0"/>
          <w:numId w:val="25"/>
        </w:numPr>
        <w:tabs>
          <w:tab w:val="left" w:pos="2462"/>
        </w:tabs>
        <w:spacing w:before="240" w:after="0" w:line="240" w:lineRule="auto"/>
        <w:ind w:left="2461" w:right="0" w:hanging="902"/>
        <w:jc w:val="left"/>
        <w:rPr>
          <w:sz w:val="36"/>
        </w:rPr>
      </w:pPr>
      <w:r>
        <w:rPr>
          <w:spacing w:val="-14"/>
          <w:sz w:val="36"/>
        </w:rPr>
        <w:t>《水工混凝土结构设计规范》</w:t>
      </w:r>
      <w:r>
        <w:rPr>
          <w:sz w:val="36"/>
        </w:rPr>
        <w:t>（SL/T 191-2008）</w:t>
      </w:r>
    </w:p>
    <w:p>
      <w:pPr>
        <w:pStyle w:val="ListParagraph"/>
        <w:numPr>
          <w:ilvl w:val="0"/>
          <w:numId w:val="25"/>
        </w:numPr>
        <w:tabs>
          <w:tab w:val="left" w:pos="2642"/>
        </w:tabs>
        <w:spacing w:before="242" w:after="0" w:line="240" w:lineRule="auto"/>
        <w:ind w:left="2641" w:right="0" w:hanging="1082"/>
        <w:jc w:val="left"/>
        <w:rPr>
          <w:sz w:val="36"/>
        </w:rPr>
      </w:pPr>
      <w:r>
        <w:rPr>
          <w:spacing w:val="-14"/>
          <w:sz w:val="36"/>
        </w:rPr>
        <w:t>《水工混凝土结构施工规范》</w:t>
      </w:r>
      <w:r>
        <w:rPr>
          <w:sz w:val="36"/>
        </w:rPr>
        <w:t>（SL677-2014）</w:t>
      </w:r>
    </w:p>
    <w:p>
      <w:pPr>
        <w:pStyle w:val="ListParagraph"/>
        <w:numPr>
          <w:ilvl w:val="0"/>
          <w:numId w:val="25"/>
        </w:numPr>
        <w:tabs>
          <w:tab w:val="left" w:pos="2642"/>
        </w:tabs>
        <w:spacing w:before="241" w:after="0" w:line="240" w:lineRule="auto"/>
        <w:ind w:left="2641" w:right="0" w:hanging="1082"/>
        <w:jc w:val="left"/>
        <w:rPr>
          <w:sz w:val="36"/>
        </w:rPr>
      </w:pPr>
      <w:r>
        <w:rPr>
          <w:spacing w:val="-13"/>
          <w:sz w:val="36"/>
        </w:rPr>
        <w:t>《土工合成材料应用技术规范》</w:t>
      </w:r>
      <w:r>
        <w:rPr>
          <w:sz w:val="36"/>
        </w:rPr>
        <w:t>（GB50290-98）</w:t>
      </w:r>
    </w:p>
    <w:p>
      <w:pPr>
        <w:pStyle w:val="ListParagraph"/>
        <w:numPr>
          <w:ilvl w:val="0"/>
          <w:numId w:val="25"/>
        </w:numPr>
        <w:tabs>
          <w:tab w:val="left" w:pos="2642"/>
        </w:tabs>
        <w:spacing w:before="241" w:after="0" w:line="240" w:lineRule="auto"/>
        <w:ind w:left="2641" w:right="0" w:hanging="1082"/>
        <w:jc w:val="left"/>
        <w:rPr>
          <w:sz w:val="36"/>
        </w:rPr>
      </w:pPr>
      <w:r>
        <w:rPr>
          <w:sz w:val="36"/>
        </w:rPr>
        <w:t>《聚乙烯（PE）</w:t>
      </w:r>
      <w:r>
        <w:rPr>
          <w:spacing w:val="-15"/>
          <w:sz w:val="36"/>
        </w:rPr>
        <w:t>土工膜防渗工程技术规范》</w:t>
      </w:r>
      <w:r>
        <w:rPr>
          <w:sz w:val="36"/>
        </w:rPr>
        <w:t>（SL/T 231-98）</w:t>
      </w:r>
    </w:p>
    <w:p>
      <w:pPr>
        <w:pStyle w:val="ListParagraph"/>
        <w:numPr>
          <w:ilvl w:val="0"/>
          <w:numId w:val="25"/>
        </w:numPr>
        <w:tabs>
          <w:tab w:val="left" w:pos="2642"/>
        </w:tabs>
        <w:spacing w:before="240" w:after="0" w:line="240" w:lineRule="auto"/>
        <w:ind w:left="2641" w:right="0" w:hanging="1082"/>
        <w:jc w:val="left"/>
        <w:rPr>
          <w:sz w:val="36"/>
        </w:rPr>
      </w:pPr>
      <w:r>
        <w:rPr>
          <w:spacing w:val="-9"/>
          <w:sz w:val="36"/>
        </w:rPr>
        <w:t>《水利水电工程土工合成材料应用技术规范》</w:t>
      </w:r>
      <w:r>
        <w:rPr>
          <w:sz w:val="36"/>
        </w:rPr>
        <w:t>（SL/T 225-98）</w:t>
      </w:r>
    </w:p>
    <w:p>
      <w:pPr>
        <w:pStyle w:val="ListParagraph"/>
        <w:numPr>
          <w:ilvl w:val="0"/>
          <w:numId w:val="25"/>
        </w:numPr>
        <w:tabs>
          <w:tab w:val="left" w:pos="2642"/>
        </w:tabs>
        <w:spacing w:before="241" w:after="0" w:line="240" w:lineRule="auto"/>
        <w:ind w:left="2641" w:right="0" w:hanging="1082"/>
        <w:jc w:val="left"/>
        <w:rPr>
          <w:sz w:val="36"/>
        </w:rPr>
      </w:pPr>
      <w:r>
        <w:rPr>
          <w:spacing w:val="-15"/>
          <w:sz w:val="36"/>
        </w:rPr>
        <w:t>《土工合成材料测试规程》</w:t>
      </w:r>
      <w:r>
        <w:rPr>
          <w:sz w:val="36"/>
        </w:rPr>
        <w:t>（SL 235-2012）</w:t>
      </w:r>
    </w:p>
    <w:p>
      <w:pPr>
        <w:pStyle w:val="ListParagraph"/>
        <w:numPr>
          <w:ilvl w:val="0"/>
          <w:numId w:val="25"/>
        </w:numPr>
        <w:tabs>
          <w:tab w:val="left" w:pos="2642"/>
        </w:tabs>
        <w:spacing w:before="241" w:after="0" w:line="240" w:lineRule="auto"/>
        <w:ind w:left="2641" w:right="0" w:hanging="1082"/>
        <w:jc w:val="left"/>
        <w:rPr>
          <w:sz w:val="36"/>
        </w:rPr>
      </w:pPr>
      <w:r>
        <w:rPr>
          <w:spacing w:val="-12"/>
          <w:sz w:val="36"/>
        </w:rPr>
        <w:t>《垃圾填埋用高密度聚乙烯土工膜》</w:t>
      </w:r>
      <w:r>
        <w:rPr>
          <w:sz w:val="36"/>
        </w:rPr>
        <w:t>（GJ/T 234-2006）</w:t>
      </w:r>
    </w:p>
    <w:p>
      <w:pPr>
        <w:spacing w:after="0" w:line="240" w:lineRule="auto"/>
        <w:jc w:val="left"/>
        <w:rPr>
          <w:sz w:val="36"/>
        </w:rPr>
        <w:sectPr>
          <w:pgSz w:w="17860" w:h="25260"/>
          <w:pgMar w:top="2240" w:right="0" w:bottom="280" w:left="1500" w:header="708" w:footer="708"/>
          <w:pgNumType w:start="4"/>
          <w:cols w:space="708"/>
        </w:sectPr>
      </w:pPr>
    </w:p>
    <w:p>
      <w:pPr>
        <w:pStyle w:val="BodyText"/>
        <w:spacing w:before="35"/>
        <w:ind w:left="1740"/>
      </w:pPr>
      <w:r>
        <w:t>、工程所在地风俗</w:t>
      </w:r>
    </w:p>
    <w:p>
      <w:pPr>
        <w:pStyle w:val="BodyText"/>
        <w:spacing w:before="242"/>
        <w:ind w:left="1740"/>
      </w:pPr>
      <w:r>
        <w:t>尊重和保护工程施工所在地民众多年来形成的民俗风情和行为惯例。</w:t>
      </w:r>
    </w:p>
    <w:p>
      <w:pPr>
        <w:pStyle w:val="BodyText"/>
        <w:spacing w:before="11"/>
        <w:rPr>
          <w:sz w:val="47"/>
        </w:rPr>
      </w:pPr>
    </w:p>
    <w:p>
      <w:pPr>
        <w:pStyle w:val="Heading2"/>
      </w:pPr>
      <w:r>
        <w:t>、编制目的</w:t>
      </w:r>
    </w:p>
    <w:p>
      <w:pPr>
        <w:pStyle w:val="BodyText"/>
        <w:spacing w:before="12"/>
        <w:rPr>
          <w:b/>
          <w:sz w:val="59"/>
        </w:rPr>
      </w:pPr>
    </w:p>
    <w:p>
      <w:pPr>
        <w:pStyle w:val="BodyText"/>
        <w:spacing w:line="364" w:lineRule="auto"/>
        <w:ind w:left="1200" w:right="2697" w:firstLine="719"/>
        <w:jc w:val="both"/>
      </w:pPr>
      <w:r>
        <w:rPr>
          <w:spacing w:val="-12"/>
        </w:rPr>
        <w:t>根据本工程的特点、现场实际情况、施工条件等，按施工技术要求制定先进</w:t>
      </w:r>
      <w:r>
        <w:rPr>
          <w:spacing w:val="-10"/>
        </w:rPr>
        <w:t>的施工方法和工程质量目标、安全目标、环境保护目标，并保证质量惯例体系的</w:t>
      </w:r>
      <w:r>
        <w:t>有效运行，以求实现优质、安全、环保、高效、低耗，全面地完成施工任务。</w:t>
      </w:r>
    </w:p>
    <w:p>
      <w:pPr>
        <w:pStyle w:val="BodyText"/>
        <w:spacing w:before="4"/>
        <w:rPr>
          <w:sz w:val="29"/>
        </w:rPr>
      </w:pPr>
    </w:p>
    <w:p>
      <w:pPr>
        <w:pStyle w:val="Heading2"/>
        <w:spacing w:before="1"/>
      </w:pPr>
      <w:r>
        <w:t>、编制原则</w:t>
      </w:r>
    </w:p>
    <w:p>
      <w:pPr>
        <w:pStyle w:val="BodyText"/>
        <w:spacing w:before="8"/>
        <w:rPr>
          <w:b/>
          <w:sz w:val="59"/>
        </w:rPr>
      </w:pPr>
    </w:p>
    <w:p>
      <w:pPr>
        <w:pStyle w:val="BodyText"/>
        <w:ind w:left="1740"/>
      </w:pPr>
      <w:r>
        <w:t>、遵循招标文件要求的原则</w:t>
      </w:r>
    </w:p>
    <w:p>
      <w:pPr>
        <w:pStyle w:val="BodyText"/>
        <w:spacing w:before="241" w:line="364" w:lineRule="auto"/>
        <w:ind w:left="1200" w:right="2738" w:firstLine="539"/>
      </w:pPr>
      <w:r>
        <w:t>严格按照招标文件中对工程工期、质量、安全目标等要求编制本施工组织设计。</w:t>
      </w:r>
    </w:p>
    <w:p>
      <w:pPr>
        <w:pStyle w:val="BodyText"/>
        <w:spacing w:before="2"/>
        <w:ind w:left="1740"/>
      </w:pPr>
      <w:r>
        <w:t>、遵循设计文件的原则</w:t>
      </w:r>
    </w:p>
    <w:p>
      <w:pPr>
        <w:pStyle w:val="BodyText"/>
        <w:spacing w:before="240" w:line="364" w:lineRule="auto"/>
        <w:ind w:left="1200" w:right="2522" w:firstLine="539"/>
      </w:pPr>
      <w:r>
        <w:rPr>
          <w:spacing w:val="-11"/>
        </w:rPr>
        <w:t xml:space="preserve">在编制施工组织设计时，认真阅读核对获得的设计文件资料，了解设计意图， </w:t>
      </w:r>
      <w:r>
        <w:rPr>
          <w:spacing w:val="-12"/>
        </w:rPr>
        <w:t>掌握现场情况，严格按设计资料和设计原则编制施工组织设计，满足设计标准要求。</w:t>
      </w:r>
    </w:p>
    <w:p>
      <w:pPr>
        <w:pStyle w:val="BodyText"/>
        <w:spacing w:before="4"/>
        <w:ind w:left="1740"/>
      </w:pPr>
      <w:r>
        <w:t>、遵循施工设计规范和验收标准的原则</w:t>
      </w:r>
    </w:p>
    <w:p>
      <w:pPr>
        <w:pStyle w:val="BodyText"/>
        <w:spacing w:before="240" w:line="364" w:lineRule="auto"/>
        <w:ind w:left="1200" w:right="2738" w:firstLine="539"/>
      </w:pPr>
      <w:r>
        <w:t>在编制施工组织设计时，严格按施工技术规范要求优化施工技术规范，认真执行工程质量检验及验收标准。</w:t>
      </w:r>
    </w:p>
    <w:p>
      <w:pPr>
        <w:pStyle w:val="BodyText"/>
        <w:spacing w:before="2"/>
        <w:ind w:left="1740"/>
      </w:pPr>
      <w:r>
        <w:t>、体现“安全第一、预防为主”的原则</w:t>
      </w:r>
    </w:p>
    <w:p>
      <w:pPr>
        <w:pStyle w:val="BodyText"/>
        <w:spacing w:before="241" w:line="364" w:lineRule="auto"/>
        <w:ind w:left="1200" w:right="2556" w:firstLine="539"/>
      </w:pPr>
      <w:r>
        <w:t>严格按照施工安全操作规程，从制度、管理、方案、资源方面制定切实可行的措施，确保施工安全，服从建设单位指令，服从监理工程师的监督指导，严肃安全纪律，严格按规章程序办事，确保施工安全。</w:t>
      </w:r>
    </w:p>
    <w:p>
      <w:pPr>
        <w:pStyle w:val="BodyText"/>
        <w:spacing w:before="4"/>
        <w:ind w:left="1740"/>
      </w:pPr>
      <w:r>
        <w:t>、遵循科学技术是第一生产力的原则</w:t>
      </w:r>
    </w:p>
    <w:p>
      <w:pPr>
        <w:pStyle w:val="BodyText"/>
        <w:spacing w:before="240" w:line="364" w:lineRule="auto"/>
        <w:ind w:left="1200" w:right="2738" w:firstLine="539"/>
      </w:pPr>
      <w:r>
        <w:t>配备技术能力强，有丰富的同类工程施工经验的技术人员，同时在编制施工组织设计时，充分应用“四新”成果，发挥科技在施工生产中的先导作用。</w:t>
      </w:r>
    </w:p>
    <w:p>
      <w:pPr>
        <w:pStyle w:val="BodyText"/>
        <w:spacing w:before="2"/>
        <w:ind w:left="1740"/>
      </w:pPr>
      <w:r>
        <w:t>、遵循专业队伍施工和综合管理的原则</w:t>
      </w:r>
    </w:p>
    <w:p>
      <w:pPr>
        <w:pStyle w:val="BodyText"/>
        <w:spacing w:before="241" w:line="364" w:lineRule="auto"/>
        <w:ind w:left="1200" w:right="2738" w:firstLine="539"/>
      </w:pPr>
      <w:r>
        <w:t>以专业化队伍为基本形式，配备必要的施工机械设备，同时采取综合管理手段合理调配，以达到整体优化的目的。</w:t>
      </w:r>
    </w:p>
    <w:p>
      <w:pPr>
        <w:spacing w:after="0" w:line="364" w:lineRule="auto"/>
        <w:sectPr>
          <w:pgSz w:w="17860" w:h="25260"/>
          <w:pgMar w:top="1920" w:right="0" w:bottom="280" w:left="1500" w:header="708" w:footer="708"/>
          <w:pgNumType w:start="5"/>
          <w:cols w:space="708"/>
        </w:sectPr>
      </w:pPr>
    </w:p>
    <w:p>
      <w:pPr>
        <w:pStyle w:val="BodyText"/>
        <w:spacing w:before="35"/>
        <w:ind w:left="1740"/>
      </w:pPr>
      <w:r>
        <w:t>、遵循文明施工和环境保护的原则</w:t>
      </w:r>
    </w:p>
    <w:p>
      <w:pPr>
        <w:pStyle w:val="BodyText"/>
        <w:spacing w:before="242" w:line="364" w:lineRule="auto"/>
        <w:ind w:left="1200" w:right="2738" w:firstLine="539"/>
      </w:pPr>
      <w:r>
        <w:t>施工中严格执行《环境保护法》和本工程所在地的有关文明施工和环境保护的地方法规，创建市级“安全、文明标准化的工地”。</w:t>
      </w:r>
    </w:p>
    <w:p>
      <w:pPr>
        <w:pStyle w:val="BodyText"/>
        <w:spacing w:before="1"/>
        <w:ind w:left="1740"/>
      </w:pPr>
      <w:r>
        <w:t>、服从生态、环保要求的原则</w:t>
      </w:r>
    </w:p>
    <w:p>
      <w:pPr>
        <w:pStyle w:val="BodyText"/>
        <w:spacing w:before="241" w:line="364" w:lineRule="auto"/>
        <w:ind w:left="1200" w:right="2697" w:firstLine="539"/>
        <w:jc w:val="both"/>
      </w:pPr>
      <w:r>
        <w:t>现场布置做到布局合理，节约用地，减少干扰，避免污染环境；充分考虑当</w:t>
      </w:r>
      <w:r>
        <w:rPr>
          <w:spacing w:val="-11"/>
        </w:rPr>
        <w:t>地人民群众的长远利益，积极利用既有条件，合理安排临时工程设施，减少固体</w:t>
      </w:r>
      <w:r>
        <w:t>废弃物产生，满足环保要求。</w:t>
      </w:r>
    </w:p>
    <w:p>
      <w:pPr>
        <w:spacing w:after="0" w:line="364" w:lineRule="auto"/>
        <w:jc w:val="both"/>
        <w:sectPr>
          <w:pgSz w:w="17860" w:h="25260"/>
          <w:pgMar w:top="1920" w:right="0" w:bottom="280" w:left="1500" w:header="708" w:footer="708"/>
          <w:pgNumType w:start="6"/>
          <w:cols w:space="708"/>
        </w:sectPr>
      </w:pPr>
    </w:p>
    <w:p>
      <w:pPr>
        <w:pStyle w:val="Heading1"/>
        <w:ind w:left="4945"/>
      </w:pPr>
      <w:r>
        <w:rPr>
          <w:spacing w:val="-83"/>
        </w:rPr>
        <w:t xml:space="preserve">第 </w:t>
      </w:r>
      <w:r>
        <w:t>2</w:t>
      </w:r>
      <w:r>
        <w:rPr>
          <w:spacing w:val="-25"/>
        </w:rPr>
        <w:t xml:space="preserve"> 章 工程概况</w:t>
      </w:r>
    </w:p>
    <w:p>
      <w:pPr>
        <w:pStyle w:val="BodyText"/>
        <w:rPr>
          <w:b/>
          <w:sz w:val="20"/>
        </w:rPr>
      </w:pPr>
    </w:p>
    <w:p>
      <w:pPr>
        <w:pStyle w:val="BodyText"/>
        <w:rPr>
          <w:b/>
          <w:sz w:val="20"/>
        </w:rPr>
      </w:pPr>
    </w:p>
    <w:p>
      <w:pPr>
        <w:pStyle w:val="BodyText"/>
        <w:rPr>
          <w:b/>
          <w:sz w:val="20"/>
        </w:rPr>
      </w:pPr>
    </w:p>
    <w:p>
      <w:pPr>
        <w:pStyle w:val="BodyText"/>
        <w:rPr>
          <w:b/>
          <w:sz w:val="15"/>
        </w:rPr>
      </w:pPr>
    </w:p>
    <w:p>
      <w:pPr>
        <w:pStyle w:val="Heading2"/>
        <w:spacing w:before="37"/>
      </w:pPr>
      <w:r>
        <w:t>、项目简介</w:t>
      </w:r>
    </w:p>
    <w:p>
      <w:pPr>
        <w:pStyle w:val="BodyText"/>
        <w:spacing w:before="12"/>
        <w:rPr>
          <w:b/>
          <w:sz w:val="59"/>
        </w:rPr>
      </w:pPr>
    </w:p>
    <w:p>
      <w:pPr>
        <w:pStyle w:val="BodyText"/>
        <w:ind w:left="1200"/>
      </w:pPr>
      <w:r>
        <w:t>、工程名称</w:t>
      </w:r>
    </w:p>
    <w:p>
      <w:pPr>
        <w:pStyle w:val="BodyText"/>
        <w:spacing w:before="241"/>
        <w:ind w:left="1200"/>
      </w:pPr>
      <w:r>
        <w:t>市政工程·人工湖。</w:t>
      </w:r>
    </w:p>
    <w:p>
      <w:pPr>
        <w:pStyle w:val="BodyText"/>
        <w:spacing w:before="241" w:line="364" w:lineRule="auto"/>
        <w:ind w:left="1200" w:right="13356"/>
      </w:pPr>
      <w:r>
        <w:rPr>
          <w:spacing w:val="-4"/>
        </w:rPr>
        <w:t>、建设地点城北片区。</w:t>
      </w:r>
    </w:p>
    <w:p>
      <w:pPr>
        <w:pStyle w:val="BodyText"/>
        <w:spacing w:before="2"/>
        <w:ind w:left="1200"/>
      </w:pPr>
      <w:r>
        <w:t>、质量要求</w:t>
      </w:r>
    </w:p>
    <w:p>
      <w:pPr>
        <w:pStyle w:val="BodyText"/>
        <w:spacing w:before="241"/>
        <w:ind w:left="1200"/>
      </w:pPr>
      <w:r>
        <w:t>达到国家现行质量验收规范合格标准。</w:t>
      </w:r>
    </w:p>
    <w:p>
      <w:pPr>
        <w:pStyle w:val="BodyText"/>
        <w:spacing w:before="241"/>
        <w:ind w:left="1200"/>
      </w:pPr>
      <w:r>
        <w:t>、合同工期</w:t>
      </w:r>
    </w:p>
    <w:p>
      <w:pPr>
        <w:pStyle w:val="BodyText"/>
        <w:spacing w:before="240"/>
        <w:ind w:left="1200"/>
      </w:pPr>
      <w:r>
        <w:t>具体以合同为准</w:t>
      </w:r>
    </w:p>
    <w:p>
      <w:pPr>
        <w:pStyle w:val="BodyText"/>
        <w:spacing w:before="241"/>
        <w:ind w:left="1200"/>
      </w:pPr>
      <w:r>
        <w:t>、项目概况</w:t>
      </w:r>
    </w:p>
    <w:p>
      <w:pPr>
        <w:pStyle w:val="BodyText"/>
        <w:spacing w:before="241"/>
        <w:ind w:left="1200"/>
      </w:pPr>
      <w:r>
        <w:t>本工程分为基础处理工程和湖岸景观工程</w:t>
      </w:r>
    </w:p>
    <w:p>
      <w:pPr>
        <w:pStyle w:val="BodyText"/>
        <w:spacing w:before="241" w:line="364" w:lineRule="auto"/>
        <w:ind w:left="1200" w:right="2691" w:firstLine="856"/>
        <w:jc w:val="both"/>
      </w:pPr>
      <w:r>
        <w:rPr>
          <w:spacing w:val="3"/>
        </w:rPr>
        <w:t>1</w:t>
      </w:r>
      <w:r>
        <w:rPr>
          <w:spacing w:val="2"/>
        </w:rPr>
        <w:t xml:space="preserve">、根据人工湖基础设计方案，本次人工湖基础处理区域总面积约万 </w:t>
      </w:r>
      <w:r>
        <w:t>m2</w:t>
      </w:r>
      <w:r>
        <w:rPr>
          <w:spacing w:val="-16"/>
        </w:rPr>
        <w:t>。</w:t>
      </w:r>
      <w:r>
        <w:rPr>
          <w:spacing w:val="-8"/>
        </w:rPr>
        <w:t>根据人工湖设计标高及场地现状，人工湖基础大部分为填方区，最大填方深度达</w:t>
      </w:r>
      <w:r>
        <w:rPr>
          <w:spacing w:val="-14"/>
        </w:rPr>
        <w:t>米。由于工程填方区域及填方深度较大，且主要采用周边开挖的泥岩作为填土材料，为保证施工质量，人工湖基础填方区域采用强夯法。</w:t>
      </w:r>
    </w:p>
    <w:p>
      <w:pPr>
        <w:pStyle w:val="BodyText"/>
        <w:spacing w:before="4" w:line="364" w:lineRule="auto"/>
        <w:ind w:left="1200" w:right="2681" w:firstLine="856"/>
        <w:jc w:val="both"/>
      </w:pPr>
      <w:r>
        <w:t>2</w:t>
      </w:r>
      <w:r>
        <w:rPr>
          <w:spacing w:val="-4"/>
        </w:rPr>
        <w:t xml:space="preserve">、根据人工湖景观设计方案，拟建人工湖湖岸岸线总长约 </w:t>
      </w:r>
      <w:r>
        <w:t>1450m，水域总</w:t>
      </w:r>
      <w:r>
        <w:rPr>
          <w:spacing w:val="4"/>
        </w:rPr>
        <w:t>面积为万㎡，湖体正常蓄水量约为万</w:t>
      </w:r>
      <w:r>
        <w:t>m</w:t>
      </w:r>
      <w:r>
        <w:rPr>
          <w:spacing w:val="18"/>
        </w:rPr>
        <w:t xml:space="preserve"> ，属于</w:t>
      </w:r>
      <w:r>
        <w:t>V</w:t>
      </w:r>
      <w:r>
        <w:rPr>
          <w:spacing w:val="-11"/>
        </w:rPr>
        <w:t xml:space="preserve"> 等小型水利工程，其主要建筑</w:t>
      </w:r>
      <w:r>
        <w:rPr>
          <w:spacing w:val="-19"/>
        </w:rPr>
        <w:t xml:space="preserve">物级别为 </w:t>
      </w:r>
      <w:r>
        <w:t>5</w:t>
      </w:r>
      <w:r>
        <w:rPr>
          <w:spacing w:val="-17"/>
        </w:rPr>
        <w:t xml:space="preserve"> 级，由于拟建人工湖位于城区，周边房屋建筑较多，考虑到工程的重</w:t>
      </w:r>
      <w:r>
        <w:rPr>
          <w:spacing w:val="-15"/>
        </w:rPr>
        <w:t xml:space="preserve">要性，工程主要建筑物级别提高为 </w:t>
      </w:r>
      <w:r>
        <w:t>4</w:t>
      </w:r>
      <w:r>
        <w:rPr>
          <w:spacing w:val="-15"/>
        </w:rPr>
        <w:t xml:space="preserve"> 级。根据人工湖总体布置，滨湖路将人工湖</w:t>
      </w:r>
      <w:r>
        <w:rPr>
          <w:spacing w:val="-22"/>
        </w:rPr>
        <w:t xml:space="preserve">分为东区和西区。东区共布置有 </w:t>
      </w:r>
      <w:r>
        <w:t>6</w:t>
      </w:r>
      <w:r>
        <w:rPr>
          <w:spacing w:val="-26"/>
        </w:rPr>
        <w:t xml:space="preserve"> 级跌水池，岸线总长约 </w:t>
      </w:r>
      <w:r>
        <w:rPr>
          <w:spacing w:val="-22"/>
        </w:rPr>
        <w:t>560m</w:t>
      </w:r>
      <w:r>
        <w:rPr>
          <w:spacing w:val="-17"/>
        </w:rPr>
        <w:t xml:space="preserve">，水域面积约 </w:t>
      </w:r>
      <w:r>
        <w:t>2060</w:t>
      </w:r>
    </w:p>
    <w:p>
      <w:pPr>
        <w:pStyle w:val="BodyText"/>
        <w:spacing w:before="5" w:line="364" w:lineRule="auto"/>
        <w:ind w:left="1200" w:right="2696"/>
        <w:jc w:val="both"/>
      </w:pPr>
      <w:r>
        <w:t>㎡，每级跌水池内水深，跌水高差；西区包括跌水区和主湖区，西区岸线长约</w:t>
      </w:r>
      <w:r>
        <w:rPr>
          <w:spacing w:val="-10"/>
        </w:rPr>
        <w:t>890m</w:t>
      </w:r>
      <w:r>
        <w:rPr>
          <w:spacing w:val="-16"/>
        </w:rPr>
        <w:t xml:space="preserve">，水域面积约 </w:t>
      </w:r>
      <w:r>
        <w:t>21160</w:t>
      </w:r>
      <w:r>
        <w:rPr>
          <w:spacing w:val="-15"/>
        </w:rPr>
        <w:t xml:space="preserve"> ㎡，包括浅跌水区和主湖区，其中西区跌水区共布置有</w:t>
      </w:r>
    </w:p>
    <w:p>
      <w:pPr>
        <w:pStyle w:val="BodyText"/>
        <w:spacing w:before="2" w:line="364" w:lineRule="auto"/>
        <w:ind w:left="1200" w:right="2658"/>
      </w:pPr>
      <w:r>
        <w:t>6</w:t>
      </w:r>
      <w:r>
        <w:rPr>
          <w:spacing w:val="-17"/>
        </w:rPr>
        <w:t xml:space="preserve"> 个跌水池，水域面积约为 </w:t>
      </w:r>
      <w:r>
        <w:t>670</w:t>
      </w:r>
      <w:r>
        <w:rPr>
          <w:spacing w:val="-11"/>
        </w:rPr>
        <w:t xml:space="preserve"> ㎡，每级跌水池内水深，跌水高差；西区主湖区</w:t>
      </w:r>
      <w:r>
        <w:rPr>
          <w:spacing w:val="-16"/>
        </w:rPr>
        <w:t xml:space="preserve">水域面积约 </w:t>
      </w:r>
      <w:r>
        <w:t>18780</w:t>
      </w:r>
      <w:r>
        <w:rPr>
          <w:spacing w:val="-10"/>
        </w:rPr>
        <w:t xml:space="preserve"> ㎡，湖岸为斜坡，湖区水深。</w:t>
      </w:r>
    </w:p>
    <w:p>
      <w:pPr>
        <w:spacing w:after="0" w:line="364" w:lineRule="auto"/>
        <w:sectPr>
          <w:pgSz w:w="17860" w:h="25260"/>
          <w:pgMar w:top="1740" w:right="0" w:bottom="280" w:left="1500" w:header="708" w:footer="708"/>
          <w:pgNumType w:start="7"/>
          <w:cols w:space="708"/>
        </w:sectPr>
      </w:pPr>
    </w:p>
    <w:p>
      <w:pPr>
        <w:pStyle w:val="Heading2"/>
        <w:spacing w:before="20"/>
      </w:pPr>
      <w:r>
        <w:t>、自然地理概况</w:t>
      </w:r>
    </w:p>
    <w:p>
      <w:pPr>
        <w:pStyle w:val="BodyText"/>
        <w:spacing w:before="8"/>
        <w:rPr>
          <w:b/>
          <w:sz w:val="59"/>
        </w:rPr>
      </w:pPr>
    </w:p>
    <w:p>
      <w:pPr>
        <w:pStyle w:val="BodyText"/>
        <w:ind w:left="1200"/>
      </w:pPr>
      <w:r>
        <w:t>、地形地貌</w:t>
      </w:r>
    </w:p>
    <w:p>
      <w:pPr>
        <w:pStyle w:val="BodyText"/>
        <w:spacing w:before="241" w:line="364" w:lineRule="auto"/>
        <w:ind w:left="1200" w:right="2556" w:firstLine="719"/>
      </w:pPr>
      <w:r>
        <w:t>场地在地貌上属浅丘地貌，现因四周新建修辑，形成开挖回填，地形较为复杂，多呈陡坎、台阶状分布，总体地势东北高，南西低，地形高差相差较大，约31m。</w:t>
      </w:r>
    </w:p>
    <w:p>
      <w:pPr>
        <w:pStyle w:val="BodyText"/>
        <w:spacing w:before="3"/>
        <w:ind w:left="1920"/>
      </w:pPr>
      <w:r>
        <w:t>、气象特征</w:t>
      </w:r>
    </w:p>
    <w:p>
      <w:pPr>
        <w:pStyle w:val="BodyText"/>
        <w:spacing w:before="240" w:line="364" w:lineRule="auto"/>
        <w:ind w:left="1200" w:right="2696" w:firstLine="719"/>
        <w:jc w:val="both"/>
      </w:pPr>
      <w:r>
        <w:rPr>
          <w:spacing w:val="-9"/>
        </w:rPr>
        <w:t>工程区域属亚热带湿润季风气候区，气候温和，雨量充沛。据气象资料多年</w:t>
      </w:r>
      <w:r>
        <w:rPr>
          <w:spacing w:val="-19"/>
        </w:rPr>
        <w:t xml:space="preserve">平均气温 </w:t>
      </w:r>
      <w:r>
        <w:rPr>
          <w:spacing w:val="-12"/>
        </w:rPr>
        <w:t xml:space="preserve">17℃；多年平均降水量为 </w:t>
      </w:r>
      <w:r>
        <w:rPr>
          <w:spacing w:val="-7"/>
        </w:rPr>
        <w:t>1080mm</w:t>
      </w:r>
      <w:r>
        <w:rPr>
          <w:spacing w:val="-12"/>
        </w:rPr>
        <w:t xml:space="preserve">，降水时间多集中于 </w:t>
      </w:r>
      <w:r>
        <w:t>7～9</w:t>
      </w:r>
      <w:r>
        <w:rPr>
          <w:spacing w:val="-26"/>
        </w:rPr>
        <w:t xml:space="preserve"> 三月，占全</w:t>
      </w:r>
      <w:r>
        <w:rPr>
          <w:spacing w:val="-5"/>
        </w:rPr>
        <w:t xml:space="preserve">年的%；风向以北东向为主，年平均风速 </w:t>
      </w:r>
      <w:r>
        <w:t>s；</w:t>
      </w:r>
      <w:r>
        <w:rPr>
          <w:spacing w:val="-12"/>
        </w:rPr>
        <w:t xml:space="preserve">年平均相对湿度 </w:t>
      </w:r>
      <w:r>
        <w:t>76%。</w:t>
      </w:r>
    </w:p>
    <w:p>
      <w:pPr>
        <w:pStyle w:val="BodyText"/>
        <w:spacing w:before="4"/>
        <w:ind w:left="1920"/>
      </w:pPr>
      <w:r>
        <w:t>、岩土结构及特征</w:t>
      </w:r>
    </w:p>
    <w:p>
      <w:pPr>
        <w:pStyle w:val="BodyText"/>
        <w:spacing w:before="241" w:line="364" w:lineRule="auto"/>
        <w:ind w:left="1200" w:right="2697" w:firstLine="719"/>
        <w:jc w:val="both"/>
      </w:pPr>
      <w:r>
        <w:rPr>
          <w:spacing w:val="-12"/>
        </w:rPr>
        <w:t>在勘孔揭示深度内，场地地层由第四系全新统人工填筑素填土、残坡积层粉</w:t>
      </w:r>
      <w:r>
        <w:rPr>
          <w:spacing w:val="-8"/>
        </w:rPr>
        <w:t>质粘土及侏罗系中统沙溪庙组泥质粉砂岩组成。现将场地岩土分布及结构特征分</w:t>
      </w:r>
      <w:r>
        <w:t>述如下：</w:t>
      </w:r>
    </w:p>
    <w:p>
      <w:pPr>
        <w:pStyle w:val="BodyText"/>
        <w:spacing w:before="2"/>
        <w:ind w:left="2100"/>
      </w:pPr>
      <w:r>
        <w:t>1、人工填土①</w:t>
      </w:r>
      <w:r>
        <w:rPr>
          <w:spacing w:val="1"/>
        </w:rPr>
        <w:t>（</w:t>
      </w:r>
      <w:r>
        <w:t>Q4ml</w:t>
      </w:r>
      <w:r>
        <w:rPr>
          <w:spacing w:val="-180"/>
        </w:rPr>
        <w:t>）</w:t>
      </w:r>
      <w:r>
        <w:t>：近期因拟建建（构）筑物四周新建修辑回填。</w:t>
      </w:r>
    </w:p>
    <w:p>
      <w:pPr>
        <w:pStyle w:val="BodyText"/>
        <w:spacing w:before="241" w:line="364" w:lineRule="auto"/>
        <w:ind w:left="1200" w:right="2721" w:firstLine="899"/>
      </w:pPr>
      <w:r>
        <w:t>2、杂填土①1（Q4ml</w:t>
      </w:r>
      <w:r>
        <w:rPr>
          <w:b/>
        </w:rPr>
        <w:t>）</w:t>
      </w:r>
      <w:r>
        <w:t>：场内部分地段有分布；杂色，以粉质粘土为主， 土中含有砖瓦块、卵石等建筑垃圾，松散状；层厚—。</w:t>
      </w:r>
    </w:p>
    <w:p>
      <w:pPr>
        <w:pStyle w:val="BodyText"/>
        <w:spacing w:before="2" w:line="364" w:lineRule="auto"/>
        <w:ind w:left="1200" w:right="2516" w:firstLine="899"/>
      </w:pPr>
      <w:r>
        <w:t>3</w:t>
      </w:r>
      <w:r>
        <w:rPr>
          <w:spacing w:val="-14"/>
        </w:rPr>
        <w:t>、素填土①</w:t>
      </w:r>
      <w:r>
        <w:rPr>
          <w:spacing w:val="-65"/>
        </w:rPr>
        <w:t>2</w:t>
      </w:r>
      <w:r>
        <w:t>（Q4ml</w:t>
      </w:r>
      <w:r>
        <w:rPr>
          <w:spacing w:val="-180"/>
        </w:rPr>
        <w:t>）</w:t>
      </w:r>
      <w:r>
        <w:rPr>
          <w:spacing w:val="-15"/>
        </w:rPr>
        <w:t>：场内大部分地段分布；紫红色，以泥质粉砂岩为主，</w:t>
      </w:r>
      <w:r>
        <w:t>松散状；层厚—，属于欠固结土。</w:t>
      </w:r>
    </w:p>
    <w:p>
      <w:pPr>
        <w:pStyle w:val="BodyText"/>
        <w:spacing w:before="2" w:line="364" w:lineRule="auto"/>
        <w:ind w:left="1200" w:right="2604" w:firstLine="899"/>
      </w:pPr>
      <w:r>
        <w:t>4、粉质粘土②</w:t>
      </w:r>
      <w:r>
        <w:rPr>
          <w:spacing w:val="-50"/>
        </w:rPr>
        <w:t>（</w:t>
      </w:r>
      <w:r>
        <w:t>Q4ed</w:t>
      </w:r>
      <w:r>
        <w:rPr>
          <w:spacing w:val="3"/>
        </w:rPr>
        <w:t>l</w:t>
      </w:r>
      <w:r>
        <w:rPr>
          <w:spacing w:val="-180"/>
        </w:rPr>
        <w:t>）</w:t>
      </w:r>
      <w:r>
        <w:rPr>
          <w:spacing w:val="-1"/>
        </w:rPr>
        <w:t>：场内均有分布；褐黄色，硬塑状；土中含少量粉</w:t>
      </w:r>
      <w:r>
        <w:t>细砂及卵石；土体干强度、韧性中等，稍有光滑，无摇振反应，层厚—。</w:t>
      </w:r>
    </w:p>
    <w:p>
      <w:pPr>
        <w:pStyle w:val="BodyText"/>
        <w:spacing w:before="2" w:line="364" w:lineRule="auto"/>
        <w:ind w:left="1200" w:right="2520" w:firstLine="899"/>
      </w:pPr>
      <w:r>
        <w:t>5</w:t>
      </w:r>
      <w:r>
        <w:rPr>
          <w:spacing w:val="-17"/>
        </w:rPr>
        <w:t>、泥质粉砂岩③</w:t>
      </w:r>
      <w:r>
        <w:t>（J2s</w:t>
      </w:r>
      <w:r>
        <w:rPr>
          <w:spacing w:val="-180"/>
        </w:rPr>
        <w:t>）</w:t>
      </w:r>
      <w:r>
        <w:rPr>
          <w:spacing w:val="-18"/>
        </w:rPr>
        <w:t>：紫红色，粉砂质、泥质结构，薄</w:t>
      </w:r>
      <w:r>
        <w:t>～</w:t>
      </w:r>
      <w:r>
        <w:rPr>
          <w:spacing w:val="-3"/>
        </w:rPr>
        <w:t>中厚层状构造，</w:t>
      </w:r>
      <w:r>
        <w:rPr>
          <w:spacing w:val="1"/>
        </w:rPr>
        <w:t xml:space="preserve">强风化带以下层理清晰，产状 </w:t>
      </w:r>
      <w:r>
        <w:t>185°∠6°。根据风化程度，将基岩划分为强风化层③1、中等风化层③2</w:t>
      </w:r>
      <w:r>
        <w:rPr>
          <w:spacing w:val="-10"/>
        </w:rPr>
        <w:t xml:space="preserve"> 两个亚层。现分述于后：</w:t>
      </w:r>
    </w:p>
    <w:p>
      <w:pPr>
        <w:pStyle w:val="ListParagraph"/>
        <w:numPr>
          <w:ilvl w:val="0"/>
          <w:numId w:val="3"/>
        </w:numPr>
        <w:tabs>
          <w:tab w:val="left" w:pos="3002"/>
        </w:tabs>
        <w:spacing w:before="4" w:after="0" w:line="364" w:lineRule="auto"/>
        <w:ind w:left="1200" w:right="2558" w:firstLine="899"/>
        <w:jc w:val="left"/>
        <w:rPr>
          <w:sz w:val="36"/>
        </w:rPr>
      </w:pPr>
      <w:r>
        <w:rPr>
          <w:sz w:val="36"/>
        </w:rPr>
        <w:t>、强风化层③1：岩石组织结构大部分破坏，风化裂隙发育，岩芯以</w:t>
      </w:r>
      <w:r>
        <w:rPr>
          <w:spacing w:val="-5"/>
          <w:sz w:val="36"/>
        </w:rPr>
        <w:t>短小碎块状为主，强度低，硬度小。层顶埋深—，标高—，层厚—。</w:t>
      </w:r>
    </w:p>
    <w:p>
      <w:pPr>
        <w:pStyle w:val="ListParagraph"/>
        <w:numPr>
          <w:ilvl w:val="0"/>
          <w:numId w:val="3"/>
        </w:numPr>
        <w:tabs>
          <w:tab w:val="left" w:pos="3002"/>
        </w:tabs>
        <w:spacing w:before="2" w:after="0" w:line="364" w:lineRule="auto"/>
        <w:ind w:left="1200" w:right="2518" w:firstLine="899"/>
        <w:jc w:val="both"/>
        <w:rPr>
          <w:sz w:val="36"/>
        </w:rPr>
      </w:pPr>
      <w:r>
        <w:rPr>
          <w:sz w:val="36"/>
        </w:rPr>
        <w:t>、中等风化层③2：岩石组织结构部分破坏，风化裂隙较发育，岩芯呈短柱～</w:t>
      </w:r>
      <w:r>
        <w:rPr>
          <w:spacing w:val="-20"/>
          <w:sz w:val="36"/>
        </w:rPr>
        <w:t>柱状，强度较高，硬度较大，且由上至下逐渐增强。层顶埋深—，标高</w:t>
      </w:r>
      <w:r>
        <w:rPr>
          <w:spacing w:val="-4"/>
          <w:sz w:val="36"/>
        </w:rPr>
        <w:t>—，揭露层厚—。</w:t>
      </w:r>
    </w:p>
    <w:p>
      <w:pPr>
        <w:pStyle w:val="BodyText"/>
        <w:spacing w:before="2"/>
        <w:ind w:left="1920"/>
      </w:pPr>
      <w:r>
        <w:t>、场地稳定性及地震</w:t>
      </w:r>
    </w:p>
    <w:p>
      <w:pPr>
        <w:spacing w:after="0"/>
        <w:sectPr>
          <w:pgSz w:w="17860" w:h="25260"/>
          <w:pgMar w:top="1920" w:right="0" w:bottom="280" w:left="1500" w:header="708" w:footer="708"/>
          <w:pgNumType w:start="8"/>
          <w:cols w:space="708"/>
        </w:sectPr>
      </w:pPr>
    </w:p>
    <w:p>
      <w:pPr>
        <w:pStyle w:val="BodyText"/>
        <w:spacing w:before="35"/>
        <w:ind w:left="1920"/>
      </w:pPr>
      <w:r>
        <w:t>对区域地壳稳定性起主导作用的是新构造运动，区域稳定性较好。</w:t>
      </w:r>
    </w:p>
    <w:p>
      <w:pPr>
        <w:pStyle w:val="BodyText"/>
        <w:spacing w:before="242" w:line="364" w:lineRule="auto"/>
        <w:ind w:left="1200" w:right="2697" w:firstLine="719"/>
      </w:pPr>
      <w:r>
        <w:rPr>
          <w:spacing w:val="-16"/>
        </w:rPr>
        <w:t>据《建筑抗震设计规范》</w:t>
      </w:r>
      <w:r>
        <w:rPr>
          <w:spacing w:val="2"/>
        </w:rPr>
        <w:t>（</w:t>
      </w:r>
      <w:r>
        <w:t>GB50011--201</w:t>
      </w:r>
      <w:r>
        <w:rPr>
          <w:spacing w:val="4"/>
        </w:rPr>
        <w:t>0</w:t>
      </w:r>
      <w:r>
        <w:rPr>
          <w:spacing w:val="-180"/>
        </w:rPr>
        <w:t>）</w:t>
      </w:r>
      <w:r>
        <w:rPr>
          <w:spacing w:val="1"/>
        </w:rPr>
        <w:t xml:space="preserve">，本地区工程抗震设防烈度为 </w:t>
      </w:r>
      <w:r>
        <w:rPr>
          <w:spacing w:val="-14"/>
        </w:rPr>
        <w:t>7</w:t>
      </w:r>
      <w:r>
        <w:rPr>
          <w:spacing w:val="-14"/>
        </w:rPr>
        <w:t>度，设计地震分组为第二组，设计基本地震加速度值为。场地土层等效剪切波速</w:t>
      </w:r>
    </w:p>
    <w:p>
      <w:pPr>
        <w:pStyle w:val="BodyText"/>
        <w:spacing w:before="1" w:line="364" w:lineRule="auto"/>
        <w:ind w:left="1200" w:right="2736"/>
      </w:pPr>
      <w:r>
        <w:t>150 m/s≤Vse≤250 m/s，场地覆盖层厚度一般为—。按第和条，场地类别为Ⅱ 类，特征周期值为；据第条，建筑场地属建筑抗震一般地段。</w:t>
      </w:r>
    </w:p>
    <w:p>
      <w:pPr>
        <w:pStyle w:val="BodyText"/>
        <w:spacing w:before="2"/>
        <w:ind w:left="1920"/>
      </w:pPr>
      <w:r>
        <w:t>拟建工程场内无饱和粉土与砂土层分布，故不存在地震液化问题。</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9"/>
        </w:rPr>
      </w:pPr>
    </w:p>
    <w:p>
      <w:pPr>
        <w:pStyle w:val="Heading1"/>
        <w:spacing w:before="6" w:line="240" w:lineRule="auto"/>
        <w:ind w:left="3288"/>
      </w:pPr>
      <w:r>
        <w:rPr>
          <w:spacing w:val="-83"/>
        </w:rPr>
        <w:t xml:space="preserve">第 </w:t>
      </w:r>
      <w:r>
        <w:t>3</w:t>
      </w:r>
      <w:r>
        <w:rPr>
          <w:spacing w:val="-16"/>
        </w:rPr>
        <w:t xml:space="preserve"> 章 施工部署及施工准备</w:t>
      </w:r>
    </w:p>
    <w:p>
      <w:pPr>
        <w:pStyle w:val="BodyText"/>
        <w:spacing w:before="8"/>
        <w:rPr>
          <w:b/>
          <w:sz w:val="77"/>
        </w:rPr>
      </w:pPr>
    </w:p>
    <w:p>
      <w:pPr>
        <w:pStyle w:val="Heading2"/>
      </w:pPr>
      <w:r>
        <w:t>、工程目标及方针</w:t>
      </w:r>
    </w:p>
    <w:p>
      <w:pPr>
        <w:pStyle w:val="BodyText"/>
        <w:spacing w:before="3"/>
        <w:rPr>
          <w:b/>
          <w:sz w:val="60"/>
        </w:rPr>
      </w:pPr>
    </w:p>
    <w:p>
      <w:pPr>
        <w:pStyle w:val="BodyText"/>
        <w:ind w:left="1200"/>
      </w:pPr>
      <w:r>
        <w:t>、管理方针</w:t>
      </w:r>
    </w:p>
    <w:p>
      <w:pPr>
        <w:spacing w:after="0"/>
        <w:sectPr>
          <w:pgSz w:w="17860" w:h="25260"/>
          <w:pgMar w:top="1920" w:right="0" w:bottom="280" w:left="1500" w:header="708" w:footer="708"/>
          <w:pgNumType w:start="9"/>
          <w:cols w:space="708"/>
        </w:sectPr>
      </w:pPr>
    </w:p>
    <w:p>
      <w:pPr>
        <w:pStyle w:val="BodyText"/>
        <w:spacing w:before="35" w:line="364" w:lineRule="auto"/>
        <w:ind w:left="1200" w:right="2556" w:firstLine="719"/>
      </w:pPr>
      <w:r>
        <w:rPr>
          <w:spacing w:val="-1"/>
        </w:rPr>
        <w:t xml:space="preserve">本着以诚信守法为准则，以科学的管理、先进的技术、精良的设备、精心组织施工，建造精品工程，以人为本，预防为主，注重环境、职业安全健康管理， </w:t>
      </w:r>
      <w:r>
        <w:rPr>
          <w:spacing w:val="-11"/>
        </w:rPr>
        <w:t>提高员工素质，不断改善员工的工作环境及职业安全健康状况并持续改进，超越自我，提供优质服务以达业主及相关方的要求。</w:t>
      </w:r>
    </w:p>
    <w:p>
      <w:pPr>
        <w:pStyle w:val="BodyText"/>
        <w:spacing w:before="5"/>
        <w:ind w:left="1200"/>
      </w:pPr>
      <w:r>
        <w:t>、项目管理目标、指标</w:t>
      </w:r>
    </w:p>
    <w:p>
      <w:pPr>
        <w:pStyle w:val="BodyText"/>
        <w:spacing w:before="240" w:line="364" w:lineRule="auto"/>
        <w:ind w:left="1200" w:right="2556" w:firstLine="719"/>
      </w:pPr>
      <w:r>
        <w:rPr>
          <w:spacing w:val="-16"/>
        </w:rPr>
        <w:t xml:space="preserve">根据 </w:t>
      </w:r>
      <w:r>
        <w:t>GB/T19001-2000</w:t>
      </w:r>
      <w:r>
        <w:rPr>
          <w:spacing w:val="-12"/>
        </w:rPr>
        <w:t xml:space="preserve"> 标准、</w:t>
      </w:r>
      <w:r>
        <w:t>GB/T24001-2004</w:t>
      </w:r>
      <w:r>
        <w:rPr>
          <w:spacing w:val="-20"/>
        </w:rPr>
        <w:t xml:space="preserve"> 标准、《职业安全健康管理体系审核规范》建立了质量、环境、职业安全健康的一体化管理体系，充分体现了</w:t>
      </w:r>
      <w:r>
        <w:rPr>
          <w:spacing w:val="-1"/>
        </w:rPr>
        <w:t>以顾客为关注焦点、领导作用、全员参与、过程控制。本工程按项目法管理进行施工，为使本工程达到“安全、优质、高效”的预期目标，成立项目经理部，全</w:t>
      </w:r>
      <w:r>
        <w:t>权负责本工程项目的组织、实施及管理。</w:t>
      </w:r>
    </w:p>
    <w:p>
      <w:pPr>
        <w:pStyle w:val="BodyText"/>
        <w:spacing w:before="6"/>
        <w:ind w:left="1560"/>
      </w:pPr>
      <w:r>
        <w:t>1、质量管理目标</w:t>
      </w:r>
    </w:p>
    <w:p>
      <w:pPr>
        <w:pStyle w:val="ListParagraph"/>
        <w:numPr>
          <w:ilvl w:val="0"/>
          <w:numId w:val="2"/>
        </w:numPr>
        <w:tabs>
          <w:tab w:val="left" w:pos="2462"/>
        </w:tabs>
        <w:spacing w:before="240" w:after="0" w:line="364" w:lineRule="auto"/>
        <w:ind w:left="1200" w:right="2516" w:firstLine="359"/>
        <w:jc w:val="left"/>
        <w:rPr>
          <w:sz w:val="36"/>
        </w:rPr>
      </w:pPr>
      <w:r>
        <w:rPr>
          <w:spacing w:val="-14"/>
          <w:sz w:val="36"/>
        </w:rPr>
        <w:t>、工程施工质量达到合格标准。满足业主针对本工程制定的有关规定和要</w:t>
      </w:r>
      <w:r>
        <w:rPr>
          <w:spacing w:val="-12"/>
          <w:sz w:val="36"/>
        </w:rPr>
        <w:t>求，建立并保持一个健全的工程质量保证体系，完善质量管理制度，建立质量控</w:t>
      </w:r>
      <w:r>
        <w:rPr>
          <w:spacing w:val="-20"/>
          <w:sz w:val="36"/>
        </w:rPr>
        <w:t xml:space="preserve">制流程，合同履约率 </w:t>
      </w:r>
      <w:r>
        <w:rPr>
          <w:sz w:val="36"/>
        </w:rPr>
        <w:t>100</w:t>
      </w:r>
      <w:r>
        <w:rPr>
          <w:spacing w:val="-11"/>
          <w:sz w:val="36"/>
        </w:rPr>
        <w:t xml:space="preserve"> %；工程</w:t>
      </w:r>
      <w:r>
        <w:rPr>
          <w:sz w:val="36"/>
        </w:rPr>
        <w:t>（产品）</w:t>
      </w:r>
      <w:r>
        <w:rPr>
          <w:spacing w:val="-23"/>
          <w:sz w:val="36"/>
        </w:rPr>
        <w:t xml:space="preserve">合格率 </w:t>
      </w:r>
      <w:r>
        <w:rPr>
          <w:sz w:val="36"/>
        </w:rPr>
        <w:t>100%；</w:t>
      </w:r>
      <w:r>
        <w:rPr>
          <w:spacing w:val="-12"/>
          <w:sz w:val="36"/>
        </w:rPr>
        <w:t xml:space="preserve">单位工程合格率 </w:t>
      </w:r>
      <w:r>
        <w:rPr>
          <w:spacing w:val="-4"/>
          <w:sz w:val="36"/>
        </w:rPr>
        <w:t xml:space="preserve">100%， </w:t>
      </w:r>
      <w:r>
        <w:rPr>
          <w:spacing w:val="-12"/>
          <w:sz w:val="36"/>
        </w:rPr>
        <w:t xml:space="preserve">分项工程合格率 </w:t>
      </w:r>
      <w:r>
        <w:rPr>
          <w:sz w:val="36"/>
        </w:rPr>
        <w:t>100 %。</w:t>
      </w:r>
    </w:p>
    <w:p>
      <w:pPr>
        <w:pStyle w:val="ListParagraph"/>
        <w:numPr>
          <w:ilvl w:val="0"/>
          <w:numId w:val="2"/>
        </w:numPr>
        <w:tabs>
          <w:tab w:val="left" w:pos="2462"/>
        </w:tabs>
        <w:spacing w:before="4" w:after="0" w:line="240" w:lineRule="auto"/>
        <w:ind w:left="2461" w:right="0" w:hanging="902"/>
        <w:jc w:val="left"/>
        <w:rPr>
          <w:sz w:val="36"/>
        </w:rPr>
      </w:pPr>
      <w:r>
        <w:rPr>
          <w:spacing w:val="-9"/>
          <w:sz w:val="36"/>
        </w:rPr>
        <w:t xml:space="preserve">、质量控制活动符合 </w:t>
      </w:r>
      <w:r>
        <w:rPr>
          <w:sz w:val="36"/>
        </w:rPr>
        <w:t>ISO9001-2000</w:t>
      </w:r>
      <w:r>
        <w:rPr>
          <w:spacing w:val="-10"/>
          <w:sz w:val="36"/>
        </w:rPr>
        <w:t xml:space="preserve"> 质量体系各种文件的规定。</w:t>
      </w:r>
    </w:p>
    <w:p>
      <w:pPr>
        <w:pStyle w:val="ListParagraph"/>
        <w:numPr>
          <w:ilvl w:val="0"/>
          <w:numId w:val="2"/>
        </w:numPr>
        <w:tabs>
          <w:tab w:val="left" w:pos="2462"/>
        </w:tabs>
        <w:spacing w:before="241" w:after="0" w:line="240" w:lineRule="auto"/>
        <w:ind w:left="2461" w:right="0" w:hanging="902"/>
        <w:jc w:val="left"/>
        <w:rPr>
          <w:sz w:val="36"/>
        </w:rPr>
      </w:pPr>
      <w:r>
        <w:rPr>
          <w:sz w:val="36"/>
        </w:rPr>
        <w:t>、遵守合同并按照有关标准进行组织施工。</w:t>
      </w:r>
    </w:p>
    <w:p>
      <w:pPr>
        <w:pStyle w:val="ListParagraph"/>
        <w:numPr>
          <w:ilvl w:val="0"/>
          <w:numId w:val="2"/>
        </w:numPr>
        <w:tabs>
          <w:tab w:val="left" w:pos="2462"/>
        </w:tabs>
        <w:spacing w:before="241" w:after="0" w:line="364" w:lineRule="auto"/>
        <w:ind w:left="1200" w:right="2697" w:firstLine="359"/>
        <w:jc w:val="left"/>
        <w:rPr>
          <w:sz w:val="36"/>
        </w:rPr>
      </w:pPr>
      <w:r>
        <w:rPr>
          <w:spacing w:val="-13"/>
          <w:sz w:val="36"/>
        </w:rPr>
        <w:t>、各分部分项工程质量标准按城镇道路工程质量检验评定标准及相关规</w:t>
      </w:r>
      <w:r>
        <w:rPr>
          <w:spacing w:val="-5"/>
          <w:sz w:val="36"/>
        </w:rPr>
        <w:t>范执行。</w:t>
      </w:r>
    </w:p>
    <w:p>
      <w:pPr>
        <w:pStyle w:val="BodyText"/>
        <w:spacing w:before="2"/>
        <w:ind w:left="1740"/>
      </w:pPr>
      <w:r>
        <w:t>2、工期管理目标</w:t>
      </w:r>
    </w:p>
    <w:p>
      <w:pPr>
        <w:pStyle w:val="BodyText"/>
        <w:spacing w:before="241" w:line="364" w:lineRule="auto"/>
        <w:ind w:left="1200" w:right="2681" w:firstLine="719"/>
        <w:jc w:val="both"/>
      </w:pPr>
      <w:r>
        <w:rPr>
          <w:spacing w:val="-8"/>
        </w:rPr>
        <w:t xml:space="preserve">招标文件要求工期 </w:t>
      </w:r>
      <w:r>
        <w:t>360</w:t>
      </w:r>
      <w:r>
        <w:rPr>
          <w:spacing w:val="-9"/>
        </w:rPr>
        <w:t xml:space="preserve"> 个工作日,在业主提供的施工场地完全满足施工需要</w:t>
      </w:r>
      <w:r>
        <w:rPr>
          <w:spacing w:val="-18"/>
        </w:rPr>
        <w:t xml:space="preserve">的情况下，我司在确保工程质量、安全、文明施工的前提下 </w:t>
      </w:r>
      <w:r>
        <w:t>360</w:t>
      </w:r>
      <w:r>
        <w:rPr>
          <w:spacing w:val="-13"/>
        </w:rPr>
        <w:t xml:space="preserve"> 个工作日内完成合同内的全部工作内容，具体工期以施工合同为准 (本计划暂定工期 </w:t>
      </w:r>
      <w:r>
        <w:t>360</w:t>
      </w:r>
      <w:r>
        <w:rPr>
          <w:spacing w:val="2"/>
        </w:rPr>
        <w:t xml:space="preserve"> 日历</w:t>
      </w:r>
      <w:r>
        <w:rPr>
          <w:spacing w:val="-17"/>
        </w:rPr>
        <w:t xml:space="preserve">天)，暂定 </w:t>
      </w:r>
      <w:r>
        <w:t>2014</w:t>
      </w:r>
      <w:r>
        <w:rPr>
          <w:spacing w:val="-60"/>
        </w:rPr>
        <w:t xml:space="preserve"> 年 </w:t>
      </w:r>
      <w:r>
        <w:t>8</w:t>
      </w:r>
      <w:r>
        <w:rPr>
          <w:spacing w:val="-60"/>
        </w:rPr>
        <w:t xml:space="preserve"> 月 </w:t>
      </w:r>
      <w:r>
        <w:t>1</w:t>
      </w:r>
      <w:r>
        <w:rPr>
          <w:spacing w:val="-20"/>
        </w:rPr>
        <w:t xml:space="preserve"> 日开工，</w:t>
      </w:r>
      <w:r>
        <w:rPr>
          <w:spacing w:val="-4"/>
        </w:rPr>
        <w:t>2015</w:t>
      </w:r>
      <w:r>
        <w:rPr>
          <w:spacing w:val="-60"/>
        </w:rPr>
        <w:t xml:space="preserve"> 年 </w:t>
      </w:r>
      <w:r>
        <w:t>7</w:t>
      </w:r>
      <w:r>
        <w:rPr>
          <w:spacing w:val="-60"/>
        </w:rPr>
        <w:t xml:space="preserve"> 月 </w:t>
      </w:r>
      <w:r>
        <w:t>25</w:t>
      </w:r>
      <w:r>
        <w:rPr>
          <w:spacing w:val="-11"/>
        </w:rPr>
        <w:t xml:space="preserve"> 日竣工，实际开工时间以监理</w:t>
      </w:r>
      <w:r>
        <w:t>工程师发布的开工令为准。</w:t>
      </w:r>
    </w:p>
    <w:p>
      <w:pPr>
        <w:pStyle w:val="BodyText"/>
        <w:spacing w:before="5" w:line="364" w:lineRule="auto"/>
        <w:ind w:left="1200" w:right="2696" w:firstLine="719"/>
      </w:pPr>
      <w:r>
        <w:rPr>
          <w:spacing w:val="-10"/>
        </w:rPr>
        <w:t>为确保整个工程总工期，我部将加大资源投入，优化施工方案，加强科学管</w:t>
      </w:r>
      <w:r>
        <w:t>理，认真安排施工关键部位的工期节点。</w:t>
      </w:r>
    </w:p>
    <w:p>
      <w:pPr>
        <w:pStyle w:val="BodyText"/>
        <w:spacing w:before="2"/>
        <w:ind w:left="1560"/>
      </w:pPr>
      <w:r>
        <w:t>3、安全管理目标、指标</w:t>
      </w:r>
    </w:p>
    <w:p>
      <w:pPr>
        <w:pStyle w:val="BodyText"/>
        <w:spacing w:before="240"/>
        <w:ind w:left="1920"/>
      </w:pPr>
      <w:r>
        <w:t>本工程安全生产目标为：杜绝因工死亡事故，轻伤率控制在8‰下。全面贯</w:t>
      </w:r>
    </w:p>
    <w:p>
      <w:pPr>
        <w:spacing w:after="0"/>
        <w:sectPr>
          <w:pgSz w:w="17860" w:h="25260"/>
          <w:pgMar w:top="1920" w:right="0" w:bottom="280" w:left="1500" w:header="708" w:footer="708"/>
          <w:pgNumType w:start="10"/>
          <w:cols w:space="708"/>
        </w:sectPr>
      </w:pPr>
    </w:p>
    <w:p>
      <w:pPr>
        <w:pStyle w:val="BodyText"/>
        <w:spacing w:before="35" w:line="364" w:lineRule="auto"/>
        <w:ind w:left="1200" w:right="2697"/>
        <w:jc w:val="both"/>
      </w:pPr>
      <w:r>
        <w:rPr>
          <w:spacing w:val="-13"/>
        </w:rPr>
        <w:t xml:space="preserve">彻“安全第一，预防为主，综合治理”的管理方针和坚持“管生产必须管安全” </w:t>
      </w:r>
      <w:r>
        <w:rPr>
          <w:spacing w:val="-9"/>
        </w:rPr>
        <w:t>的原则进行安全生产管理，加强安全生产宣传教育，增强安全生产意识，建立健</w:t>
      </w:r>
      <w:r>
        <w:rPr>
          <w:spacing w:val="-8"/>
        </w:rPr>
        <w:t>全各项安全生产管理机构和安全生产管理制度，创建安全文明工地的安全管理目</w:t>
      </w:r>
      <w:r>
        <w:t>标。</w:t>
      </w:r>
    </w:p>
    <w:p>
      <w:pPr>
        <w:pStyle w:val="BodyText"/>
        <w:spacing w:before="5"/>
        <w:ind w:left="1560"/>
      </w:pPr>
      <w:r>
        <w:rPr>
          <w:spacing w:val="-1"/>
        </w:rPr>
        <w:t>4</w:t>
      </w:r>
      <w:r>
        <w:t>、文明施工目标</w:t>
      </w:r>
    </w:p>
    <w:p>
      <w:pPr>
        <w:pStyle w:val="BodyText"/>
        <w:spacing w:before="240" w:line="364" w:lineRule="auto"/>
        <w:ind w:left="1560" w:right="3998" w:firstLine="359"/>
      </w:pPr>
      <w:r>
        <w:rPr>
          <w:spacing w:val="-1"/>
        </w:rPr>
        <w:t>按国家现场建设标准以及各项管理标准和管理办法进行现场管理。</w:t>
      </w:r>
      <w:r>
        <w:t>5、环境保护目标</w:t>
      </w:r>
    </w:p>
    <w:p>
      <w:pPr>
        <w:pStyle w:val="BodyText"/>
        <w:spacing w:before="2" w:line="364" w:lineRule="auto"/>
        <w:ind w:left="1200" w:right="2556" w:firstLine="719"/>
      </w:pPr>
      <w:r>
        <w:rPr>
          <w:spacing w:val="-45"/>
        </w:rPr>
        <w:t xml:space="preserve">按 </w:t>
      </w:r>
      <w:r>
        <w:t>ISO14000</w:t>
      </w:r>
      <w:r>
        <w:rPr>
          <w:spacing w:val="-10"/>
        </w:rPr>
        <w:t xml:space="preserve"> 环境管理标准进行管理，采取预防为主，防治结合的办法，尽</w:t>
      </w:r>
      <w:r>
        <w:rPr>
          <w:spacing w:val="-11"/>
        </w:rPr>
        <w:t>最大努力控制废水、废气、废渣的排放标准以及声、色、光的污染；实现绿色工</w:t>
      </w:r>
      <w:r>
        <w:t>地、绿色建筑，最大限度地保持施工现场周边良好环境。</w:t>
      </w:r>
    </w:p>
    <w:p>
      <w:pPr>
        <w:pStyle w:val="BodyText"/>
        <w:tabs>
          <w:tab w:val="left" w:pos="9500"/>
        </w:tabs>
        <w:spacing w:before="4"/>
        <w:ind w:left="4999"/>
      </w:pPr>
      <w:r>
        <w:pict>
          <v:group id="_x0000_s1029" style="width:670pt;height:410pt;margin-top:29.47pt;margin-left:112pt;mso-position-horizontal-relative:page;mso-wrap-distance-left:0;mso-wrap-distance-right:0;position:absolute;z-index:-251657216" coordorigin="2240,589" coordsize="13400,8200">
            <v:shape id="_x0000_s1030" type="#_x0000_t75" style="width:13400;height:8200;left:2240;position:absolute;top:589" stroked="f">
              <v:imagedata r:id="rId5" o:title=""/>
            </v:shape>
            <v:shape id="_x0000_s1031" type="#_x0000_t202" style="width:654;height:317;left:2722;position:absolute;top:946" filled="f" stroked="f">
              <v:textbox inset="0,0,0,0">
                <w:txbxContent>
                  <w:p>
                    <w:pPr>
                      <w:spacing w:before="0" w:line="317" w:lineRule="exact"/>
                      <w:ind w:left="0" w:right="0" w:firstLine="0"/>
                      <w:jc w:val="left"/>
                      <w:rPr>
                        <w:sz w:val="31"/>
                      </w:rPr>
                    </w:pPr>
                    <w:r>
                      <w:rPr>
                        <w:sz w:val="31"/>
                      </w:rPr>
                      <w:t>序号</w:t>
                    </w:r>
                  </w:p>
                </w:txbxContent>
              </v:textbox>
            </v:shape>
            <v:shape id="_x0000_s1032" type="#_x0000_t202" style="width:337;height:317;left:5602;position:absolute;top:946" filled="f" stroked="f">
              <v:textbox inset="0,0,0,0">
                <w:txbxContent>
                  <w:p>
                    <w:pPr>
                      <w:spacing w:before="0" w:line="317" w:lineRule="exact"/>
                      <w:ind w:left="0" w:right="0" w:firstLine="0"/>
                      <w:jc w:val="left"/>
                      <w:rPr>
                        <w:sz w:val="31"/>
                      </w:rPr>
                    </w:pPr>
                    <w:r>
                      <w:rPr>
                        <w:w w:val="102"/>
                        <w:sz w:val="31"/>
                      </w:rPr>
                      <w:t>目</w:t>
                    </w:r>
                  </w:p>
                </w:txbxContent>
              </v:textbox>
            </v:shape>
            <v:shape id="_x0000_s1033" type="#_x0000_t202" style="width:337;height:317;left:6549;position:absolute;top:946" filled="f" stroked="f">
              <v:textbox inset="0,0,0,0">
                <w:txbxContent>
                  <w:p>
                    <w:pPr>
                      <w:spacing w:before="0" w:line="317" w:lineRule="exact"/>
                      <w:ind w:left="0" w:right="0" w:firstLine="0"/>
                      <w:jc w:val="left"/>
                      <w:rPr>
                        <w:sz w:val="31"/>
                      </w:rPr>
                    </w:pPr>
                    <w:r>
                      <w:rPr>
                        <w:w w:val="102"/>
                        <w:sz w:val="31"/>
                      </w:rPr>
                      <w:t>标</w:t>
                    </w:r>
                  </w:p>
                </w:txbxContent>
              </v:textbox>
            </v:shape>
            <v:shape id="_x0000_s1034" type="#_x0000_t202" style="width:337;height:317;left:11493;position:absolute;top:946" filled="f" stroked="f">
              <v:textbox inset="0,0,0,0">
                <w:txbxContent>
                  <w:p>
                    <w:pPr>
                      <w:spacing w:before="0" w:line="317" w:lineRule="exact"/>
                      <w:ind w:left="0" w:right="0" w:firstLine="0"/>
                      <w:jc w:val="left"/>
                      <w:rPr>
                        <w:sz w:val="31"/>
                      </w:rPr>
                    </w:pPr>
                    <w:r>
                      <w:rPr>
                        <w:w w:val="102"/>
                        <w:sz w:val="31"/>
                      </w:rPr>
                      <w:t>指</w:t>
                    </w:r>
                  </w:p>
                </w:txbxContent>
              </v:textbox>
            </v:shape>
            <v:shape id="_x0000_s1035" type="#_x0000_t202" style="width:337;height:317;left:12440;position:absolute;top:946" filled="f" stroked="f">
              <v:textbox inset="0,0,0,0">
                <w:txbxContent>
                  <w:p>
                    <w:pPr>
                      <w:spacing w:before="0" w:line="317" w:lineRule="exact"/>
                      <w:ind w:left="0" w:right="0" w:firstLine="0"/>
                      <w:jc w:val="left"/>
                      <w:rPr>
                        <w:sz w:val="31"/>
                      </w:rPr>
                    </w:pPr>
                    <w:r>
                      <w:rPr>
                        <w:w w:val="102"/>
                        <w:sz w:val="31"/>
                      </w:rPr>
                      <w:t>标</w:t>
                    </w:r>
                  </w:p>
                </w:txbxContent>
              </v:textbox>
            </v:shape>
            <v:shape id="_x0000_s1036" type="#_x0000_t202" style="width:4456;height:317;left:3978;position:absolute;top:1687" filled="f" stroked="f">
              <v:textbox inset="0,0,0,0">
                <w:txbxContent>
                  <w:p>
                    <w:pPr>
                      <w:spacing w:before="0" w:line="317" w:lineRule="exact"/>
                      <w:ind w:left="0" w:right="0" w:firstLine="0"/>
                      <w:jc w:val="left"/>
                      <w:rPr>
                        <w:sz w:val="31"/>
                      </w:rPr>
                    </w:pPr>
                    <w:r>
                      <w:rPr>
                        <w:sz w:val="31"/>
                      </w:rPr>
                      <w:t>无因工死亡事故，不发生重大机</w:t>
                    </w:r>
                  </w:p>
                </w:txbxContent>
              </v:textbox>
            </v:shape>
            <v:shape id="_x0000_s1037" type="#_x0000_t202" style="width:3646;height:317;left:10312;position:absolute;top:1687" filled="f" stroked="f">
              <v:textbox inset="0,0,0,0">
                <w:txbxContent>
                  <w:p>
                    <w:pPr>
                      <w:spacing w:before="0" w:line="317" w:lineRule="exact"/>
                      <w:ind w:left="0" w:right="0" w:firstLine="0"/>
                      <w:jc w:val="left"/>
                      <w:rPr>
                        <w:sz w:val="31"/>
                      </w:rPr>
                    </w:pPr>
                    <w:r>
                      <w:rPr>
                        <w:sz w:val="31"/>
                      </w:rPr>
                      <w:t>①因工死亡责任事故为：0</w:t>
                    </w:r>
                  </w:p>
                </w:txbxContent>
              </v:textbox>
            </v:shape>
            <v:shape id="_x0000_s1038" type="#_x0000_t202" style="width:179;height:317;left:2960;position:absolute;top:2047" filled="f" stroked="f">
              <v:textbox inset="0,0,0,0">
                <w:txbxContent>
                  <w:p>
                    <w:pPr>
                      <w:spacing w:before="0" w:line="317" w:lineRule="exact"/>
                      <w:ind w:left="0" w:right="0" w:firstLine="0"/>
                      <w:jc w:val="left"/>
                      <w:rPr>
                        <w:sz w:val="31"/>
                      </w:rPr>
                    </w:pPr>
                    <w:r>
                      <w:rPr>
                        <w:w w:val="102"/>
                        <w:sz w:val="31"/>
                      </w:rPr>
                      <w:t>1</w:t>
                    </w:r>
                  </w:p>
                </w:txbxContent>
              </v:textbox>
            </v:shape>
            <v:shape id="_x0000_s1039" type="#_x0000_t202" style="width:971;height:317;left:3978;position:absolute;top:2407" filled="f" stroked="f">
              <v:textbox inset="0,0,0,0">
                <w:txbxContent>
                  <w:p>
                    <w:pPr>
                      <w:spacing w:before="0" w:line="317" w:lineRule="exact"/>
                      <w:ind w:left="0" w:right="0" w:firstLine="0"/>
                      <w:jc w:val="left"/>
                      <w:rPr>
                        <w:sz w:val="31"/>
                      </w:rPr>
                    </w:pPr>
                    <w:r>
                      <w:rPr>
                        <w:sz w:val="31"/>
                      </w:rPr>
                      <w:t>损事故</w:t>
                    </w:r>
                  </w:p>
                </w:txbxContent>
              </v:textbox>
            </v:shape>
            <v:shape id="_x0000_s1040" type="#_x0000_t202" style="width:3646;height:317;left:10312;position:absolute;top:2407" filled="f" stroked="f">
              <v:textbox inset="0,0,0,0">
                <w:txbxContent>
                  <w:p>
                    <w:pPr>
                      <w:spacing w:before="0" w:line="317" w:lineRule="exact"/>
                      <w:ind w:left="0" w:right="0" w:firstLine="0"/>
                      <w:jc w:val="left"/>
                      <w:rPr>
                        <w:sz w:val="31"/>
                      </w:rPr>
                    </w:pPr>
                    <w:r>
                      <w:rPr>
                        <w:sz w:val="31"/>
                      </w:rPr>
                      <w:t>②重大机损责任事故为：0</w:t>
                    </w:r>
                  </w:p>
                </w:txbxContent>
              </v:textbox>
            </v:shape>
            <v:shape id="_x0000_s1041" type="#_x0000_t202" style="width:179;height:317;left:2960;position:absolute;top:3206" filled="f" stroked="f">
              <v:textbox inset="0,0,0,0">
                <w:txbxContent>
                  <w:p>
                    <w:pPr>
                      <w:spacing w:before="0" w:line="317" w:lineRule="exact"/>
                      <w:ind w:left="0" w:right="0" w:firstLine="0"/>
                      <w:jc w:val="left"/>
                      <w:rPr>
                        <w:sz w:val="31"/>
                      </w:rPr>
                    </w:pPr>
                    <w:r>
                      <w:rPr>
                        <w:w w:val="102"/>
                        <w:sz w:val="31"/>
                      </w:rPr>
                      <w:t>2</w:t>
                    </w:r>
                  </w:p>
                </w:txbxContent>
              </v:textbox>
            </v:shape>
            <v:shape id="_x0000_s1042" type="#_x0000_t202" style="width:3505;height:317;left:3978;position:absolute;top:3206" filled="f" stroked="f">
              <v:textbox inset="0,0,0,0">
                <w:txbxContent>
                  <w:p>
                    <w:pPr>
                      <w:spacing w:before="0" w:line="317" w:lineRule="exact"/>
                      <w:ind w:left="0" w:right="0" w:firstLine="0"/>
                      <w:jc w:val="left"/>
                      <w:rPr>
                        <w:sz w:val="31"/>
                      </w:rPr>
                    </w:pPr>
                    <w:r>
                      <w:rPr>
                        <w:sz w:val="31"/>
                      </w:rPr>
                      <w:t>不发生重大火灾责任事故</w:t>
                    </w:r>
                  </w:p>
                </w:txbxContent>
              </v:textbox>
            </v:shape>
            <v:shape id="_x0000_s1043" type="#_x0000_t202" style="width:2703;height:317;left:10784;position:absolute;top:3206" filled="f" stroked="f">
              <v:textbox inset="0,0,0,0">
                <w:txbxContent>
                  <w:p>
                    <w:pPr>
                      <w:spacing w:before="0" w:line="317" w:lineRule="exact"/>
                      <w:ind w:left="0" w:right="0" w:firstLine="0"/>
                      <w:jc w:val="left"/>
                      <w:rPr>
                        <w:sz w:val="31"/>
                      </w:rPr>
                    </w:pPr>
                    <w:r>
                      <w:rPr>
                        <w:sz w:val="31"/>
                      </w:rPr>
                      <w:t>重大火灾次数为：0</w:t>
                    </w:r>
                  </w:p>
                </w:txbxContent>
              </v:textbox>
            </v:shape>
            <v:shape id="_x0000_s1044" type="#_x0000_t202" style="width:4549;height:317;left:3978;position:absolute;top:4003" filled="f" stroked="f">
              <v:textbox inset="0,0,0,0">
                <w:txbxContent>
                  <w:p>
                    <w:pPr>
                      <w:spacing w:before="0" w:line="317" w:lineRule="exact"/>
                      <w:ind w:left="0" w:right="0" w:firstLine="0"/>
                      <w:jc w:val="left"/>
                      <w:rPr>
                        <w:sz w:val="31"/>
                      </w:rPr>
                    </w:pPr>
                    <w:r>
                      <w:rPr>
                        <w:sz w:val="31"/>
                      </w:rPr>
                      <w:t>1 级和 2 级危害源得到控制和消</w:t>
                    </w:r>
                  </w:p>
                </w:txbxContent>
              </v:textbox>
            </v:shape>
            <v:shape id="_x0000_s1045" type="#_x0000_t202" style="width:179;height:317;left:2960;position:absolute;top:4363" filled="f" stroked="f">
              <v:textbox inset="0,0,0,0">
                <w:txbxContent>
                  <w:p>
                    <w:pPr>
                      <w:spacing w:before="0" w:line="317" w:lineRule="exact"/>
                      <w:ind w:left="0" w:right="0" w:firstLine="0"/>
                      <w:jc w:val="left"/>
                      <w:rPr>
                        <w:sz w:val="31"/>
                      </w:rPr>
                    </w:pPr>
                    <w:r>
                      <w:rPr>
                        <w:w w:val="102"/>
                        <w:sz w:val="31"/>
                      </w:rPr>
                      <w:t>3</w:t>
                    </w:r>
                  </w:p>
                </w:txbxContent>
              </v:textbox>
            </v:shape>
            <v:shape id="_x0000_s1046" type="#_x0000_t202" style="width:4755;height:317;left:9761;position:absolute;top:4363" filled="f" stroked="f">
              <v:textbox inset="0,0,0,0">
                <w:txbxContent>
                  <w:p>
                    <w:pPr>
                      <w:spacing w:before="0" w:line="317" w:lineRule="exact"/>
                      <w:ind w:left="0" w:right="0" w:firstLine="0"/>
                      <w:jc w:val="left"/>
                      <w:rPr>
                        <w:sz w:val="31"/>
                      </w:rPr>
                    </w:pPr>
                    <w:r>
                      <w:rPr>
                        <w:sz w:val="31"/>
                      </w:rPr>
                      <w:t>1</w:t>
                    </w:r>
                    <w:r>
                      <w:rPr>
                        <w:spacing w:val="-28"/>
                        <w:sz w:val="31"/>
                      </w:rPr>
                      <w:t xml:space="preserve"> 级和 </w:t>
                    </w:r>
                    <w:r>
                      <w:rPr>
                        <w:sz w:val="31"/>
                      </w:rPr>
                      <w:t>2</w:t>
                    </w:r>
                    <w:r>
                      <w:rPr>
                        <w:spacing w:val="-14"/>
                        <w:sz w:val="31"/>
                      </w:rPr>
                      <w:t xml:space="preserve"> 级危害源整改合格率 </w:t>
                    </w:r>
                    <w:r>
                      <w:rPr>
                        <w:sz w:val="31"/>
                      </w:rPr>
                      <w:t>100%</w:t>
                    </w:r>
                  </w:p>
                </w:txbxContent>
              </v:textbox>
            </v:shape>
            <v:shape id="_x0000_s1047" type="#_x0000_t202" style="width:337;height:317;left:3978;position:absolute;top:4723" filled="f" stroked="f">
              <v:textbox inset="0,0,0,0">
                <w:txbxContent>
                  <w:p>
                    <w:pPr>
                      <w:spacing w:before="0" w:line="317" w:lineRule="exact"/>
                      <w:ind w:left="0" w:right="0" w:firstLine="0"/>
                      <w:jc w:val="left"/>
                      <w:rPr>
                        <w:sz w:val="31"/>
                      </w:rPr>
                    </w:pPr>
                    <w:r>
                      <w:rPr>
                        <w:w w:val="102"/>
                        <w:sz w:val="31"/>
                      </w:rPr>
                      <w:t>除</w:t>
                    </w:r>
                  </w:p>
                </w:txbxContent>
              </v:textbox>
            </v:shape>
            <v:shape id="_x0000_s1048" type="#_x0000_t202" style="width:5723;height:317;left:8814;position:absolute;top:5464" filled="f" stroked="f">
              <v:textbox inset="0,0,0,0">
                <w:txbxContent>
                  <w:p>
                    <w:pPr>
                      <w:spacing w:before="0" w:line="317" w:lineRule="exact"/>
                      <w:ind w:left="0" w:right="0" w:firstLine="0"/>
                      <w:jc w:val="left"/>
                      <w:rPr>
                        <w:sz w:val="31"/>
                      </w:rPr>
                    </w:pPr>
                    <w:r>
                      <w:rPr>
                        <w:sz w:val="31"/>
                      </w:rPr>
                      <w:t>①照明、通风、止水、噪声符合标准规定</w:t>
                    </w:r>
                  </w:p>
                </w:txbxContent>
              </v:textbox>
            </v:shape>
            <v:shape id="_x0000_s1049" type="#_x0000_t202" style="width:179;height:317;left:2960;position:absolute;top:6184" filled="f" stroked="f">
              <v:textbox inset="0,0,0,0">
                <w:txbxContent>
                  <w:p>
                    <w:pPr>
                      <w:spacing w:before="0" w:line="317" w:lineRule="exact"/>
                      <w:ind w:left="0" w:right="0" w:firstLine="0"/>
                      <w:jc w:val="left"/>
                      <w:rPr>
                        <w:sz w:val="31"/>
                      </w:rPr>
                    </w:pPr>
                    <w:r>
                      <w:rPr>
                        <w:w w:val="102"/>
                        <w:sz w:val="31"/>
                      </w:rPr>
                      <w:t>4</w:t>
                    </w:r>
                  </w:p>
                </w:txbxContent>
              </v:textbox>
            </v:shape>
            <v:shape id="_x0000_s1050" type="#_x0000_t202" style="width:3188;height:317;left:4659;position:absolute;top:6184" filled="f" stroked="f">
              <v:textbox inset="0,0,0,0">
                <w:txbxContent>
                  <w:p>
                    <w:pPr>
                      <w:spacing w:before="0" w:line="317" w:lineRule="exact"/>
                      <w:ind w:left="0" w:right="0" w:firstLine="0"/>
                      <w:jc w:val="left"/>
                      <w:rPr>
                        <w:sz w:val="31"/>
                      </w:rPr>
                    </w:pPr>
                    <w:r>
                      <w:rPr>
                        <w:sz w:val="31"/>
                      </w:rPr>
                      <w:t>工作环境符合国家规定</w:t>
                    </w:r>
                  </w:p>
                </w:txbxContent>
              </v:textbox>
            </v:shape>
            <v:shape id="_x0000_s1051" type="#_x0000_t202" style="width:4990;height:317;left:8814;position:absolute;top:6184" filled="f" stroked="f">
              <v:textbox inset="0,0,0,0">
                <w:txbxContent>
                  <w:p>
                    <w:pPr>
                      <w:spacing w:before="0" w:line="317" w:lineRule="exact"/>
                      <w:ind w:left="0" w:right="0" w:firstLine="0"/>
                      <w:jc w:val="left"/>
                      <w:rPr>
                        <w:sz w:val="31"/>
                      </w:rPr>
                    </w:pPr>
                    <w:r>
                      <w:rPr>
                        <w:sz w:val="31"/>
                      </w:rPr>
                      <w:t>②目测无较浓扬尘，矽肺得病率为 0</w:t>
                    </w:r>
                  </w:p>
                </w:txbxContent>
              </v:textbox>
            </v:shape>
            <v:shape id="_x0000_s1052" type="#_x0000_t202" style="width:4672;height:317;left:8814;position:absolute;top:6904" filled="f" stroked="f">
              <v:textbox inset="0,0,0,0">
                <w:txbxContent>
                  <w:p>
                    <w:pPr>
                      <w:spacing w:before="0" w:line="317" w:lineRule="exact"/>
                      <w:ind w:left="0" w:right="0" w:firstLine="0"/>
                      <w:jc w:val="left"/>
                      <w:rPr>
                        <w:sz w:val="31"/>
                      </w:rPr>
                    </w:pPr>
                    <w:r>
                      <w:rPr>
                        <w:sz w:val="31"/>
                      </w:rPr>
                      <w:t>③劳动防护用品利用率达 90%以上</w:t>
                    </w:r>
                  </w:p>
                </w:txbxContent>
              </v:textbox>
            </v:shape>
            <v:shape id="_x0000_s1053" type="#_x0000_t202" style="width:11118;height:317;left:4025;position:absolute;top:7646" filled="f" stroked="f">
              <v:textbox inset="0,0,0,0">
                <w:txbxContent>
                  <w:p>
                    <w:pPr>
                      <w:tabs>
                        <w:tab w:val="left" w:pos="4788"/>
                      </w:tabs>
                      <w:spacing w:before="0" w:line="317" w:lineRule="exact"/>
                      <w:ind w:left="0" w:right="0" w:firstLine="0"/>
                      <w:jc w:val="left"/>
                      <w:rPr>
                        <w:sz w:val="31"/>
                      </w:rPr>
                    </w:pPr>
                    <w:r>
                      <w:rPr>
                        <w:sz w:val="31"/>
                      </w:rPr>
                      <w:t>特种设备运行和操作人员符合国</w:t>
                      <w:tab/>
                      <w:t>①特种设备获得国家运行许可证获证率</w:t>
                    </w:r>
                    <w:r>
                      <w:rPr>
                        <w:spacing w:val="-6"/>
                        <w:sz w:val="31"/>
                      </w:rPr>
                      <w:t>：100%</w:t>
                    </w:r>
                  </w:p>
                </w:txbxContent>
              </v:textbox>
            </v:shape>
            <v:shape id="_x0000_s1054" type="#_x0000_t202" style="width:179;height:317;left:2960;position:absolute;top:8006" filled="f" stroked="f">
              <v:textbox inset="0,0,0,0">
                <w:txbxContent>
                  <w:p>
                    <w:pPr>
                      <w:spacing w:before="0" w:line="317" w:lineRule="exact"/>
                      <w:ind w:left="0" w:right="0" w:firstLine="0"/>
                      <w:jc w:val="left"/>
                      <w:rPr>
                        <w:sz w:val="31"/>
                      </w:rPr>
                    </w:pPr>
                    <w:r>
                      <w:rPr>
                        <w:w w:val="102"/>
                        <w:sz w:val="31"/>
                      </w:rPr>
                      <w:t>5</w:t>
                    </w:r>
                  </w:p>
                </w:txbxContent>
              </v:textbox>
            </v:shape>
            <v:shape id="_x0000_s1055" type="#_x0000_t202" style="width:971;height:317;left:5761;position:absolute;top:8366" filled="f" stroked="f">
              <v:textbox inset="0,0,0,0">
                <w:txbxContent>
                  <w:p>
                    <w:pPr>
                      <w:spacing w:before="0" w:line="317" w:lineRule="exact"/>
                      <w:ind w:left="0" w:right="0" w:firstLine="0"/>
                      <w:jc w:val="left"/>
                      <w:rPr>
                        <w:sz w:val="31"/>
                      </w:rPr>
                    </w:pPr>
                    <w:r>
                      <w:rPr>
                        <w:sz w:val="31"/>
                      </w:rPr>
                      <w:t>家规定</w:t>
                    </w:r>
                  </w:p>
                </w:txbxContent>
              </v:textbox>
            </v:shape>
            <v:shape id="_x0000_s1056" type="#_x0000_t202" style="width:5386;height:317;left:8814;position:absolute;top:8366" filled="f" stroked="f">
              <v:textbox inset="0,0,0,0">
                <w:txbxContent>
                  <w:p>
                    <w:pPr>
                      <w:spacing w:before="0" w:line="317" w:lineRule="exact"/>
                      <w:ind w:left="0" w:right="0" w:firstLine="0"/>
                      <w:jc w:val="left"/>
                      <w:rPr>
                        <w:sz w:val="31"/>
                      </w:rPr>
                    </w:pPr>
                    <w:r>
                      <w:rPr>
                        <w:sz w:val="31"/>
                      </w:rPr>
                      <w:t>②特种工作人员持证上岗持证率：100%</w:t>
                    </w:r>
                  </w:p>
                </w:txbxContent>
              </v:textbox>
            </v:shape>
            <w10:wrap type="topAndBottom"/>
          </v:group>
        </w:pict>
      </w:r>
      <w:r>
        <w:t>职业安全健康目标和指标</w:t>
        <w:tab/>
        <w:t>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9"/>
        </w:rPr>
      </w:pPr>
    </w:p>
    <w:p>
      <w:pPr>
        <w:pStyle w:val="BodyText"/>
        <w:tabs>
          <w:tab w:val="left" w:pos="3420"/>
        </w:tabs>
        <w:spacing w:before="49"/>
        <w:ind w:right="1497"/>
        <w:jc w:val="center"/>
      </w:pPr>
      <w:r>
        <w:pict>
          <v:group id="_x0000_s1057" style="width:664pt;height:109pt;margin-top:31.32pt;margin-left:115pt;mso-position-horizontal-relative:page;mso-wrap-distance-left:0;mso-wrap-distance-right:0;position:absolute;z-index:-251656192" coordorigin="2300,626" coordsize="13280,2180">
            <v:shape id="_x0000_s1058" type="#_x0000_t75" style="width:13280;height:2180;left:2300;position:absolute;top:626" stroked="f">
              <v:imagedata r:id="rId6" o:title=""/>
            </v:shape>
            <v:shape id="_x0000_s1059" type="#_x0000_t202" style="width:654;height:317;left:2697;position:absolute;top:879" filled="f" stroked="f">
              <v:textbox inset="0,0,0,0">
                <w:txbxContent>
                  <w:p>
                    <w:pPr>
                      <w:spacing w:before="0" w:line="317" w:lineRule="exact"/>
                      <w:ind w:left="0" w:right="0" w:firstLine="0"/>
                      <w:jc w:val="left"/>
                      <w:rPr>
                        <w:sz w:val="31"/>
                      </w:rPr>
                    </w:pPr>
                    <w:r>
                      <w:rPr>
                        <w:sz w:val="31"/>
                      </w:rPr>
                      <w:t>序号</w:t>
                    </w:r>
                  </w:p>
                </w:txbxContent>
              </v:textbox>
            </v:shape>
            <v:shape id="_x0000_s1060" type="#_x0000_t202" style="width:337;height:317;left:5995;position:absolute;top:879" filled="f" stroked="f">
              <v:textbox inset="0,0,0,0">
                <w:txbxContent>
                  <w:p>
                    <w:pPr>
                      <w:spacing w:before="0" w:line="317" w:lineRule="exact"/>
                      <w:ind w:left="0" w:right="0" w:firstLine="0"/>
                      <w:jc w:val="left"/>
                      <w:rPr>
                        <w:sz w:val="31"/>
                      </w:rPr>
                    </w:pPr>
                    <w:r>
                      <w:rPr>
                        <w:w w:val="102"/>
                        <w:sz w:val="31"/>
                      </w:rPr>
                      <w:t>目</w:t>
                    </w:r>
                  </w:p>
                </w:txbxContent>
              </v:textbox>
            </v:shape>
            <v:shape id="_x0000_s1061" type="#_x0000_t202" style="width:337;height:317;left:6942;position:absolute;top:879" filled="f" stroked="f">
              <v:textbox inset="0,0,0,0">
                <w:txbxContent>
                  <w:p>
                    <w:pPr>
                      <w:spacing w:before="0" w:line="317" w:lineRule="exact"/>
                      <w:ind w:left="0" w:right="0" w:firstLine="0"/>
                      <w:jc w:val="left"/>
                      <w:rPr>
                        <w:sz w:val="31"/>
                      </w:rPr>
                    </w:pPr>
                    <w:r>
                      <w:rPr>
                        <w:w w:val="102"/>
                        <w:sz w:val="31"/>
                      </w:rPr>
                      <w:t>标</w:t>
                    </w:r>
                  </w:p>
                </w:txbxContent>
              </v:textbox>
            </v:shape>
            <v:shape id="_x0000_s1062" type="#_x0000_t202" style="width:337;height:317;left:11914;position:absolute;top:879" filled="f" stroked="f">
              <v:textbox inset="0,0,0,0">
                <w:txbxContent>
                  <w:p>
                    <w:pPr>
                      <w:spacing w:before="0" w:line="317" w:lineRule="exact"/>
                      <w:ind w:left="0" w:right="0" w:firstLine="0"/>
                      <w:jc w:val="left"/>
                      <w:rPr>
                        <w:sz w:val="31"/>
                      </w:rPr>
                    </w:pPr>
                    <w:r>
                      <w:rPr>
                        <w:w w:val="102"/>
                        <w:sz w:val="31"/>
                      </w:rPr>
                      <w:t>指</w:t>
                    </w:r>
                  </w:p>
                </w:txbxContent>
              </v:textbox>
            </v:shape>
            <v:shape id="_x0000_s1063" type="#_x0000_t202" style="width:337;height:317;left:12861;position:absolute;top:879" filled="f" stroked="f">
              <v:textbox inset="0,0,0,0">
                <w:txbxContent>
                  <w:p>
                    <w:pPr>
                      <w:spacing w:before="0" w:line="317" w:lineRule="exact"/>
                      <w:ind w:left="0" w:right="0" w:firstLine="0"/>
                      <w:jc w:val="left"/>
                      <w:rPr>
                        <w:sz w:val="31"/>
                      </w:rPr>
                    </w:pPr>
                    <w:r>
                      <w:rPr>
                        <w:w w:val="102"/>
                        <w:sz w:val="31"/>
                      </w:rPr>
                      <w:t>标</w:t>
                    </w:r>
                  </w:p>
                </w:txbxContent>
              </v:textbox>
            </v:shape>
            <v:shape id="_x0000_s1064" type="#_x0000_t202" style="width:11595;height:317;left:3852;position:absolute;top:1602" filled="f" stroked="f">
              <v:textbox inset="0,0,0,0">
                <w:txbxContent>
                  <w:p>
                    <w:pPr>
                      <w:tabs>
                        <w:tab w:val="left" w:pos="5238"/>
                      </w:tabs>
                      <w:spacing w:before="0" w:line="317" w:lineRule="exact"/>
                      <w:ind w:left="0" w:right="0" w:firstLine="0"/>
                      <w:jc w:val="left"/>
                      <w:rPr>
                        <w:sz w:val="31"/>
                      </w:rPr>
                    </w:pPr>
                    <w:r>
                      <w:rPr>
                        <w:sz w:val="31"/>
                      </w:rPr>
                      <w:t>生活</w:t>
                    </w:r>
                    <w:r>
                      <w:rPr>
                        <w:spacing w:val="-130"/>
                        <w:sz w:val="31"/>
                      </w:rPr>
                      <w:t>、</w:t>
                    </w:r>
                    <w:r>
                      <w:rPr>
                        <w:sz w:val="31"/>
                      </w:rPr>
                      <w:t>生产污水排放符合当地环保部</w:t>
                      <w:tab/>
                      <w:t>污水排放符合标准及相关方的规定。减少污水</w:t>
                    </w:r>
                  </w:p>
                </w:txbxContent>
              </v:textbox>
            </v:shape>
            <v:shape id="_x0000_s1065" type="#_x0000_t202" style="width:179;height:317;left:2934;position:absolute;top:1955" filled="f" stroked="f">
              <v:textbox inset="0,0,0,0">
                <w:txbxContent>
                  <w:p>
                    <w:pPr>
                      <w:spacing w:before="0" w:line="317" w:lineRule="exact"/>
                      <w:ind w:left="0" w:right="0" w:firstLine="0"/>
                      <w:jc w:val="left"/>
                      <w:rPr>
                        <w:sz w:val="31"/>
                      </w:rPr>
                    </w:pPr>
                    <w:r>
                      <w:rPr>
                        <w:w w:val="102"/>
                        <w:sz w:val="31"/>
                      </w:rPr>
                      <w:t>1</w:t>
                    </w:r>
                  </w:p>
                </w:txbxContent>
              </v:textbox>
            </v:shape>
            <v:shape id="_x0000_s1066" type="#_x0000_t202" style="width:1604;height:317;left:5519;position:absolute;top:2304" filled="f" stroked="f">
              <v:textbox inset="0,0,0,0">
                <w:txbxContent>
                  <w:p>
                    <w:pPr>
                      <w:spacing w:before="0" w:line="317" w:lineRule="exact"/>
                      <w:ind w:left="0" w:right="0" w:firstLine="0"/>
                      <w:jc w:val="left"/>
                      <w:rPr>
                        <w:sz w:val="31"/>
                      </w:rPr>
                    </w:pPr>
                    <w:r>
                      <w:rPr>
                        <w:sz w:val="31"/>
                      </w:rPr>
                      <w:t>门的规定。</w:t>
                    </w:r>
                  </w:p>
                </w:txbxContent>
              </v:textbox>
            </v:shape>
            <v:shape id="_x0000_s1067" type="#_x0000_t202" style="width:1288;height:317;left:9091;position:absolute;top:2304" filled="f" stroked="f">
              <v:textbox inset="0,0,0,0">
                <w:txbxContent>
                  <w:p>
                    <w:pPr>
                      <w:spacing w:before="0" w:line="317" w:lineRule="exact"/>
                      <w:ind w:left="0" w:right="0" w:firstLine="0"/>
                      <w:jc w:val="left"/>
                      <w:rPr>
                        <w:sz w:val="31"/>
                      </w:rPr>
                    </w:pPr>
                    <w:r>
                      <w:rPr>
                        <w:sz w:val="31"/>
                      </w:rPr>
                      <w:t>排放量。</w:t>
                    </w:r>
                  </w:p>
                </w:txbxContent>
              </v:textbox>
            </v:shape>
            <w10:wrap type="topAndBottom"/>
          </v:group>
        </w:pict>
      </w:r>
      <w:r>
        <w:t>环境目标和指标</w:t>
        <w:tab/>
        <w:t>图</w:t>
      </w:r>
    </w:p>
    <w:p>
      <w:pPr>
        <w:spacing w:after="0"/>
        <w:jc w:val="center"/>
        <w:sectPr>
          <w:pgSz w:w="17860" w:h="25260"/>
          <w:pgMar w:top="1920" w:right="0" w:bottom="280" w:left="1500" w:header="708" w:footer="708"/>
          <w:pgNumType w:start="11"/>
          <w:cols w:space="708"/>
        </w:sectPr>
      </w:pPr>
    </w:p>
    <w:p>
      <w:pPr>
        <w:pStyle w:val="BodyText"/>
        <w:ind w:left="800"/>
        <w:rPr>
          <w:sz w:val="20"/>
        </w:rPr>
      </w:pPr>
      <w:r>
        <w:rPr>
          <w:sz w:val="20"/>
        </w:rPr>
        <w:pict>
          <v:group id="_x0000_i1068" style="width:664pt;height:298pt;mso-position-horizontal-relative:char;mso-position-vertical-relative:line" coordorigin="0,0" coordsize="13280,5960">
            <v:shape id="_x0000_s1069" type="#_x0000_t75" style="width:13280;height:5960;position:absolute" stroked="f">
              <v:imagedata r:id="rId7" o:title=""/>
            </v:shape>
            <v:shape id="_x0000_s1070" type="#_x0000_t202" style="width:6307;height:317;left:6791;position:absolute;top:261" filled="f" stroked="f">
              <v:textbox inset="0,0,0,0">
                <w:txbxContent>
                  <w:p>
                    <w:pPr>
                      <w:spacing w:before="0" w:line="317" w:lineRule="exact"/>
                      <w:ind w:left="0" w:right="0" w:firstLine="0"/>
                      <w:jc w:val="left"/>
                      <w:rPr>
                        <w:sz w:val="31"/>
                      </w:rPr>
                    </w:pPr>
                    <w:r>
                      <w:rPr>
                        <w:sz w:val="31"/>
                      </w:rPr>
                      <w:t>废气排放符合标准规定；达标率 90%以上。目</w:t>
                    </w:r>
                  </w:p>
                </w:txbxContent>
              </v:textbox>
            </v:shape>
            <v:shape id="_x0000_s1071" type="#_x0000_t202" style="width:179;height:317;left:634;position:absolute;top:614" filled="f" stroked="f">
              <v:textbox inset="0,0,0,0">
                <w:txbxContent>
                  <w:p>
                    <w:pPr>
                      <w:spacing w:before="0" w:line="317" w:lineRule="exact"/>
                      <w:ind w:left="0" w:right="0" w:firstLine="0"/>
                      <w:jc w:val="left"/>
                      <w:rPr>
                        <w:sz w:val="31"/>
                      </w:rPr>
                    </w:pPr>
                    <w:r>
                      <w:rPr>
                        <w:w w:val="102"/>
                        <w:sz w:val="31"/>
                      </w:rPr>
                      <w:t>2</w:t>
                    </w:r>
                  </w:p>
                </w:txbxContent>
              </v:textbox>
            </v:shape>
            <v:shape id="_x0000_s1072" type="#_x0000_t202" style="width:4456;height:317;left:1801;position:absolute;top:614" filled="f" stroked="f">
              <v:textbox inset="0,0,0,0">
                <w:txbxContent>
                  <w:p>
                    <w:pPr>
                      <w:spacing w:before="0" w:line="317" w:lineRule="exact"/>
                      <w:ind w:left="0" w:right="0" w:firstLine="0"/>
                      <w:jc w:val="left"/>
                      <w:rPr>
                        <w:sz w:val="31"/>
                      </w:rPr>
                    </w:pPr>
                    <w:r>
                      <w:rPr>
                        <w:sz w:val="31"/>
                      </w:rPr>
                      <w:t>减少污染气体排放及扬尘污染。</w:t>
                    </w:r>
                  </w:p>
                </w:txbxContent>
              </v:textbox>
            </v:shape>
            <v:shape id="_x0000_s1073" type="#_x0000_t202" style="width:4673;height:317;left:6791;position:absolute;top:964" filled="f" stroked="f">
              <v:textbox inset="0,0,0,0">
                <w:txbxContent>
                  <w:p>
                    <w:pPr>
                      <w:spacing w:before="0" w:line="317" w:lineRule="exact"/>
                      <w:ind w:left="0" w:right="0" w:firstLine="0"/>
                      <w:jc w:val="left"/>
                      <w:rPr>
                        <w:sz w:val="31"/>
                      </w:rPr>
                    </w:pPr>
                    <w:r>
                      <w:rPr>
                        <w:sz w:val="31"/>
                      </w:rPr>
                      <w:t>测无较浓扬尘。相关方投诉为 0。</w:t>
                    </w:r>
                  </w:p>
                </w:txbxContent>
              </v:textbox>
            </v:shape>
            <v:shape id="_x0000_s1074" type="#_x0000_t202" style="width:6356;height:317;left:6791;position:absolute;top:1687" filled="f" stroked="f">
              <v:textbox inset="0,0,0,0">
                <w:txbxContent>
                  <w:p>
                    <w:pPr>
                      <w:spacing w:before="0" w:line="317" w:lineRule="exact"/>
                      <w:ind w:left="0" w:right="0" w:firstLine="0"/>
                      <w:jc w:val="left"/>
                      <w:rPr>
                        <w:sz w:val="31"/>
                      </w:rPr>
                    </w:pPr>
                    <w:r>
                      <w:rPr>
                        <w:sz w:val="31"/>
                      </w:rPr>
                      <w:t>生活垃圾，统一收集处理。建筑垃圾、废弃材</w:t>
                    </w:r>
                  </w:p>
                </w:txbxContent>
              </v:textbox>
            </v:shape>
            <v:shape id="_x0000_s1075" type="#_x0000_t202" style="width:179;height:317;left:634;position:absolute;top:2040" filled="f" stroked="f">
              <v:textbox inset="0,0,0,0">
                <w:txbxContent>
                  <w:p>
                    <w:pPr>
                      <w:spacing w:before="0" w:line="317" w:lineRule="exact"/>
                      <w:ind w:left="0" w:right="0" w:firstLine="0"/>
                      <w:jc w:val="left"/>
                      <w:rPr>
                        <w:sz w:val="31"/>
                      </w:rPr>
                    </w:pPr>
                    <w:r>
                      <w:rPr>
                        <w:w w:val="102"/>
                        <w:sz w:val="31"/>
                      </w:rPr>
                      <w:t>3</w:t>
                    </w:r>
                  </w:p>
                </w:txbxContent>
              </v:textbox>
            </v:shape>
            <v:shape id="_x0000_s1076" type="#_x0000_t202" style="width:3822;height:317;left:2117;position:absolute;top:2040" filled="f" stroked="f">
              <v:textbox inset="0,0,0,0">
                <w:txbxContent>
                  <w:p>
                    <w:pPr>
                      <w:spacing w:before="0" w:line="317" w:lineRule="exact"/>
                      <w:ind w:left="0" w:right="0" w:firstLine="0"/>
                      <w:jc w:val="left"/>
                      <w:rPr>
                        <w:sz w:val="31"/>
                      </w:rPr>
                    </w:pPr>
                    <w:r>
                      <w:rPr>
                        <w:sz w:val="31"/>
                      </w:rPr>
                      <w:t>生活、生产垃圾分类处理。</w:t>
                    </w:r>
                  </w:p>
                </w:txbxContent>
              </v:textbox>
            </v:shape>
            <v:shape id="_x0000_s1077" type="#_x0000_t202" style="width:2555;height:317;left:6791;position:absolute;top:2389" filled="f" stroked="f">
              <v:textbox inset="0,0,0,0">
                <w:txbxContent>
                  <w:p>
                    <w:pPr>
                      <w:spacing w:before="0" w:line="317" w:lineRule="exact"/>
                      <w:ind w:left="0" w:right="0" w:firstLine="0"/>
                      <w:jc w:val="left"/>
                      <w:rPr>
                        <w:sz w:val="31"/>
                      </w:rPr>
                    </w:pPr>
                    <w:r>
                      <w:rPr>
                        <w:sz w:val="31"/>
                      </w:rPr>
                      <w:t>料统一集中处理。</w:t>
                    </w:r>
                  </w:p>
                </w:txbxContent>
              </v:textbox>
            </v:shape>
            <v:shape id="_x0000_s1078" type="#_x0000_t202" style="width:3505;height:317;left:6791;position:absolute;top:3116" filled="f" stroked="f">
              <v:textbox inset="0,0,0,0">
                <w:txbxContent>
                  <w:p>
                    <w:pPr>
                      <w:spacing w:before="0" w:line="317" w:lineRule="exact"/>
                      <w:ind w:left="0" w:right="0" w:firstLine="0"/>
                      <w:jc w:val="left"/>
                      <w:rPr>
                        <w:sz w:val="31"/>
                      </w:rPr>
                    </w:pPr>
                    <w:r>
                      <w:rPr>
                        <w:sz w:val="31"/>
                      </w:rPr>
                      <w:t>噪声排放符合标准规定。</w:t>
                    </w:r>
                  </w:p>
                </w:txbxContent>
              </v:textbox>
            </v:shape>
            <v:shape id="_x0000_s1079" type="#_x0000_t202" style="width:179;height:317;left:634;position:absolute;top:3466" filled="f" stroked="f">
              <v:textbox inset="0,0,0,0">
                <w:txbxContent>
                  <w:p>
                    <w:pPr>
                      <w:spacing w:before="0" w:line="317" w:lineRule="exact"/>
                      <w:ind w:left="0" w:right="0" w:firstLine="0"/>
                      <w:jc w:val="left"/>
                      <w:rPr>
                        <w:sz w:val="31"/>
                      </w:rPr>
                    </w:pPr>
                    <w:r>
                      <w:rPr>
                        <w:w w:val="102"/>
                        <w:sz w:val="31"/>
                      </w:rPr>
                      <w:t>4</w:t>
                    </w:r>
                  </w:p>
                </w:txbxContent>
              </v:textbox>
            </v:shape>
            <v:shape id="_x0000_s1080" type="#_x0000_t202" style="width:2872;height:317;left:2906;position:absolute;top:3466" filled="f" stroked="f">
              <v:textbox inset="0,0,0,0">
                <w:txbxContent>
                  <w:p>
                    <w:pPr>
                      <w:spacing w:before="0" w:line="317" w:lineRule="exact"/>
                      <w:ind w:left="0" w:right="0" w:firstLine="0"/>
                      <w:jc w:val="left"/>
                      <w:rPr>
                        <w:sz w:val="31"/>
                      </w:rPr>
                    </w:pPr>
                    <w:r>
                      <w:rPr>
                        <w:sz w:val="31"/>
                      </w:rPr>
                      <w:t>噪声排放符合要求。</w:t>
                    </w:r>
                  </w:p>
                </w:txbxContent>
              </v:textbox>
            </v:shape>
            <v:shape id="_x0000_s1081" type="#_x0000_t202" style="width:4990;height:317;left:6791;position:absolute;top:3818" filled="f" stroked="f">
              <v:textbox inset="0,0,0,0">
                <w:txbxContent>
                  <w:p>
                    <w:pPr>
                      <w:spacing w:before="0" w:line="317" w:lineRule="exact"/>
                      <w:ind w:left="0" w:right="0" w:firstLine="0"/>
                      <w:jc w:val="left"/>
                      <w:rPr>
                        <w:sz w:val="31"/>
                      </w:rPr>
                    </w:pPr>
                    <w:r>
                      <w:rPr>
                        <w:sz w:val="31"/>
                      </w:rPr>
                      <w:t>按规定时间施工，相关方投诉为 0。</w:t>
                    </w:r>
                  </w:p>
                </w:txbxContent>
              </v:textbox>
            </v:shape>
            <v:shape id="_x0000_s1082" type="#_x0000_t202" style="width:179;height:317;left:634;position:absolute;top:4632" filled="f" stroked="f">
              <v:textbox inset="0,0,0,0">
                <w:txbxContent>
                  <w:p>
                    <w:pPr>
                      <w:spacing w:before="0" w:line="317" w:lineRule="exact"/>
                      <w:ind w:left="0" w:right="0" w:firstLine="0"/>
                      <w:jc w:val="left"/>
                      <w:rPr>
                        <w:sz w:val="31"/>
                      </w:rPr>
                    </w:pPr>
                    <w:r>
                      <w:rPr>
                        <w:w w:val="102"/>
                        <w:sz w:val="31"/>
                      </w:rPr>
                      <w:t>5</w:t>
                    </w:r>
                  </w:p>
                </w:txbxContent>
              </v:textbox>
            </v:shape>
            <v:shape id="_x0000_s1083" type="#_x0000_t202" style="width:4456;height:317;left:1801;position:absolute;top:4632" filled="f" stroked="f">
              <v:textbox inset="0,0,0,0">
                <w:txbxContent>
                  <w:p>
                    <w:pPr>
                      <w:spacing w:before="0" w:line="317" w:lineRule="exact"/>
                      <w:ind w:left="0" w:right="0" w:firstLine="0"/>
                      <w:jc w:val="left"/>
                      <w:rPr>
                        <w:sz w:val="31"/>
                      </w:rPr>
                    </w:pPr>
                    <w:r>
                      <w:rPr>
                        <w:sz w:val="31"/>
                      </w:rPr>
                      <w:t>危险废弃物处理符合法规要求。</w:t>
                    </w:r>
                  </w:p>
                </w:txbxContent>
              </v:textbox>
            </v:shape>
            <v:shape id="_x0000_s1084" type="#_x0000_t202" style="width:5145;height:317;left:6791;position:absolute;top:4632" filled="f" stroked="f">
              <v:textbox inset="0,0,0,0">
                <w:txbxContent>
                  <w:p>
                    <w:pPr>
                      <w:spacing w:before="0" w:line="317" w:lineRule="exact"/>
                      <w:ind w:left="0" w:right="0" w:firstLine="0"/>
                      <w:jc w:val="left"/>
                      <w:rPr>
                        <w:sz w:val="31"/>
                      </w:rPr>
                    </w:pPr>
                    <w:r>
                      <w:rPr>
                        <w:sz w:val="31"/>
                      </w:rPr>
                      <w:t>分类管理，合理处置，处理率 100%。</w:t>
                    </w:r>
                  </w:p>
                </w:txbxContent>
              </v:textbox>
            </v:shape>
            <v:shape id="_x0000_s1085" type="#_x0000_t202" style="width:179;height:317;left:634;position:absolute;top:5442" filled="f" stroked="f">
              <v:textbox inset="0,0,0,0">
                <w:txbxContent>
                  <w:p>
                    <w:pPr>
                      <w:spacing w:before="0" w:line="317" w:lineRule="exact"/>
                      <w:ind w:left="0" w:right="0" w:firstLine="0"/>
                      <w:jc w:val="left"/>
                      <w:rPr>
                        <w:sz w:val="31"/>
                      </w:rPr>
                    </w:pPr>
                    <w:r>
                      <w:rPr>
                        <w:w w:val="102"/>
                        <w:sz w:val="31"/>
                      </w:rPr>
                      <w:t>6</w:t>
                    </w:r>
                  </w:p>
                </w:txbxContent>
              </v:textbox>
            </v:shape>
            <v:shape id="_x0000_s1086" type="#_x0000_t202" style="width:2555;height:317;left:3064;position:absolute;top:5442" filled="f" stroked="f">
              <v:textbox inset="0,0,0,0">
                <w:txbxContent>
                  <w:p>
                    <w:pPr>
                      <w:spacing w:before="0" w:line="317" w:lineRule="exact"/>
                      <w:ind w:left="0" w:right="0" w:firstLine="0"/>
                      <w:jc w:val="left"/>
                      <w:rPr>
                        <w:sz w:val="31"/>
                      </w:rPr>
                    </w:pPr>
                    <w:r>
                      <w:rPr>
                        <w:sz w:val="31"/>
                      </w:rPr>
                      <w:t>节约水、电能源。</w:t>
                    </w:r>
                  </w:p>
                </w:txbxContent>
              </v:textbox>
            </v:shape>
            <v:shape id="_x0000_s1087" type="#_x0000_t202" style="width:3505;height:317;left:6791;position:absolute;top:5442" filled="f" stroked="f">
              <v:textbox inset="0,0,0,0">
                <w:txbxContent>
                  <w:p>
                    <w:pPr>
                      <w:spacing w:before="0" w:line="317" w:lineRule="exact"/>
                      <w:ind w:left="0" w:right="0" w:firstLine="0"/>
                      <w:jc w:val="left"/>
                      <w:rPr>
                        <w:sz w:val="31"/>
                      </w:rPr>
                    </w:pPr>
                    <w:r>
                      <w:rPr>
                        <w:sz w:val="31"/>
                      </w:rPr>
                      <w:t>按规定使用，按时计量。</w:t>
                    </w:r>
                  </w:p>
                </w:txbxContent>
              </v:textbox>
            </v:shape>
            <w10:wrap type="none"/>
          </v:group>
        </w:pict>
      </w:r>
    </w:p>
    <w:p>
      <w:pPr>
        <w:pStyle w:val="BodyText"/>
        <w:rPr>
          <w:sz w:val="20"/>
        </w:rPr>
      </w:pPr>
    </w:p>
    <w:p>
      <w:pPr>
        <w:pStyle w:val="Heading2"/>
        <w:spacing w:before="212"/>
      </w:pPr>
      <w:r>
        <w:t>、项目部组织机构</w:t>
      </w:r>
    </w:p>
    <w:p>
      <w:pPr>
        <w:pStyle w:val="BodyText"/>
        <w:spacing w:before="9"/>
        <w:rPr>
          <w:b/>
          <w:sz w:val="59"/>
        </w:rPr>
      </w:pPr>
    </w:p>
    <w:p>
      <w:pPr>
        <w:pStyle w:val="BodyText"/>
        <w:spacing w:line="364" w:lineRule="auto"/>
        <w:ind w:left="1200" w:right="2556" w:firstLine="719"/>
      </w:pPr>
      <w:r>
        <w:t xml:space="preserve">为了能对整个工程实施有效地全面统一的施工组织管理，在施工组织过程 </w:t>
      </w:r>
      <w:r>
        <w:rPr>
          <w:spacing w:val="-12"/>
        </w:rPr>
        <w:t>中，成立一个项目部，其基本职责是对整个工程的操作过程进行指导和控制，包</w:t>
      </w:r>
      <w:r>
        <w:rPr>
          <w:spacing w:val="-13"/>
        </w:rPr>
        <w:t>括进度、质量、安全、文明施工等。项目经理部下设项目经理、技术负责人、施</w:t>
      </w:r>
      <w:r>
        <w:rPr>
          <w:spacing w:val="-1"/>
        </w:rPr>
        <w:t>工员、质检员、安全员、测量员、实验员、材料员、造价员、资料员、以及后勤</w:t>
      </w:r>
      <w:r>
        <w:rPr>
          <w:spacing w:val="-13"/>
        </w:rPr>
        <w:t>保卫等人员，同时挑选一批技术高、手艺好的施工班组等到各专业班实施各项工种的施工任务。</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8"/>
        <w:rPr>
          <w:sz w:val="25"/>
        </w:rPr>
      </w:pPr>
    </w:p>
    <w:p>
      <w:pPr>
        <w:pStyle w:val="BodyText"/>
        <w:ind w:right="1498"/>
        <w:jc w:val="center"/>
      </w:pPr>
      <w:r>
        <w:t>项目部管理组织机构</w:t>
      </w:r>
    </w:p>
    <w:p>
      <w:pPr>
        <w:pStyle w:val="BodyText"/>
        <w:spacing w:before="12"/>
        <w:rPr>
          <w:sz w:val="28"/>
        </w:rPr>
      </w:pPr>
      <w:r>
        <w:pict>
          <v:group id="_x0000_s1088" style="width:176pt;height:159pt;margin-top:20.51pt;margin-left:363pt;mso-position-horizontal-relative:page;mso-wrap-distance-left:0;mso-wrap-distance-right:0;position:absolute;z-index:-251655168" coordorigin="7260,410" coordsize="3520,3180">
            <v:shape id="_x0000_s1089" type="#_x0000_t75" style="width:3520;height:3180;left:7260;position:absolute;top:410" stroked="f">
              <v:imagedata r:id="rId8" o:title=""/>
            </v:shape>
            <v:shape id="_x0000_s1090" type="#_x0000_t202" style="width:2555;height:317;left:7745;position:absolute;top:725" filled="f" stroked="f">
              <v:textbox inset="0,0,0,0">
                <w:txbxContent>
                  <w:p>
                    <w:pPr>
                      <w:spacing w:before="0" w:line="317" w:lineRule="exact"/>
                      <w:ind w:left="0" w:right="0" w:firstLine="0"/>
                      <w:jc w:val="left"/>
                      <w:rPr>
                        <w:sz w:val="31"/>
                      </w:rPr>
                    </w:pPr>
                    <w:r>
                      <w:rPr>
                        <w:sz w:val="31"/>
                      </w:rPr>
                      <w:t>项目经理：梁利州</w:t>
                    </w:r>
                  </w:p>
                </w:txbxContent>
              </v:textbox>
            </v:shape>
            <v:shape id="_x0000_s1091" type="#_x0000_t202" style="width:2555;height:317;left:7745;position:absolute;top:2313" filled="f" stroked="f">
              <v:textbox inset="0,0,0,0">
                <w:txbxContent>
                  <w:p>
                    <w:pPr>
                      <w:spacing w:before="0" w:line="317" w:lineRule="exact"/>
                      <w:ind w:left="0" w:right="0" w:firstLine="0"/>
                      <w:jc w:val="left"/>
                      <w:rPr>
                        <w:sz w:val="31"/>
                      </w:rPr>
                    </w:pPr>
                    <w:r>
                      <w:rPr>
                        <w:sz w:val="31"/>
                      </w:rPr>
                      <w:t>技术负责人：肖春</w:t>
                    </w:r>
                  </w:p>
                </w:txbxContent>
              </v:textbox>
            </v:shape>
            <w10:wrap type="topAndBottom"/>
          </v:group>
        </w:pict>
      </w:r>
    </w:p>
    <w:p>
      <w:pPr>
        <w:spacing w:after="0"/>
        <w:rPr>
          <w:sz w:val="28"/>
        </w:rPr>
        <w:sectPr>
          <w:pgSz w:w="17860" w:h="25260"/>
          <w:pgMar w:top="1820" w:right="0" w:bottom="280" w:left="1500" w:header="708" w:footer="708"/>
          <w:pgNumType w:start="12"/>
          <w:cols w:space="708"/>
        </w:sectPr>
      </w:pPr>
    </w:p>
    <w:p>
      <w:pPr>
        <w:pStyle w:val="BodyText"/>
        <w:rPr>
          <w:sz w:val="20"/>
        </w:rPr>
      </w:pPr>
      <w:r>
        <w:drawing>
          <wp:anchor distT="0" distB="0" distL="0" distR="0" simplePos="0" relativeHeight="251662336" behindDoc="1" locked="0" layoutInCell="1" allowOverlap="1">
            <wp:simplePos x="0" y="0"/>
            <wp:positionH relativeFrom="page">
              <wp:posOffset>2260600</wp:posOffset>
            </wp:positionH>
            <wp:positionV relativeFrom="page">
              <wp:posOffset>2044700</wp:posOffset>
            </wp:positionV>
            <wp:extent cx="7233570" cy="3230403"/>
            <wp:effectExtent l="0" t="0" r="0" b="0"/>
            <wp:wrapNone/>
            <wp:docPr id="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6.png"/>
                    <pic:cNvPicPr/>
                  </pic:nvPicPr>
                  <pic:blipFill>
                    <a:blip xmlns:r="http://schemas.openxmlformats.org/officeDocument/2006/relationships" r:embed="rId9" cstate="print"/>
                    <a:stretch>
                      <a:fillRect/>
                    </a:stretch>
                  </pic:blipFill>
                  <pic:spPr>
                    <a:xfrm>
                      <a:off x="0" y="0"/>
                      <a:ext cx="7233570" cy="3230403"/>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after="1"/>
        <w:rPr>
          <w:sz w:val="14"/>
        </w:rPr>
      </w:pPr>
    </w:p>
    <w:tbl>
      <w:tblPr>
        <w:tblStyle w:val="TableNormal0"/>
        <w:tblW w:w="0" w:type="auto"/>
        <w:jc w:val="left"/>
        <w:tblInd w:w="23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4"/>
        <w:gridCol w:w="1461"/>
        <w:gridCol w:w="1551"/>
        <w:gridCol w:w="1508"/>
        <w:gridCol w:w="1490"/>
        <w:gridCol w:w="1497"/>
        <w:gridCol w:w="1555"/>
        <w:gridCol w:w="995"/>
      </w:tblGrid>
      <w:tr>
        <w:tblPrEx>
          <w:tblW w:w="0" w:type="auto"/>
          <w:jc w:val="left"/>
          <w:tblInd w:w="23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7"/>
          <w:jc w:val="left"/>
        </w:trPr>
        <w:tc>
          <w:tcPr>
            <w:tcW w:w="864" w:type="dxa"/>
          </w:tcPr>
          <w:p>
            <w:pPr>
              <w:pStyle w:val="TableParagraph"/>
              <w:spacing w:line="359" w:lineRule="exact"/>
              <w:ind w:left="50"/>
              <w:jc w:val="left"/>
              <w:rPr>
                <w:sz w:val="31"/>
              </w:rPr>
            </w:pPr>
            <w:r>
              <w:rPr>
                <w:w w:val="102"/>
                <w:sz w:val="31"/>
              </w:rPr>
              <w:t>施</w:t>
            </w:r>
          </w:p>
        </w:tc>
        <w:tc>
          <w:tcPr>
            <w:tcW w:w="1461" w:type="dxa"/>
          </w:tcPr>
          <w:p>
            <w:pPr>
              <w:pStyle w:val="TableParagraph"/>
              <w:spacing w:line="359" w:lineRule="exact"/>
              <w:ind w:left="496"/>
              <w:jc w:val="left"/>
              <w:rPr>
                <w:sz w:val="31"/>
              </w:rPr>
            </w:pPr>
            <w:r>
              <w:rPr>
                <w:w w:val="102"/>
                <w:sz w:val="31"/>
              </w:rPr>
              <w:t>质</w:t>
            </w:r>
          </w:p>
        </w:tc>
        <w:tc>
          <w:tcPr>
            <w:tcW w:w="1551" w:type="dxa"/>
          </w:tcPr>
          <w:p>
            <w:pPr>
              <w:pStyle w:val="TableParagraph"/>
              <w:spacing w:line="359" w:lineRule="exact"/>
              <w:ind w:right="586"/>
              <w:jc w:val="right"/>
              <w:rPr>
                <w:sz w:val="31"/>
              </w:rPr>
            </w:pPr>
            <w:r>
              <w:rPr>
                <w:w w:val="102"/>
                <w:sz w:val="31"/>
              </w:rPr>
              <w:t>安</w:t>
            </w:r>
          </w:p>
        </w:tc>
        <w:tc>
          <w:tcPr>
            <w:tcW w:w="1508" w:type="dxa"/>
          </w:tcPr>
          <w:p>
            <w:pPr>
              <w:pStyle w:val="TableParagraph"/>
              <w:spacing w:line="359" w:lineRule="exact"/>
              <w:ind w:left="584"/>
              <w:jc w:val="left"/>
              <w:rPr>
                <w:sz w:val="31"/>
              </w:rPr>
            </w:pPr>
            <w:r>
              <w:rPr>
                <w:w w:val="102"/>
                <w:sz w:val="31"/>
              </w:rPr>
              <w:t>测</w:t>
            </w:r>
          </w:p>
        </w:tc>
        <w:tc>
          <w:tcPr>
            <w:tcW w:w="1490" w:type="dxa"/>
          </w:tcPr>
          <w:p>
            <w:pPr>
              <w:pStyle w:val="TableParagraph"/>
              <w:spacing w:line="359" w:lineRule="exact"/>
              <w:ind w:left="27"/>
              <w:rPr>
                <w:sz w:val="31"/>
              </w:rPr>
            </w:pPr>
            <w:r>
              <w:rPr>
                <w:w w:val="102"/>
                <w:sz w:val="31"/>
              </w:rPr>
              <w:t>实</w:t>
            </w:r>
          </w:p>
        </w:tc>
        <w:tc>
          <w:tcPr>
            <w:tcW w:w="1497" w:type="dxa"/>
          </w:tcPr>
          <w:p>
            <w:pPr>
              <w:pStyle w:val="TableParagraph"/>
              <w:spacing w:line="359" w:lineRule="exact"/>
              <w:ind w:left="564"/>
              <w:jc w:val="left"/>
              <w:rPr>
                <w:sz w:val="31"/>
              </w:rPr>
            </w:pPr>
            <w:r>
              <w:rPr>
                <w:w w:val="102"/>
                <w:sz w:val="31"/>
              </w:rPr>
              <w:t>材</w:t>
            </w:r>
          </w:p>
        </w:tc>
        <w:tc>
          <w:tcPr>
            <w:tcW w:w="1555" w:type="dxa"/>
          </w:tcPr>
          <w:p>
            <w:pPr>
              <w:pStyle w:val="TableParagraph"/>
              <w:spacing w:line="359" w:lineRule="exact"/>
              <w:ind w:right="631"/>
              <w:jc w:val="right"/>
              <w:rPr>
                <w:sz w:val="31"/>
              </w:rPr>
            </w:pPr>
            <w:r>
              <w:rPr>
                <w:w w:val="102"/>
                <w:sz w:val="31"/>
              </w:rPr>
              <w:t>造</w:t>
            </w:r>
          </w:p>
        </w:tc>
        <w:tc>
          <w:tcPr>
            <w:tcW w:w="995" w:type="dxa"/>
          </w:tcPr>
          <w:p>
            <w:pPr>
              <w:pStyle w:val="TableParagraph"/>
              <w:spacing w:line="359" w:lineRule="exact"/>
              <w:ind w:right="55"/>
              <w:jc w:val="right"/>
              <w:rPr>
                <w:sz w:val="31"/>
              </w:rPr>
            </w:pPr>
            <w:r>
              <w:rPr>
                <w:w w:val="102"/>
                <w:sz w:val="31"/>
              </w:rPr>
              <w:t>资</w:t>
            </w:r>
          </w:p>
        </w:tc>
      </w:tr>
      <w:tr>
        <w:tblPrEx>
          <w:tblW w:w="0" w:type="auto"/>
          <w:jc w:val="left"/>
          <w:tblInd w:w="2306" w:type="dxa"/>
          <w:tblLayout w:type="fixed"/>
          <w:tblCellMar>
            <w:top w:w="0" w:type="dxa"/>
            <w:left w:w="0" w:type="dxa"/>
            <w:bottom w:w="0" w:type="dxa"/>
            <w:right w:w="0" w:type="dxa"/>
          </w:tblCellMar>
          <w:tblLook w:val="01E0"/>
        </w:tblPrEx>
        <w:trPr>
          <w:trHeight w:val="478"/>
          <w:jc w:val="left"/>
        </w:trPr>
        <w:tc>
          <w:tcPr>
            <w:tcW w:w="864" w:type="dxa"/>
          </w:tcPr>
          <w:p>
            <w:pPr>
              <w:pStyle w:val="TableParagraph"/>
              <w:spacing w:before="43"/>
              <w:ind w:left="50"/>
              <w:jc w:val="left"/>
              <w:rPr>
                <w:sz w:val="31"/>
              </w:rPr>
            </w:pPr>
            <w:r>
              <w:rPr>
                <w:w w:val="102"/>
                <w:sz w:val="31"/>
              </w:rPr>
              <w:t>工</w:t>
            </w:r>
          </w:p>
        </w:tc>
        <w:tc>
          <w:tcPr>
            <w:tcW w:w="1461" w:type="dxa"/>
          </w:tcPr>
          <w:p>
            <w:pPr>
              <w:pStyle w:val="TableParagraph"/>
              <w:spacing w:before="43"/>
              <w:ind w:left="496"/>
              <w:jc w:val="left"/>
              <w:rPr>
                <w:sz w:val="31"/>
              </w:rPr>
            </w:pPr>
            <w:r>
              <w:rPr>
                <w:w w:val="102"/>
                <w:sz w:val="31"/>
              </w:rPr>
              <w:t>检</w:t>
            </w:r>
          </w:p>
        </w:tc>
        <w:tc>
          <w:tcPr>
            <w:tcW w:w="1551" w:type="dxa"/>
          </w:tcPr>
          <w:p>
            <w:pPr>
              <w:pStyle w:val="TableParagraph"/>
              <w:spacing w:before="43"/>
              <w:ind w:right="586"/>
              <w:jc w:val="right"/>
              <w:rPr>
                <w:sz w:val="31"/>
              </w:rPr>
            </w:pPr>
            <w:r>
              <w:rPr>
                <w:w w:val="102"/>
                <w:sz w:val="31"/>
              </w:rPr>
              <w:t>全</w:t>
            </w:r>
          </w:p>
        </w:tc>
        <w:tc>
          <w:tcPr>
            <w:tcW w:w="1508" w:type="dxa"/>
          </w:tcPr>
          <w:p>
            <w:pPr>
              <w:pStyle w:val="TableParagraph"/>
              <w:spacing w:before="43"/>
              <w:ind w:left="584"/>
              <w:jc w:val="left"/>
              <w:rPr>
                <w:sz w:val="31"/>
              </w:rPr>
            </w:pPr>
            <w:r>
              <w:rPr>
                <w:w w:val="102"/>
                <w:sz w:val="31"/>
              </w:rPr>
              <w:t>量</w:t>
            </w:r>
          </w:p>
        </w:tc>
        <w:tc>
          <w:tcPr>
            <w:tcW w:w="1490" w:type="dxa"/>
          </w:tcPr>
          <w:p>
            <w:pPr>
              <w:pStyle w:val="TableParagraph"/>
              <w:spacing w:before="43"/>
              <w:ind w:left="27"/>
              <w:rPr>
                <w:sz w:val="31"/>
              </w:rPr>
            </w:pPr>
            <w:r>
              <w:rPr>
                <w:w w:val="102"/>
                <w:sz w:val="31"/>
              </w:rPr>
              <w:t>验</w:t>
            </w:r>
          </w:p>
        </w:tc>
        <w:tc>
          <w:tcPr>
            <w:tcW w:w="1497" w:type="dxa"/>
          </w:tcPr>
          <w:p>
            <w:pPr>
              <w:pStyle w:val="TableParagraph"/>
              <w:spacing w:before="43"/>
              <w:ind w:left="564"/>
              <w:jc w:val="left"/>
              <w:rPr>
                <w:sz w:val="31"/>
              </w:rPr>
            </w:pPr>
            <w:r>
              <w:rPr>
                <w:w w:val="102"/>
                <w:sz w:val="31"/>
              </w:rPr>
              <w:t>料</w:t>
            </w:r>
          </w:p>
        </w:tc>
        <w:tc>
          <w:tcPr>
            <w:tcW w:w="1555" w:type="dxa"/>
          </w:tcPr>
          <w:p>
            <w:pPr>
              <w:pStyle w:val="TableParagraph"/>
              <w:spacing w:before="43"/>
              <w:ind w:right="631"/>
              <w:jc w:val="right"/>
              <w:rPr>
                <w:sz w:val="31"/>
              </w:rPr>
            </w:pPr>
            <w:r>
              <w:rPr>
                <w:w w:val="102"/>
                <w:sz w:val="31"/>
              </w:rPr>
              <w:t>价</w:t>
            </w:r>
          </w:p>
        </w:tc>
        <w:tc>
          <w:tcPr>
            <w:tcW w:w="995" w:type="dxa"/>
          </w:tcPr>
          <w:p>
            <w:pPr>
              <w:pStyle w:val="TableParagraph"/>
              <w:spacing w:before="43"/>
              <w:ind w:right="55"/>
              <w:jc w:val="right"/>
              <w:rPr>
                <w:sz w:val="31"/>
              </w:rPr>
            </w:pPr>
            <w:r>
              <w:rPr>
                <w:w w:val="102"/>
                <w:sz w:val="31"/>
              </w:rPr>
              <w:t>料</w:t>
            </w:r>
          </w:p>
        </w:tc>
      </w:tr>
      <w:tr>
        <w:tblPrEx>
          <w:tblW w:w="0" w:type="auto"/>
          <w:jc w:val="left"/>
          <w:tblInd w:w="2306" w:type="dxa"/>
          <w:tblLayout w:type="fixed"/>
          <w:tblCellMar>
            <w:top w:w="0" w:type="dxa"/>
            <w:left w:w="0" w:type="dxa"/>
            <w:bottom w:w="0" w:type="dxa"/>
            <w:right w:w="0" w:type="dxa"/>
          </w:tblCellMar>
          <w:tblLook w:val="01E0"/>
        </w:tblPrEx>
        <w:trPr>
          <w:trHeight w:val="480"/>
          <w:jc w:val="left"/>
        </w:trPr>
        <w:tc>
          <w:tcPr>
            <w:tcW w:w="864" w:type="dxa"/>
          </w:tcPr>
          <w:p>
            <w:pPr>
              <w:pStyle w:val="TableParagraph"/>
              <w:spacing w:before="43"/>
              <w:ind w:left="50"/>
              <w:jc w:val="left"/>
              <w:rPr>
                <w:sz w:val="31"/>
              </w:rPr>
            </w:pPr>
            <w:r>
              <w:rPr>
                <w:w w:val="102"/>
                <w:sz w:val="31"/>
              </w:rPr>
              <w:t>员</w:t>
            </w:r>
          </w:p>
        </w:tc>
        <w:tc>
          <w:tcPr>
            <w:tcW w:w="1461" w:type="dxa"/>
          </w:tcPr>
          <w:p>
            <w:pPr>
              <w:pStyle w:val="TableParagraph"/>
              <w:spacing w:before="43"/>
              <w:ind w:left="496"/>
              <w:jc w:val="left"/>
              <w:rPr>
                <w:sz w:val="31"/>
              </w:rPr>
            </w:pPr>
            <w:r>
              <w:rPr>
                <w:w w:val="102"/>
                <w:sz w:val="31"/>
              </w:rPr>
              <w:t>员</w:t>
            </w:r>
          </w:p>
        </w:tc>
        <w:tc>
          <w:tcPr>
            <w:tcW w:w="1551" w:type="dxa"/>
          </w:tcPr>
          <w:p>
            <w:pPr>
              <w:pStyle w:val="TableParagraph"/>
              <w:spacing w:before="43"/>
              <w:ind w:right="586"/>
              <w:jc w:val="right"/>
              <w:rPr>
                <w:sz w:val="31"/>
              </w:rPr>
            </w:pPr>
            <w:r>
              <w:rPr>
                <w:w w:val="102"/>
                <w:sz w:val="31"/>
              </w:rPr>
              <w:t>员</w:t>
            </w:r>
          </w:p>
        </w:tc>
        <w:tc>
          <w:tcPr>
            <w:tcW w:w="1508" w:type="dxa"/>
          </w:tcPr>
          <w:p>
            <w:pPr>
              <w:pStyle w:val="TableParagraph"/>
              <w:spacing w:before="43"/>
              <w:ind w:left="584"/>
              <w:jc w:val="left"/>
              <w:rPr>
                <w:sz w:val="31"/>
              </w:rPr>
            </w:pPr>
            <w:r>
              <w:rPr>
                <w:w w:val="102"/>
                <w:sz w:val="31"/>
              </w:rPr>
              <w:t>员</w:t>
            </w:r>
          </w:p>
        </w:tc>
        <w:tc>
          <w:tcPr>
            <w:tcW w:w="1490" w:type="dxa"/>
          </w:tcPr>
          <w:p>
            <w:pPr>
              <w:pStyle w:val="TableParagraph"/>
              <w:spacing w:before="43"/>
              <w:ind w:left="27"/>
              <w:rPr>
                <w:sz w:val="31"/>
              </w:rPr>
            </w:pPr>
            <w:r>
              <w:rPr>
                <w:w w:val="102"/>
                <w:sz w:val="31"/>
              </w:rPr>
              <w:t>员</w:t>
            </w:r>
          </w:p>
        </w:tc>
        <w:tc>
          <w:tcPr>
            <w:tcW w:w="1497" w:type="dxa"/>
          </w:tcPr>
          <w:p>
            <w:pPr>
              <w:pStyle w:val="TableParagraph"/>
              <w:spacing w:before="43"/>
              <w:ind w:left="564"/>
              <w:jc w:val="left"/>
              <w:rPr>
                <w:sz w:val="31"/>
              </w:rPr>
            </w:pPr>
            <w:r>
              <w:rPr>
                <w:w w:val="102"/>
                <w:sz w:val="31"/>
              </w:rPr>
              <w:t>员</w:t>
            </w:r>
          </w:p>
        </w:tc>
        <w:tc>
          <w:tcPr>
            <w:tcW w:w="1555" w:type="dxa"/>
          </w:tcPr>
          <w:p>
            <w:pPr>
              <w:pStyle w:val="TableParagraph"/>
              <w:spacing w:before="43"/>
              <w:ind w:right="631"/>
              <w:jc w:val="right"/>
              <w:rPr>
                <w:sz w:val="31"/>
              </w:rPr>
            </w:pPr>
            <w:r>
              <w:rPr>
                <w:w w:val="102"/>
                <w:sz w:val="31"/>
              </w:rPr>
              <w:t>员</w:t>
            </w:r>
          </w:p>
        </w:tc>
        <w:tc>
          <w:tcPr>
            <w:tcW w:w="995" w:type="dxa"/>
          </w:tcPr>
          <w:p>
            <w:pPr>
              <w:pStyle w:val="TableParagraph"/>
              <w:spacing w:before="43"/>
              <w:ind w:right="55"/>
              <w:jc w:val="right"/>
              <w:rPr>
                <w:sz w:val="31"/>
              </w:rPr>
            </w:pPr>
            <w:r>
              <w:rPr>
                <w:w w:val="102"/>
                <w:sz w:val="31"/>
              </w:rPr>
              <w:t>员</w:t>
            </w:r>
          </w:p>
        </w:tc>
      </w:tr>
      <w:tr>
        <w:tblPrEx>
          <w:tblW w:w="0" w:type="auto"/>
          <w:jc w:val="left"/>
          <w:tblInd w:w="2306" w:type="dxa"/>
          <w:tblLayout w:type="fixed"/>
          <w:tblCellMar>
            <w:top w:w="0" w:type="dxa"/>
            <w:left w:w="0" w:type="dxa"/>
            <w:bottom w:w="0" w:type="dxa"/>
            <w:right w:w="0" w:type="dxa"/>
          </w:tblCellMar>
          <w:tblLook w:val="01E0"/>
        </w:tblPrEx>
        <w:trPr>
          <w:trHeight w:val="399"/>
          <w:jc w:val="left"/>
        </w:trPr>
        <w:tc>
          <w:tcPr>
            <w:tcW w:w="864" w:type="dxa"/>
          </w:tcPr>
          <w:p>
            <w:pPr>
              <w:pStyle w:val="TableParagraph"/>
              <w:spacing w:before="45" w:line="335" w:lineRule="exact"/>
              <w:ind w:left="50"/>
              <w:jc w:val="left"/>
              <w:rPr>
                <w:sz w:val="31"/>
              </w:rPr>
            </w:pPr>
            <w:r>
              <w:rPr>
                <w:w w:val="102"/>
                <w:sz w:val="31"/>
              </w:rPr>
              <w:t>：</w:t>
            </w:r>
          </w:p>
        </w:tc>
        <w:tc>
          <w:tcPr>
            <w:tcW w:w="1461" w:type="dxa"/>
          </w:tcPr>
          <w:p>
            <w:pPr>
              <w:pStyle w:val="TableParagraph"/>
              <w:spacing w:before="45" w:line="335" w:lineRule="exact"/>
              <w:ind w:left="496"/>
              <w:jc w:val="left"/>
              <w:rPr>
                <w:sz w:val="31"/>
              </w:rPr>
            </w:pPr>
            <w:r>
              <w:rPr>
                <w:w w:val="102"/>
                <w:sz w:val="31"/>
              </w:rPr>
              <w:t>：</w:t>
            </w:r>
          </w:p>
        </w:tc>
        <w:tc>
          <w:tcPr>
            <w:tcW w:w="1551" w:type="dxa"/>
          </w:tcPr>
          <w:p>
            <w:pPr>
              <w:pStyle w:val="TableParagraph"/>
              <w:spacing w:before="45" w:line="335" w:lineRule="exact"/>
              <w:ind w:right="586"/>
              <w:jc w:val="right"/>
              <w:rPr>
                <w:sz w:val="31"/>
              </w:rPr>
            </w:pPr>
            <w:r>
              <w:rPr>
                <w:w w:val="102"/>
                <w:sz w:val="31"/>
              </w:rPr>
              <w:t>：</w:t>
            </w:r>
          </w:p>
        </w:tc>
        <w:tc>
          <w:tcPr>
            <w:tcW w:w="1508" w:type="dxa"/>
          </w:tcPr>
          <w:p>
            <w:pPr>
              <w:pStyle w:val="TableParagraph"/>
              <w:spacing w:before="45" w:line="335" w:lineRule="exact"/>
              <w:ind w:left="584"/>
              <w:jc w:val="left"/>
              <w:rPr>
                <w:sz w:val="31"/>
              </w:rPr>
            </w:pPr>
            <w:r>
              <w:rPr>
                <w:w w:val="102"/>
                <w:sz w:val="31"/>
              </w:rPr>
              <w:t>：</w:t>
            </w:r>
          </w:p>
        </w:tc>
        <w:tc>
          <w:tcPr>
            <w:tcW w:w="1490" w:type="dxa"/>
          </w:tcPr>
          <w:p>
            <w:pPr>
              <w:pStyle w:val="TableParagraph"/>
              <w:spacing w:before="45" w:line="335" w:lineRule="exact"/>
              <w:ind w:left="27"/>
              <w:rPr>
                <w:sz w:val="31"/>
              </w:rPr>
            </w:pPr>
            <w:r>
              <w:rPr>
                <w:w w:val="102"/>
                <w:sz w:val="31"/>
              </w:rPr>
              <w:t>：</w:t>
            </w:r>
          </w:p>
        </w:tc>
        <w:tc>
          <w:tcPr>
            <w:tcW w:w="1497" w:type="dxa"/>
          </w:tcPr>
          <w:p>
            <w:pPr>
              <w:pStyle w:val="TableParagraph"/>
              <w:spacing w:before="45" w:line="335" w:lineRule="exact"/>
              <w:ind w:left="564"/>
              <w:jc w:val="left"/>
              <w:rPr>
                <w:sz w:val="31"/>
              </w:rPr>
            </w:pPr>
            <w:r>
              <w:rPr>
                <w:w w:val="102"/>
                <w:sz w:val="31"/>
              </w:rPr>
              <w:t>：</w:t>
            </w:r>
          </w:p>
        </w:tc>
        <w:tc>
          <w:tcPr>
            <w:tcW w:w="1555" w:type="dxa"/>
          </w:tcPr>
          <w:p>
            <w:pPr>
              <w:pStyle w:val="TableParagraph"/>
              <w:spacing w:before="45" w:line="335" w:lineRule="exact"/>
              <w:ind w:right="631"/>
              <w:jc w:val="right"/>
              <w:rPr>
                <w:sz w:val="31"/>
              </w:rPr>
            </w:pPr>
            <w:r>
              <w:rPr>
                <w:w w:val="102"/>
                <w:sz w:val="31"/>
              </w:rPr>
              <w:t>：</w:t>
            </w:r>
          </w:p>
        </w:tc>
        <w:tc>
          <w:tcPr>
            <w:tcW w:w="995" w:type="dxa"/>
          </w:tcPr>
          <w:p>
            <w:pPr>
              <w:pStyle w:val="TableParagraph"/>
              <w:spacing w:before="45" w:line="335" w:lineRule="exact"/>
              <w:ind w:right="55"/>
              <w:jc w:val="right"/>
              <w:rPr>
                <w:sz w:val="31"/>
              </w:rPr>
            </w:pPr>
            <w:r>
              <w:rPr>
                <w:w w:val="102"/>
                <w:sz w:val="31"/>
              </w:rPr>
              <w:t>：</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5"/>
        </w:rPr>
      </w:pPr>
    </w:p>
    <w:p>
      <w:pPr>
        <w:pStyle w:val="BodyText"/>
        <w:spacing w:before="50"/>
        <w:ind w:left="1920"/>
      </w:pPr>
      <w:r>
        <w:t>、项目部班子主要成员及技术力量的配备</w:t>
      </w:r>
    </w:p>
    <w:p>
      <w:pPr>
        <w:pStyle w:val="BodyText"/>
        <w:spacing w:before="240" w:line="364" w:lineRule="auto"/>
        <w:ind w:left="1200" w:right="2558" w:firstLine="719"/>
      </w:pPr>
      <w:r>
        <w:rPr>
          <w:spacing w:val="-1"/>
        </w:rPr>
        <w:t>本项目实行公司领导下的项目经理负责制，下设基础处理工程、防水工程、</w:t>
      </w:r>
      <w:r>
        <w:rPr>
          <w:spacing w:val="-12"/>
        </w:rPr>
        <w:t>排水工程、景观工程等四个施工队，选派施工过类似工程，并有丰富施工经验的</w:t>
      </w:r>
      <w:r>
        <w:rPr>
          <w:spacing w:val="-17"/>
        </w:rPr>
        <w:t>梁利州担任项目经理，建立由项目经理负责、技术负责人中间控制，质检员基层</w:t>
      </w:r>
      <w:r>
        <w:rPr>
          <w:spacing w:val="-19"/>
        </w:rPr>
        <w:t>检查的三级管理系统，形成横向从整体工程到各分项工程，纵向从项目经理到作业班组的质量管理网络。现场项目班子主要成员及技术力量配备如下：</w:t>
      </w:r>
    </w:p>
    <w:p>
      <w:pPr>
        <w:pStyle w:val="BodyText"/>
        <w:spacing w:before="5" w:line="364" w:lineRule="auto"/>
        <w:ind w:left="1200" w:right="2517"/>
        <w:jc w:val="both"/>
      </w:pPr>
      <w:r>
        <w:rPr>
          <w:spacing w:val="-16"/>
        </w:rPr>
        <w:t>项目经理梁利州负责项目全面管理，协调工作。施工、质量、安全、材料、预算、</w:t>
      </w:r>
      <w:r>
        <w:t>实验等各个职能管理小组，按岗位要求，配备齐全，建立高效管理的管理部门， 严格岗位责任，各司其职，各负其责，保证工程顺利进行。</w:t>
      </w:r>
    </w:p>
    <w:p>
      <w:pPr>
        <w:pStyle w:val="BodyText"/>
        <w:spacing w:before="4" w:line="364" w:lineRule="auto"/>
        <w:ind w:left="1200" w:right="2628" w:firstLine="539"/>
        <w:jc w:val="both"/>
      </w:pPr>
      <w:r>
        <w:t>为规范对该项目各项管理工作，合同管理及质量、进度的总控制，项目经理部将按照颁布的《质量保证手册</w:t>
      </w:r>
      <w:r>
        <w:rPr>
          <w:spacing w:val="-25"/>
        </w:rPr>
        <w:t>》，《标准工程程序汇编》及《文明施工与成品保</w:t>
      </w:r>
      <w:r>
        <w:t>护管理办法》等程序支持性文件实施管理和控制。</w:t>
      </w:r>
    </w:p>
    <w:p>
      <w:pPr>
        <w:pStyle w:val="BodyText"/>
        <w:spacing w:before="2"/>
        <w:ind w:left="1920"/>
      </w:pPr>
      <w:r>
        <w:t>、现场质量管理组织机构</w:t>
      </w:r>
    </w:p>
    <w:p>
      <w:pPr>
        <w:spacing w:after="0"/>
        <w:sectPr>
          <w:pgSz w:w="17860" w:h="25260"/>
          <w:pgMar w:top="2420" w:right="0" w:bottom="280" w:left="1500" w:header="708" w:footer="708"/>
          <w:pgNumType w:start="13"/>
          <w:cols w:space="708"/>
        </w:sectPr>
      </w:pPr>
    </w:p>
    <w:p>
      <w:pPr>
        <w:pStyle w:val="BodyText"/>
        <w:spacing w:before="35"/>
        <w:ind w:left="1200"/>
      </w:pPr>
      <w:r>
        <w:t>现场质量管理组织机构，见下图：</w:t>
      </w:r>
    </w:p>
    <w:p>
      <w:pPr>
        <w:pStyle w:val="BodyText"/>
        <w:spacing w:before="11"/>
        <w:rPr>
          <w:sz w:val="25"/>
        </w:rPr>
      </w:pPr>
    </w:p>
    <w:p>
      <w:pPr>
        <w:pStyle w:val="BodyText"/>
        <w:ind w:right="1448"/>
        <w:jc w:val="center"/>
      </w:pPr>
      <w:r>
        <w:pict>
          <v:group id="_x0000_s1092" style="width:615pt;height:507pt;margin-top:31.71pt;margin-left:2in;mso-position-horizontal-relative:page;position:absolute;z-index:-251653120" coordorigin="2880,634" coordsize="12300,10140">
            <v:shape id="_x0000_s1093" type="#_x0000_t75" style="width:12300;height:10140;left:2880;position:absolute;top:634" stroked="f">
              <v:imagedata r:id="rId10" o:title=""/>
            </v:shape>
            <v:shape id="_x0000_s1094" type="#_x0000_t202" style="width:2555;height:738;left:7637;position:absolute;top:758" filled="f" stroked="f">
              <v:textbox inset="0,0,0,0">
                <w:txbxContent>
                  <w:p>
                    <w:pPr>
                      <w:spacing w:before="0" w:line="359" w:lineRule="exact"/>
                      <w:ind w:left="0" w:right="0" w:firstLine="0"/>
                      <w:jc w:val="left"/>
                      <w:rPr>
                        <w:sz w:val="31"/>
                      </w:rPr>
                    </w:pPr>
                    <w:r>
                      <w:rPr>
                        <w:sz w:val="31"/>
                      </w:rPr>
                      <w:t>项目经理：梁利州</w:t>
                    </w:r>
                  </w:p>
                  <w:p>
                    <w:pPr>
                      <w:spacing w:before="24" w:line="355" w:lineRule="exact"/>
                      <w:ind w:left="0" w:right="0" w:firstLine="0"/>
                      <w:jc w:val="left"/>
                      <w:rPr>
                        <w:sz w:val="31"/>
                      </w:rPr>
                    </w:pPr>
                    <w:r>
                      <w:rPr>
                        <w:sz w:val="31"/>
                      </w:rPr>
                      <w:t>质量管理领导组长</w:t>
                    </w:r>
                  </w:p>
                </w:txbxContent>
              </v:textbox>
            </v:shape>
            <v:shape id="_x0000_s1095" type="#_x0000_t202" style="width:2555;height:738;left:7637;position:absolute;top:2374" filled="f" stroked="f">
              <v:textbox inset="0,0,0,0">
                <w:txbxContent>
                  <w:p>
                    <w:pPr>
                      <w:spacing w:before="0" w:line="359" w:lineRule="exact"/>
                      <w:ind w:left="0" w:right="0" w:firstLine="0"/>
                      <w:jc w:val="left"/>
                      <w:rPr>
                        <w:sz w:val="31"/>
                      </w:rPr>
                    </w:pPr>
                    <w:r>
                      <w:rPr>
                        <w:sz w:val="31"/>
                      </w:rPr>
                      <w:t>技术负责人：肖春</w:t>
                    </w:r>
                  </w:p>
                  <w:p>
                    <w:pPr>
                      <w:spacing w:before="24" w:line="355" w:lineRule="exact"/>
                      <w:ind w:left="158" w:right="0" w:firstLine="0"/>
                      <w:jc w:val="left"/>
                      <w:rPr>
                        <w:sz w:val="31"/>
                      </w:rPr>
                    </w:pPr>
                    <w:r>
                      <w:rPr>
                        <w:sz w:val="31"/>
                      </w:rPr>
                      <w:t>质量领导副组长</w:t>
                    </w:r>
                  </w:p>
                </w:txbxContent>
              </v:textbox>
            </v:shape>
            <v:shape id="_x0000_s1096" type="#_x0000_t202" style="width:2238;height:317;left:7774;position:absolute;top:4167" filled="f" stroked="f">
              <v:textbox inset="0,0,0,0">
                <w:txbxContent>
                  <w:p>
                    <w:pPr>
                      <w:spacing w:before="0" w:line="317" w:lineRule="exact"/>
                      <w:ind w:left="0" w:right="0" w:firstLine="0"/>
                      <w:jc w:val="left"/>
                      <w:rPr>
                        <w:sz w:val="31"/>
                      </w:rPr>
                    </w:pPr>
                    <w:r>
                      <w:rPr>
                        <w:sz w:val="31"/>
                      </w:rPr>
                      <w:t>质检员：廖娟梅</w:t>
                    </w:r>
                  </w:p>
                </w:txbxContent>
              </v:textbox>
            </v:shape>
            <v:shape id="_x0000_s1097" type="#_x0000_t202" style="width:352;height:1728;left:14532;position:absolute;top:5813" filled="f" stroked="f">
              <v:textbox inset="0,0,0,0">
                <w:txbxContent>
                  <w:p>
                    <w:pPr>
                      <w:spacing w:before="0" w:line="359" w:lineRule="exact"/>
                      <w:ind w:left="0" w:right="0" w:firstLine="0"/>
                      <w:jc w:val="left"/>
                      <w:rPr>
                        <w:sz w:val="31"/>
                      </w:rPr>
                    </w:pPr>
                    <w:r>
                      <w:rPr>
                        <w:w w:val="102"/>
                        <w:sz w:val="31"/>
                      </w:rPr>
                      <w:t>材</w:t>
                    </w:r>
                  </w:p>
                  <w:p>
                    <w:pPr>
                      <w:spacing w:before="81" w:line="290" w:lineRule="auto"/>
                      <w:ind w:left="0" w:right="32" w:firstLine="0"/>
                      <w:jc w:val="left"/>
                      <w:rPr>
                        <w:sz w:val="31"/>
                      </w:rPr>
                    </w:pPr>
                    <w:r>
                      <w:rPr>
                        <w:sz w:val="31"/>
                      </w:rPr>
                      <w:t>料员</w:t>
                    </w:r>
                  </w:p>
                  <w:p>
                    <w:pPr>
                      <w:spacing w:before="0" w:line="326" w:lineRule="exact"/>
                      <w:ind w:left="14" w:right="0" w:firstLine="0"/>
                      <w:jc w:val="left"/>
                      <w:rPr>
                        <w:sz w:val="31"/>
                      </w:rPr>
                    </w:pPr>
                    <w:r>
                      <w:rPr>
                        <w:w w:val="102"/>
                        <w:sz w:val="31"/>
                      </w:rPr>
                      <w:t>：</w:t>
                    </w:r>
                  </w:p>
                </w:txbxContent>
              </v:textbox>
            </v:shape>
            <v:shape id="_x0000_s1098" type="#_x0000_t202" style="width:1604;height:317;left:8083;position:absolute;top:10112" filled="f" stroked="f">
              <v:textbox inset="0,0,0,0">
                <w:txbxContent>
                  <w:p>
                    <w:pPr>
                      <w:spacing w:before="0" w:line="317" w:lineRule="exact"/>
                      <w:ind w:left="0" w:right="0" w:firstLine="0"/>
                      <w:jc w:val="left"/>
                      <w:rPr>
                        <w:sz w:val="31"/>
                      </w:rPr>
                    </w:pPr>
                    <w:r>
                      <w:rPr>
                        <w:sz w:val="31"/>
                      </w:rPr>
                      <w:t>各施工队伍</w:t>
                    </w:r>
                  </w:p>
                </w:txbxContent>
              </v:textbox>
            </v:shape>
          </v:group>
        </w:pict>
      </w:r>
      <w:r>
        <w:t>现场质量管理组织机构</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5"/>
        </w:rPr>
      </w:pPr>
    </w:p>
    <w:tbl>
      <w:tblPr>
        <w:tblStyle w:val="TableNormal1"/>
        <w:tblW w:w="0" w:type="auto"/>
        <w:jc w:val="left"/>
        <w:tblInd w:w="16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61"/>
        <w:gridCol w:w="1756"/>
        <w:gridCol w:w="1806"/>
        <w:gridCol w:w="2009"/>
        <w:gridCol w:w="1905"/>
        <w:gridCol w:w="1107"/>
      </w:tblGrid>
      <w:tr>
        <w:tblPrEx>
          <w:tblW w:w="0" w:type="auto"/>
          <w:jc w:val="left"/>
          <w:tblInd w:w="16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0"/>
          <w:jc w:val="left"/>
        </w:trPr>
        <w:tc>
          <w:tcPr>
            <w:tcW w:w="1161" w:type="dxa"/>
          </w:tcPr>
          <w:p>
            <w:pPr>
              <w:pStyle w:val="TableParagraph"/>
              <w:spacing w:line="371" w:lineRule="exact"/>
              <w:ind w:left="50"/>
              <w:jc w:val="left"/>
              <w:rPr>
                <w:sz w:val="31"/>
              </w:rPr>
            </w:pPr>
            <w:r>
              <w:rPr>
                <w:w w:val="102"/>
                <w:sz w:val="31"/>
              </w:rPr>
              <w:t>施</w:t>
            </w:r>
          </w:p>
        </w:tc>
        <w:tc>
          <w:tcPr>
            <w:tcW w:w="1756" w:type="dxa"/>
          </w:tcPr>
          <w:p>
            <w:pPr>
              <w:pStyle w:val="TableParagraph"/>
              <w:spacing w:line="363" w:lineRule="exact"/>
              <w:ind w:right="643"/>
              <w:jc w:val="right"/>
              <w:rPr>
                <w:sz w:val="31"/>
              </w:rPr>
            </w:pPr>
            <w:r>
              <w:rPr>
                <w:w w:val="102"/>
                <w:sz w:val="31"/>
              </w:rPr>
              <w:t>安</w:t>
            </w:r>
          </w:p>
        </w:tc>
        <w:tc>
          <w:tcPr>
            <w:tcW w:w="1806" w:type="dxa"/>
          </w:tcPr>
          <w:p>
            <w:pPr>
              <w:pStyle w:val="TableParagraph"/>
              <w:spacing w:line="359" w:lineRule="exact"/>
              <w:ind w:left="643"/>
              <w:jc w:val="left"/>
              <w:rPr>
                <w:sz w:val="31"/>
              </w:rPr>
            </w:pPr>
            <w:r>
              <w:rPr>
                <w:w w:val="102"/>
                <w:sz w:val="31"/>
              </w:rPr>
              <w:t>测</w:t>
            </w:r>
          </w:p>
        </w:tc>
        <w:tc>
          <w:tcPr>
            <w:tcW w:w="2009" w:type="dxa"/>
          </w:tcPr>
          <w:p>
            <w:pPr>
              <w:pStyle w:val="TableParagraph"/>
              <w:spacing w:line="359" w:lineRule="exact"/>
              <w:ind w:right="847"/>
              <w:jc w:val="right"/>
              <w:rPr>
                <w:sz w:val="31"/>
              </w:rPr>
            </w:pPr>
            <w:r>
              <w:rPr>
                <w:w w:val="102"/>
                <w:sz w:val="31"/>
              </w:rPr>
              <w:t>实</w:t>
            </w:r>
          </w:p>
        </w:tc>
        <w:tc>
          <w:tcPr>
            <w:tcW w:w="1905" w:type="dxa"/>
          </w:tcPr>
          <w:p>
            <w:pPr>
              <w:pStyle w:val="TableParagraph"/>
              <w:spacing w:line="359" w:lineRule="exact"/>
              <w:ind w:right="740"/>
              <w:jc w:val="right"/>
              <w:rPr>
                <w:sz w:val="31"/>
              </w:rPr>
            </w:pPr>
            <w:r>
              <w:rPr>
                <w:w w:val="102"/>
                <w:sz w:val="31"/>
              </w:rPr>
              <w:t>材</w:t>
            </w:r>
          </w:p>
        </w:tc>
        <w:tc>
          <w:tcPr>
            <w:tcW w:w="1107" w:type="dxa"/>
          </w:tcPr>
          <w:p>
            <w:pPr>
              <w:pStyle w:val="TableParagraph"/>
              <w:spacing w:line="359" w:lineRule="exact"/>
              <w:ind w:right="49"/>
              <w:jc w:val="right"/>
              <w:rPr>
                <w:sz w:val="31"/>
              </w:rPr>
            </w:pPr>
            <w:r>
              <w:rPr>
                <w:w w:val="102"/>
                <w:sz w:val="31"/>
              </w:rPr>
              <w:t>造</w:t>
            </w:r>
          </w:p>
        </w:tc>
      </w:tr>
      <w:tr>
        <w:tblPrEx>
          <w:tblW w:w="0" w:type="auto"/>
          <w:jc w:val="left"/>
          <w:tblInd w:w="1626" w:type="dxa"/>
          <w:tblLayout w:type="fixed"/>
          <w:tblCellMar>
            <w:top w:w="0" w:type="dxa"/>
            <w:left w:w="0" w:type="dxa"/>
            <w:bottom w:w="0" w:type="dxa"/>
            <w:right w:w="0" w:type="dxa"/>
          </w:tblCellMar>
          <w:tblLook w:val="01E0"/>
        </w:tblPrEx>
        <w:trPr>
          <w:trHeight w:val="450"/>
          <w:jc w:val="left"/>
        </w:trPr>
        <w:tc>
          <w:tcPr>
            <w:tcW w:w="1161" w:type="dxa"/>
          </w:tcPr>
          <w:p>
            <w:pPr>
              <w:pStyle w:val="TableParagraph"/>
              <w:spacing w:before="36" w:line="394" w:lineRule="exact"/>
              <w:ind w:left="50"/>
              <w:jc w:val="left"/>
              <w:rPr>
                <w:sz w:val="31"/>
              </w:rPr>
            </w:pPr>
            <w:r>
              <w:rPr>
                <w:w w:val="102"/>
                <w:sz w:val="31"/>
              </w:rPr>
              <w:t>工</w:t>
            </w:r>
          </w:p>
        </w:tc>
        <w:tc>
          <w:tcPr>
            <w:tcW w:w="1756" w:type="dxa"/>
          </w:tcPr>
          <w:p>
            <w:pPr>
              <w:pStyle w:val="TableParagraph"/>
              <w:spacing w:before="25"/>
              <w:ind w:right="643"/>
              <w:jc w:val="right"/>
              <w:rPr>
                <w:sz w:val="31"/>
              </w:rPr>
            </w:pPr>
            <w:r>
              <w:rPr>
                <w:w w:val="102"/>
                <w:sz w:val="31"/>
              </w:rPr>
              <w:t>全</w:t>
            </w:r>
          </w:p>
        </w:tc>
        <w:tc>
          <w:tcPr>
            <w:tcW w:w="1806" w:type="dxa"/>
          </w:tcPr>
          <w:p>
            <w:pPr>
              <w:pStyle w:val="TableParagraph"/>
              <w:spacing w:before="21"/>
              <w:ind w:left="643"/>
              <w:jc w:val="left"/>
              <w:rPr>
                <w:sz w:val="31"/>
              </w:rPr>
            </w:pPr>
            <w:r>
              <w:rPr>
                <w:w w:val="102"/>
                <w:sz w:val="31"/>
              </w:rPr>
              <w:t>量</w:t>
            </w:r>
          </w:p>
        </w:tc>
        <w:tc>
          <w:tcPr>
            <w:tcW w:w="2009" w:type="dxa"/>
          </w:tcPr>
          <w:p>
            <w:pPr>
              <w:pStyle w:val="TableParagraph"/>
              <w:spacing w:before="21"/>
              <w:ind w:right="847"/>
              <w:jc w:val="right"/>
              <w:rPr>
                <w:sz w:val="31"/>
              </w:rPr>
            </w:pPr>
            <w:r>
              <w:rPr>
                <w:w w:val="102"/>
                <w:sz w:val="31"/>
              </w:rPr>
              <w:t>验</w:t>
            </w:r>
          </w:p>
        </w:tc>
        <w:tc>
          <w:tcPr>
            <w:tcW w:w="1905" w:type="dxa"/>
          </w:tcPr>
          <w:p>
            <w:pPr>
              <w:pStyle w:val="TableParagraph"/>
              <w:spacing w:before="21"/>
              <w:ind w:right="740"/>
              <w:jc w:val="right"/>
              <w:rPr>
                <w:sz w:val="31"/>
              </w:rPr>
            </w:pPr>
            <w:r>
              <w:rPr>
                <w:w w:val="102"/>
                <w:sz w:val="31"/>
              </w:rPr>
              <w:t>料</w:t>
            </w:r>
          </w:p>
        </w:tc>
        <w:tc>
          <w:tcPr>
            <w:tcW w:w="1107" w:type="dxa"/>
          </w:tcPr>
          <w:p>
            <w:pPr>
              <w:pStyle w:val="TableParagraph"/>
              <w:spacing w:before="21"/>
              <w:ind w:right="49"/>
              <w:jc w:val="right"/>
              <w:rPr>
                <w:sz w:val="31"/>
              </w:rPr>
            </w:pPr>
            <w:r>
              <w:rPr>
                <w:w w:val="102"/>
                <w:sz w:val="31"/>
              </w:rPr>
              <w:t>价</w:t>
            </w:r>
          </w:p>
        </w:tc>
      </w:tr>
      <w:tr>
        <w:tblPrEx>
          <w:tblW w:w="0" w:type="auto"/>
          <w:jc w:val="left"/>
          <w:tblInd w:w="1626" w:type="dxa"/>
          <w:tblLayout w:type="fixed"/>
          <w:tblCellMar>
            <w:top w:w="0" w:type="dxa"/>
            <w:left w:w="0" w:type="dxa"/>
            <w:bottom w:w="0" w:type="dxa"/>
            <w:right w:w="0" w:type="dxa"/>
          </w:tblCellMar>
          <w:tblLook w:val="01E0"/>
        </w:tblPrEx>
        <w:trPr>
          <w:trHeight w:val="450"/>
          <w:jc w:val="left"/>
        </w:trPr>
        <w:tc>
          <w:tcPr>
            <w:tcW w:w="1161" w:type="dxa"/>
          </w:tcPr>
          <w:p>
            <w:pPr>
              <w:pStyle w:val="TableParagraph"/>
              <w:spacing w:before="36" w:line="394" w:lineRule="exact"/>
              <w:ind w:left="50"/>
              <w:jc w:val="left"/>
              <w:rPr>
                <w:sz w:val="31"/>
              </w:rPr>
            </w:pPr>
            <w:r>
              <w:rPr>
                <w:w w:val="102"/>
                <w:sz w:val="31"/>
              </w:rPr>
              <w:t>员</w:t>
            </w:r>
          </w:p>
        </w:tc>
        <w:tc>
          <w:tcPr>
            <w:tcW w:w="1756" w:type="dxa"/>
          </w:tcPr>
          <w:p>
            <w:pPr>
              <w:pStyle w:val="TableParagraph"/>
              <w:spacing w:before="25"/>
              <w:ind w:right="643"/>
              <w:jc w:val="right"/>
              <w:rPr>
                <w:sz w:val="31"/>
              </w:rPr>
            </w:pPr>
            <w:r>
              <w:rPr>
                <w:w w:val="102"/>
                <w:sz w:val="31"/>
              </w:rPr>
              <w:t>员</w:t>
            </w:r>
          </w:p>
        </w:tc>
        <w:tc>
          <w:tcPr>
            <w:tcW w:w="1806" w:type="dxa"/>
          </w:tcPr>
          <w:p>
            <w:pPr>
              <w:pStyle w:val="TableParagraph"/>
              <w:spacing w:before="21"/>
              <w:ind w:left="643"/>
              <w:jc w:val="left"/>
              <w:rPr>
                <w:sz w:val="31"/>
              </w:rPr>
            </w:pPr>
            <w:r>
              <w:rPr>
                <w:w w:val="102"/>
                <w:sz w:val="31"/>
              </w:rPr>
              <w:t>员</w:t>
            </w:r>
          </w:p>
        </w:tc>
        <w:tc>
          <w:tcPr>
            <w:tcW w:w="2009" w:type="dxa"/>
          </w:tcPr>
          <w:p>
            <w:pPr>
              <w:pStyle w:val="TableParagraph"/>
              <w:spacing w:before="21"/>
              <w:ind w:right="847"/>
              <w:jc w:val="right"/>
              <w:rPr>
                <w:sz w:val="31"/>
              </w:rPr>
            </w:pPr>
            <w:r>
              <w:rPr>
                <w:w w:val="102"/>
                <w:sz w:val="31"/>
              </w:rPr>
              <w:t>员</w:t>
            </w:r>
          </w:p>
        </w:tc>
        <w:tc>
          <w:tcPr>
            <w:tcW w:w="1905" w:type="dxa"/>
          </w:tcPr>
          <w:p>
            <w:pPr>
              <w:pStyle w:val="TableParagraph"/>
              <w:spacing w:before="21"/>
              <w:ind w:right="740"/>
              <w:jc w:val="right"/>
              <w:rPr>
                <w:sz w:val="31"/>
              </w:rPr>
            </w:pPr>
            <w:r>
              <w:rPr>
                <w:w w:val="102"/>
                <w:sz w:val="31"/>
              </w:rPr>
              <w:t>员</w:t>
            </w:r>
          </w:p>
        </w:tc>
        <w:tc>
          <w:tcPr>
            <w:tcW w:w="1107" w:type="dxa"/>
          </w:tcPr>
          <w:p>
            <w:pPr>
              <w:pStyle w:val="TableParagraph"/>
              <w:spacing w:before="21"/>
              <w:ind w:right="49"/>
              <w:jc w:val="right"/>
              <w:rPr>
                <w:sz w:val="31"/>
              </w:rPr>
            </w:pPr>
            <w:r>
              <w:rPr>
                <w:w w:val="102"/>
                <w:sz w:val="31"/>
              </w:rPr>
              <w:t>员</w:t>
            </w:r>
          </w:p>
        </w:tc>
      </w:tr>
      <w:tr>
        <w:tblPrEx>
          <w:tblW w:w="0" w:type="auto"/>
          <w:jc w:val="left"/>
          <w:tblInd w:w="1626" w:type="dxa"/>
          <w:tblLayout w:type="fixed"/>
          <w:tblCellMar>
            <w:top w:w="0" w:type="dxa"/>
            <w:left w:w="0" w:type="dxa"/>
            <w:bottom w:w="0" w:type="dxa"/>
            <w:right w:w="0" w:type="dxa"/>
          </w:tblCellMar>
          <w:tblLook w:val="01E0"/>
        </w:tblPrEx>
        <w:trPr>
          <w:trHeight w:val="390"/>
          <w:jc w:val="left"/>
        </w:trPr>
        <w:tc>
          <w:tcPr>
            <w:tcW w:w="1161" w:type="dxa"/>
          </w:tcPr>
          <w:p>
            <w:pPr>
              <w:pStyle w:val="TableParagraph"/>
              <w:spacing w:before="36" w:line="335" w:lineRule="exact"/>
              <w:ind w:left="50"/>
              <w:jc w:val="left"/>
              <w:rPr>
                <w:sz w:val="31"/>
              </w:rPr>
            </w:pPr>
            <w:r>
              <w:rPr>
                <w:w w:val="102"/>
                <w:sz w:val="31"/>
              </w:rPr>
              <w:t>：</w:t>
            </w:r>
          </w:p>
        </w:tc>
        <w:tc>
          <w:tcPr>
            <w:tcW w:w="1756" w:type="dxa"/>
          </w:tcPr>
          <w:p>
            <w:pPr>
              <w:pStyle w:val="TableParagraph"/>
              <w:spacing w:before="25" w:line="345" w:lineRule="exact"/>
              <w:ind w:right="643"/>
              <w:jc w:val="right"/>
              <w:rPr>
                <w:sz w:val="31"/>
              </w:rPr>
            </w:pPr>
            <w:r>
              <w:rPr>
                <w:w w:val="102"/>
                <w:sz w:val="31"/>
              </w:rPr>
              <w:t>：</w:t>
            </w:r>
          </w:p>
        </w:tc>
        <w:tc>
          <w:tcPr>
            <w:tcW w:w="1806" w:type="dxa"/>
          </w:tcPr>
          <w:p>
            <w:pPr>
              <w:pStyle w:val="TableParagraph"/>
              <w:spacing w:before="21" w:line="349" w:lineRule="exact"/>
              <w:ind w:left="643"/>
              <w:jc w:val="left"/>
              <w:rPr>
                <w:sz w:val="31"/>
              </w:rPr>
            </w:pPr>
            <w:r>
              <w:rPr>
                <w:w w:val="102"/>
                <w:sz w:val="31"/>
              </w:rPr>
              <w:t>：</w:t>
            </w:r>
          </w:p>
        </w:tc>
        <w:tc>
          <w:tcPr>
            <w:tcW w:w="2009" w:type="dxa"/>
          </w:tcPr>
          <w:p>
            <w:pPr>
              <w:pStyle w:val="TableParagraph"/>
              <w:spacing w:before="21" w:line="349" w:lineRule="exact"/>
              <w:ind w:right="847"/>
              <w:jc w:val="right"/>
              <w:rPr>
                <w:sz w:val="31"/>
              </w:rPr>
            </w:pPr>
            <w:r>
              <w:rPr>
                <w:w w:val="102"/>
                <w:sz w:val="31"/>
              </w:rPr>
              <w:t>：</w:t>
            </w:r>
          </w:p>
        </w:tc>
        <w:tc>
          <w:tcPr>
            <w:tcW w:w="1905" w:type="dxa"/>
          </w:tcPr>
          <w:p>
            <w:pPr>
              <w:pStyle w:val="TableParagraph"/>
              <w:spacing w:before="21" w:line="349" w:lineRule="exact"/>
              <w:ind w:right="740"/>
              <w:jc w:val="right"/>
              <w:rPr>
                <w:sz w:val="31"/>
              </w:rPr>
            </w:pPr>
            <w:r>
              <w:rPr>
                <w:w w:val="102"/>
                <w:sz w:val="31"/>
              </w:rPr>
              <w:t>：</w:t>
            </w:r>
          </w:p>
        </w:tc>
        <w:tc>
          <w:tcPr>
            <w:tcW w:w="1107" w:type="dxa"/>
          </w:tcPr>
          <w:p>
            <w:pPr>
              <w:pStyle w:val="TableParagraph"/>
              <w:spacing w:before="21" w:line="349" w:lineRule="exact"/>
              <w:ind w:right="49"/>
              <w:jc w:val="right"/>
              <w:rPr>
                <w:sz w:val="31"/>
              </w:rPr>
            </w:pPr>
            <w:r>
              <w:rPr>
                <w:w w:val="102"/>
                <w:sz w:val="31"/>
              </w:rPr>
              <w:t>：</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9"/>
        </w:rPr>
      </w:pPr>
    </w:p>
    <w:p>
      <w:pPr>
        <w:pStyle w:val="BodyText"/>
        <w:spacing w:before="50"/>
        <w:ind w:left="1920"/>
      </w:pPr>
      <w:r>
        <w:t>、项目部的组成与要求</w:t>
      </w:r>
    </w:p>
    <w:p>
      <w:pPr>
        <w:pStyle w:val="BodyText"/>
        <w:spacing w:before="240"/>
        <w:ind w:left="2100"/>
      </w:pPr>
      <w:r>
        <w:t>1、实行公司领导下的项目经理负责制，直接面对项目进行综合协调、管理。</w:t>
      </w:r>
    </w:p>
    <w:p>
      <w:pPr>
        <w:pStyle w:val="BodyText"/>
        <w:spacing w:before="241" w:line="364" w:lineRule="auto"/>
        <w:ind w:left="1200" w:right="2699" w:firstLine="900"/>
      </w:pPr>
      <w:r>
        <w:t>2</w:t>
      </w:r>
      <w:r>
        <w:rPr>
          <w:spacing w:val="-13"/>
        </w:rPr>
        <w:t>、选派具有丰富施工管理经验和综合协调能力的工程师，担任该工程项目</w:t>
      </w:r>
      <w:r>
        <w:t>经理，负责本工程的组织管理工作。</w:t>
      </w:r>
    </w:p>
    <w:p>
      <w:pPr>
        <w:pStyle w:val="BodyText"/>
        <w:spacing w:before="2" w:line="364" w:lineRule="auto"/>
        <w:ind w:left="1200" w:right="2514" w:firstLine="900"/>
        <w:jc w:val="right"/>
      </w:pPr>
      <w:r>
        <w:t>3、挑选思想、技术业务过硬的，并参加过类似工程施工、经验丰富的技术骨干组建项目部，扎扎实实、兢兢业业、认真负责、出色完成该工程施工任务。 4、项目部建立高效合理的管理部门，科室齐全，按岗设人，严格岗位责任，</w:t>
      </w:r>
    </w:p>
    <w:p>
      <w:pPr>
        <w:pStyle w:val="BodyText"/>
        <w:spacing w:before="4" w:line="364" w:lineRule="auto"/>
        <w:ind w:left="1200" w:right="2556"/>
      </w:pPr>
      <w:r>
        <w:t>各司其职，各负其责，项目部将每天召开工程碰头会，以加强内部各方面管理， 主动配合和协助业主做好其它管理工作，保证工程顺利进行。</w:t>
      </w:r>
    </w:p>
    <w:p>
      <w:pPr>
        <w:pStyle w:val="BodyText"/>
        <w:spacing w:before="2"/>
        <w:rPr>
          <w:sz w:val="29"/>
        </w:rPr>
      </w:pPr>
    </w:p>
    <w:p>
      <w:pPr>
        <w:pStyle w:val="Heading2"/>
      </w:pPr>
      <w:r>
        <w:t>、施工准备</w:t>
      </w:r>
    </w:p>
    <w:p>
      <w:pPr>
        <w:pStyle w:val="BodyText"/>
        <w:spacing w:before="12"/>
        <w:rPr>
          <w:b/>
          <w:sz w:val="59"/>
        </w:rPr>
      </w:pPr>
    </w:p>
    <w:p>
      <w:pPr>
        <w:pStyle w:val="BodyText"/>
        <w:ind w:left="1920"/>
      </w:pPr>
      <w:r>
        <w:t>、制定施工准备工作计划</w:t>
      </w:r>
    </w:p>
    <w:p>
      <w:pPr>
        <w:spacing w:after="0"/>
        <w:sectPr>
          <w:pgSz w:w="17860" w:h="25260"/>
          <w:pgMar w:top="1920" w:right="0" w:bottom="280" w:left="1500" w:header="708" w:footer="708"/>
          <w:pgNumType w:start="14"/>
          <w:cols w:space="708"/>
        </w:sectPr>
      </w:pPr>
    </w:p>
    <w:p>
      <w:pPr>
        <w:pStyle w:val="BodyText"/>
        <w:spacing w:before="35" w:line="364" w:lineRule="auto"/>
        <w:ind w:left="1200" w:right="2697" w:firstLine="719"/>
        <w:jc w:val="both"/>
      </w:pPr>
      <w:r>
        <w:rPr>
          <w:spacing w:val="-10"/>
        </w:rPr>
        <w:t>工程项目施工准备分为技术准备、物资准备、劳动力组织准备和施工现场准</w:t>
      </w:r>
      <w:r>
        <w:rPr>
          <w:spacing w:val="-13"/>
        </w:rPr>
        <w:t>备。为了落实各项施工准备工作，加强对其检查、必须根据各项施工准备的内容</w:t>
      </w:r>
      <w:r>
        <w:t>时间和人员，编制施工准备工作计划。见下表：</w:t>
      </w:r>
    </w:p>
    <w:p>
      <w:pPr>
        <w:pStyle w:val="BodyText"/>
        <w:spacing w:before="94"/>
        <w:ind w:right="1448"/>
        <w:jc w:val="center"/>
      </w:pPr>
      <w:r>
        <w:drawing>
          <wp:anchor distT="0" distB="0" distL="0" distR="0" simplePos="0" relativeHeight="251664384" behindDoc="1" locked="0" layoutInCell="1" allowOverlap="1">
            <wp:simplePos x="0" y="0"/>
            <wp:positionH relativeFrom="page">
              <wp:posOffset>1485900</wp:posOffset>
            </wp:positionH>
            <wp:positionV relativeFrom="paragraph">
              <wp:posOffset>421767</wp:posOffset>
            </wp:positionV>
            <wp:extent cx="8373728" cy="5333333"/>
            <wp:effectExtent l="0" t="0" r="0" b="0"/>
            <wp:wrapNone/>
            <wp:docPr id="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8.png"/>
                    <pic:cNvPicPr/>
                  </pic:nvPicPr>
                  <pic:blipFill>
                    <a:blip xmlns:r="http://schemas.openxmlformats.org/officeDocument/2006/relationships" r:embed="rId11" cstate="print"/>
                    <a:stretch>
                      <a:fillRect/>
                    </a:stretch>
                  </pic:blipFill>
                  <pic:spPr>
                    <a:xfrm>
                      <a:off x="0" y="0"/>
                      <a:ext cx="8373728" cy="5333333"/>
                    </a:xfrm>
                    <a:prstGeom prst="rect">
                      <a:avLst/>
                    </a:prstGeom>
                  </pic:spPr>
                </pic:pic>
              </a:graphicData>
            </a:graphic>
          </wp:anchor>
        </w:drawing>
      </w:r>
      <w:r>
        <w:t>施工准备工作计划表</w:t>
      </w:r>
    </w:p>
    <w:p>
      <w:pPr>
        <w:pStyle w:val="BodyText"/>
        <w:spacing w:before="8"/>
        <w:rPr>
          <w:sz w:val="27"/>
        </w:rPr>
      </w:pPr>
    </w:p>
    <w:tbl>
      <w:tblPr>
        <w:tblStyle w:val="TableNormal2"/>
        <w:tblW w:w="0" w:type="auto"/>
        <w:jc w:val="left"/>
        <w:tblInd w:w="9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3"/>
        <w:gridCol w:w="2988"/>
        <w:gridCol w:w="3563"/>
        <w:gridCol w:w="3577"/>
        <w:gridCol w:w="1867"/>
      </w:tblGrid>
      <w:tr>
        <w:tblPrEx>
          <w:tblW w:w="0" w:type="auto"/>
          <w:jc w:val="left"/>
          <w:tblInd w:w="9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6"/>
          <w:jc w:val="left"/>
        </w:trPr>
        <w:tc>
          <w:tcPr>
            <w:tcW w:w="883" w:type="dxa"/>
          </w:tcPr>
          <w:p>
            <w:pPr>
              <w:pStyle w:val="TableParagraph"/>
              <w:spacing w:line="297" w:lineRule="exact"/>
              <w:ind w:left="38" w:right="185"/>
              <w:rPr>
                <w:sz w:val="31"/>
              </w:rPr>
            </w:pPr>
            <w:r>
              <w:rPr>
                <w:sz w:val="31"/>
              </w:rPr>
              <w:t>序号</w:t>
            </w:r>
          </w:p>
        </w:tc>
        <w:tc>
          <w:tcPr>
            <w:tcW w:w="2988" w:type="dxa"/>
          </w:tcPr>
          <w:p>
            <w:pPr>
              <w:pStyle w:val="TableParagraph"/>
              <w:spacing w:line="297" w:lineRule="exact"/>
              <w:ind w:left="201" w:right="259"/>
              <w:rPr>
                <w:sz w:val="31"/>
              </w:rPr>
            </w:pPr>
            <w:r>
              <w:rPr>
                <w:sz w:val="31"/>
              </w:rPr>
              <w:t>准备项目</w:t>
            </w:r>
          </w:p>
        </w:tc>
        <w:tc>
          <w:tcPr>
            <w:tcW w:w="3563" w:type="dxa"/>
          </w:tcPr>
          <w:p>
            <w:pPr>
              <w:pStyle w:val="TableParagraph"/>
              <w:spacing w:line="297" w:lineRule="exact"/>
              <w:ind w:right="548"/>
              <w:jc w:val="right"/>
              <w:rPr>
                <w:sz w:val="31"/>
              </w:rPr>
            </w:pPr>
            <w:r>
              <w:rPr>
                <w:w w:val="102"/>
                <w:sz w:val="31"/>
              </w:rPr>
              <w:t>内</w:t>
            </w:r>
          </w:p>
        </w:tc>
        <w:tc>
          <w:tcPr>
            <w:tcW w:w="3577" w:type="dxa"/>
          </w:tcPr>
          <w:p>
            <w:pPr>
              <w:pStyle w:val="TableParagraph"/>
              <w:spacing w:line="297" w:lineRule="exact"/>
              <w:ind w:left="551"/>
              <w:jc w:val="left"/>
              <w:rPr>
                <w:sz w:val="31"/>
              </w:rPr>
            </w:pPr>
            <w:r>
              <w:rPr>
                <w:w w:val="102"/>
                <w:sz w:val="31"/>
              </w:rPr>
              <w:t>容</w:t>
            </w:r>
          </w:p>
        </w:tc>
        <w:tc>
          <w:tcPr>
            <w:tcW w:w="1867" w:type="dxa"/>
          </w:tcPr>
          <w:p>
            <w:pPr>
              <w:pStyle w:val="TableParagraph"/>
              <w:spacing w:line="297" w:lineRule="exact"/>
              <w:ind w:left="230" w:right="46"/>
              <w:rPr>
                <w:sz w:val="31"/>
              </w:rPr>
            </w:pPr>
            <w:r>
              <w:rPr>
                <w:sz w:val="31"/>
              </w:rPr>
              <w:t>时间（天）</w:t>
            </w:r>
          </w:p>
        </w:tc>
      </w:tr>
      <w:tr>
        <w:tblPrEx>
          <w:tblW w:w="0" w:type="auto"/>
          <w:jc w:val="left"/>
          <w:tblInd w:w="992" w:type="dxa"/>
          <w:tblLayout w:type="fixed"/>
          <w:tblCellMar>
            <w:top w:w="0" w:type="dxa"/>
            <w:left w:w="0" w:type="dxa"/>
            <w:bottom w:w="0" w:type="dxa"/>
            <w:right w:w="0" w:type="dxa"/>
          </w:tblCellMar>
          <w:tblLook w:val="01E0"/>
        </w:tblPrEx>
        <w:trPr>
          <w:trHeight w:val="887"/>
          <w:jc w:val="left"/>
        </w:trPr>
        <w:tc>
          <w:tcPr>
            <w:tcW w:w="883" w:type="dxa"/>
          </w:tcPr>
          <w:p>
            <w:pPr>
              <w:pStyle w:val="TableParagraph"/>
              <w:spacing w:before="10"/>
              <w:jc w:val="left"/>
              <w:rPr>
                <w:sz w:val="26"/>
              </w:rPr>
            </w:pPr>
          </w:p>
          <w:p>
            <w:pPr>
              <w:pStyle w:val="TableParagraph"/>
              <w:ind w:right="147"/>
              <w:rPr>
                <w:sz w:val="31"/>
              </w:rPr>
            </w:pPr>
            <w:r>
              <w:rPr>
                <w:w w:val="102"/>
                <w:sz w:val="31"/>
              </w:rPr>
              <w:t>1</w:t>
            </w:r>
          </w:p>
        </w:tc>
        <w:tc>
          <w:tcPr>
            <w:tcW w:w="2988" w:type="dxa"/>
          </w:tcPr>
          <w:p>
            <w:pPr>
              <w:pStyle w:val="TableParagraph"/>
              <w:spacing w:before="10"/>
              <w:jc w:val="left"/>
              <w:rPr>
                <w:sz w:val="26"/>
              </w:rPr>
            </w:pPr>
          </w:p>
          <w:p>
            <w:pPr>
              <w:pStyle w:val="TableParagraph"/>
              <w:ind w:left="208" w:right="259"/>
              <w:rPr>
                <w:sz w:val="31"/>
              </w:rPr>
            </w:pPr>
            <w:r>
              <w:rPr>
                <w:sz w:val="31"/>
              </w:rPr>
              <w:t>建立施工组织机构</w:t>
            </w:r>
          </w:p>
        </w:tc>
        <w:tc>
          <w:tcPr>
            <w:tcW w:w="7140" w:type="dxa"/>
            <w:gridSpan w:val="2"/>
          </w:tcPr>
          <w:p>
            <w:pPr>
              <w:pStyle w:val="TableParagraph"/>
              <w:spacing w:before="10"/>
              <w:jc w:val="left"/>
              <w:rPr>
                <w:sz w:val="26"/>
              </w:rPr>
            </w:pPr>
          </w:p>
          <w:p>
            <w:pPr>
              <w:pStyle w:val="TableParagraph"/>
              <w:ind w:left="915" w:right="907"/>
              <w:rPr>
                <w:sz w:val="31"/>
              </w:rPr>
            </w:pPr>
            <w:r>
              <w:rPr>
                <w:sz w:val="31"/>
              </w:rPr>
              <w:t>成立项目经理部、明确岗位责任</w:t>
            </w:r>
          </w:p>
        </w:tc>
        <w:tc>
          <w:tcPr>
            <w:tcW w:w="1867" w:type="dxa"/>
          </w:tcPr>
          <w:p>
            <w:pPr>
              <w:pStyle w:val="TableParagraph"/>
              <w:spacing w:before="10"/>
              <w:jc w:val="left"/>
              <w:rPr>
                <w:sz w:val="26"/>
              </w:rPr>
            </w:pPr>
          </w:p>
          <w:p>
            <w:pPr>
              <w:pStyle w:val="TableParagraph"/>
              <w:ind w:left="177"/>
              <w:rPr>
                <w:sz w:val="31"/>
              </w:rPr>
            </w:pPr>
            <w:r>
              <w:rPr>
                <w:w w:val="102"/>
                <w:sz w:val="31"/>
              </w:rPr>
              <w:t>1</w:t>
            </w:r>
          </w:p>
        </w:tc>
      </w:tr>
      <w:tr>
        <w:tblPrEx>
          <w:tblW w:w="0" w:type="auto"/>
          <w:jc w:val="left"/>
          <w:tblInd w:w="992" w:type="dxa"/>
          <w:tblLayout w:type="fixed"/>
          <w:tblCellMar>
            <w:top w:w="0" w:type="dxa"/>
            <w:left w:w="0" w:type="dxa"/>
            <w:bottom w:w="0" w:type="dxa"/>
            <w:right w:w="0" w:type="dxa"/>
          </w:tblCellMar>
          <w:tblLook w:val="01E0"/>
        </w:tblPrEx>
        <w:trPr>
          <w:trHeight w:val="696"/>
          <w:jc w:val="left"/>
        </w:trPr>
        <w:tc>
          <w:tcPr>
            <w:tcW w:w="883" w:type="dxa"/>
          </w:tcPr>
          <w:p>
            <w:pPr>
              <w:pStyle w:val="TableParagraph"/>
              <w:spacing w:before="151"/>
              <w:ind w:right="147"/>
              <w:rPr>
                <w:sz w:val="31"/>
              </w:rPr>
            </w:pPr>
            <w:r>
              <w:rPr>
                <w:w w:val="102"/>
                <w:sz w:val="31"/>
              </w:rPr>
              <w:t>2</w:t>
            </w:r>
          </w:p>
        </w:tc>
        <w:tc>
          <w:tcPr>
            <w:tcW w:w="2988" w:type="dxa"/>
          </w:tcPr>
          <w:p>
            <w:pPr>
              <w:pStyle w:val="TableParagraph"/>
              <w:spacing w:before="151"/>
              <w:ind w:left="208" w:right="259"/>
              <w:rPr>
                <w:sz w:val="31"/>
              </w:rPr>
            </w:pPr>
            <w:r>
              <w:rPr>
                <w:sz w:val="31"/>
              </w:rPr>
              <w:t>熟悉、审查施工图</w:t>
            </w:r>
          </w:p>
        </w:tc>
        <w:tc>
          <w:tcPr>
            <w:tcW w:w="7140" w:type="dxa"/>
            <w:gridSpan w:val="2"/>
          </w:tcPr>
          <w:p>
            <w:pPr>
              <w:pStyle w:val="TableParagraph"/>
              <w:spacing w:before="151"/>
              <w:ind w:left="254"/>
              <w:jc w:val="left"/>
              <w:rPr>
                <w:sz w:val="31"/>
              </w:rPr>
            </w:pPr>
            <w:r>
              <w:rPr>
                <w:sz w:val="31"/>
              </w:rPr>
              <w:t>熟悉、审查施工图纸，了解设计目的，设计专图</w:t>
            </w:r>
          </w:p>
        </w:tc>
        <w:tc>
          <w:tcPr>
            <w:tcW w:w="1867" w:type="dxa"/>
          </w:tcPr>
          <w:p>
            <w:pPr>
              <w:pStyle w:val="TableParagraph"/>
              <w:spacing w:before="151"/>
              <w:ind w:left="177"/>
              <w:rPr>
                <w:sz w:val="31"/>
              </w:rPr>
            </w:pPr>
            <w:r>
              <w:rPr>
                <w:w w:val="102"/>
                <w:sz w:val="31"/>
              </w:rPr>
              <w:t>5</w:t>
            </w:r>
          </w:p>
        </w:tc>
      </w:tr>
      <w:tr>
        <w:tblPrEx>
          <w:tblW w:w="0" w:type="auto"/>
          <w:jc w:val="left"/>
          <w:tblInd w:w="992" w:type="dxa"/>
          <w:tblLayout w:type="fixed"/>
          <w:tblCellMar>
            <w:top w:w="0" w:type="dxa"/>
            <w:left w:w="0" w:type="dxa"/>
            <w:bottom w:w="0" w:type="dxa"/>
            <w:right w:w="0" w:type="dxa"/>
          </w:tblCellMar>
          <w:tblLook w:val="01E0"/>
        </w:tblPrEx>
        <w:trPr>
          <w:trHeight w:val="698"/>
          <w:jc w:val="left"/>
        </w:trPr>
        <w:tc>
          <w:tcPr>
            <w:tcW w:w="883" w:type="dxa"/>
          </w:tcPr>
          <w:p>
            <w:pPr>
              <w:pStyle w:val="TableParagraph"/>
              <w:spacing w:before="153"/>
              <w:ind w:right="147"/>
              <w:rPr>
                <w:sz w:val="31"/>
              </w:rPr>
            </w:pPr>
            <w:r>
              <w:rPr>
                <w:w w:val="102"/>
                <w:sz w:val="31"/>
              </w:rPr>
              <w:t>3</w:t>
            </w:r>
          </w:p>
        </w:tc>
        <w:tc>
          <w:tcPr>
            <w:tcW w:w="2988" w:type="dxa"/>
          </w:tcPr>
          <w:p>
            <w:pPr>
              <w:pStyle w:val="TableParagraph"/>
              <w:spacing w:before="153"/>
              <w:ind w:left="201" w:right="259"/>
              <w:rPr>
                <w:sz w:val="31"/>
              </w:rPr>
            </w:pPr>
            <w:r>
              <w:rPr>
                <w:sz w:val="31"/>
              </w:rPr>
              <w:t>编写施工图预算</w:t>
            </w:r>
          </w:p>
        </w:tc>
        <w:tc>
          <w:tcPr>
            <w:tcW w:w="7140" w:type="dxa"/>
            <w:gridSpan w:val="2"/>
          </w:tcPr>
          <w:p>
            <w:pPr>
              <w:pStyle w:val="TableParagraph"/>
              <w:spacing w:before="153"/>
              <w:ind w:left="908" w:right="907"/>
              <w:rPr>
                <w:sz w:val="31"/>
              </w:rPr>
            </w:pPr>
            <w:r>
              <w:rPr>
                <w:sz w:val="31"/>
              </w:rPr>
              <w:t>计算工程量及取费</w:t>
            </w:r>
          </w:p>
        </w:tc>
        <w:tc>
          <w:tcPr>
            <w:tcW w:w="1867" w:type="dxa"/>
          </w:tcPr>
          <w:p>
            <w:pPr>
              <w:pStyle w:val="TableParagraph"/>
              <w:spacing w:before="153"/>
              <w:ind w:left="177"/>
              <w:rPr>
                <w:sz w:val="31"/>
              </w:rPr>
            </w:pPr>
            <w:r>
              <w:rPr>
                <w:w w:val="102"/>
                <w:sz w:val="31"/>
              </w:rPr>
              <w:t>7</w:t>
            </w:r>
          </w:p>
        </w:tc>
      </w:tr>
      <w:tr>
        <w:tblPrEx>
          <w:tblW w:w="0" w:type="auto"/>
          <w:jc w:val="left"/>
          <w:tblInd w:w="992" w:type="dxa"/>
          <w:tblLayout w:type="fixed"/>
          <w:tblCellMar>
            <w:top w:w="0" w:type="dxa"/>
            <w:left w:w="0" w:type="dxa"/>
            <w:bottom w:w="0" w:type="dxa"/>
            <w:right w:w="0" w:type="dxa"/>
          </w:tblCellMar>
          <w:tblLook w:val="01E0"/>
        </w:tblPrEx>
        <w:trPr>
          <w:trHeight w:val="698"/>
          <w:jc w:val="left"/>
        </w:trPr>
        <w:tc>
          <w:tcPr>
            <w:tcW w:w="883" w:type="dxa"/>
          </w:tcPr>
          <w:p>
            <w:pPr>
              <w:pStyle w:val="TableParagraph"/>
              <w:spacing w:before="153"/>
              <w:ind w:right="147"/>
              <w:rPr>
                <w:sz w:val="31"/>
              </w:rPr>
            </w:pPr>
            <w:r>
              <w:rPr>
                <w:w w:val="102"/>
                <w:sz w:val="31"/>
              </w:rPr>
              <w:t>4</w:t>
            </w:r>
          </w:p>
        </w:tc>
        <w:tc>
          <w:tcPr>
            <w:tcW w:w="2988" w:type="dxa"/>
          </w:tcPr>
          <w:p>
            <w:pPr>
              <w:pStyle w:val="TableParagraph"/>
              <w:spacing w:before="153"/>
              <w:ind w:left="208" w:right="259"/>
              <w:rPr>
                <w:sz w:val="31"/>
              </w:rPr>
            </w:pPr>
            <w:r>
              <w:rPr>
                <w:sz w:val="31"/>
              </w:rPr>
              <w:t>编写施工组织设计</w:t>
            </w:r>
          </w:p>
        </w:tc>
        <w:tc>
          <w:tcPr>
            <w:tcW w:w="7140" w:type="dxa"/>
            <w:gridSpan w:val="2"/>
          </w:tcPr>
          <w:p>
            <w:pPr>
              <w:pStyle w:val="TableParagraph"/>
              <w:spacing w:before="153"/>
              <w:ind w:left="1827"/>
              <w:jc w:val="left"/>
              <w:rPr>
                <w:sz w:val="31"/>
              </w:rPr>
            </w:pPr>
            <w:r>
              <w:rPr>
                <w:sz w:val="31"/>
              </w:rPr>
              <w:t>确定施工方案和技术措施</w:t>
            </w:r>
          </w:p>
        </w:tc>
        <w:tc>
          <w:tcPr>
            <w:tcW w:w="1867" w:type="dxa"/>
          </w:tcPr>
          <w:p>
            <w:pPr>
              <w:pStyle w:val="TableParagraph"/>
              <w:spacing w:before="153"/>
              <w:ind w:left="177"/>
              <w:rPr>
                <w:sz w:val="31"/>
              </w:rPr>
            </w:pPr>
            <w:r>
              <w:rPr>
                <w:w w:val="102"/>
                <w:sz w:val="31"/>
              </w:rPr>
              <w:t>3</w:t>
            </w:r>
          </w:p>
        </w:tc>
      </w:tr>
      <w:tr>
        <w:tblPrEx>
          <w:tblW w:w="0" w:type="auto"/>
          <w:jc w:val="left"/>
          <w:tblInd w:w="992" w:type="dxa"/>
          <w:tblLayout w:type="fixed"/>
          <w:tblCellMar>
            <w:top w:w="0" w:type="dxa"/>
            <w:left w:w="0" w:type="dxa"/>
            <w:bottom w:w="0" w:type="dxa"/>
            <w:right w:w="0" w:type="dxa"/>
          </w:tblCellMar>
          <w:tblLook w:val="01E0"/>
        </w:tblPrEx>
        <w:trPr>
          <w:trHeight w:val="696"/>
          <w:jc w:val="left"/>
        </w:trPr>
        <w:tc>
          <w:tcPr>
            <w:tcW w:w="883" w:type="dxa"/>
          </w:tcPr>
          <w:p>
            <w:pPr>
              <w:pStyle w:val="TableParagraph"/>
              <w:spacing w:before="153"/>
              <w:ind w:right="147"/>
              <w:rPr>
                <w:sz w:val="31"/>
              </w:rPr>
            </w:pPr>
            <w:r>
              <w:rPr>
                <w:w w:val="102"/>
                <w:sz w:val="31"/>
              </w:rPr>
              <w:t>5</w:t>
            </w:r>
          </w:p>
        </w:tc>
        <w:tc>
          <w:tcPr>
            <w:tcW w:w="2988" w:type="dxa"/>
          </w:tcPr>
          <w:p>
            <w:pPr>
              <w:pStyle w:val="TableParagraph"/>
              <w:spacing w:before="153"/>
              <w:ind w:left="201" w:right="259"/>
              <w:rPr>
                <w:sz w:val="31"/>
              </w:rPr>
            </w:pPr>
            <w:r>
              <w:rPr>
                <w:sz w:val="31"/>
              </w:rPr>
              <w:t>图纸会审</w:t>
            </w:r>
          </w:p>
        </w:tc>
        <w:tc>
          <w:tcPr>
            <w:tcW w:w="7140" w:type="dxa"/>
            <w:gridSpan w:val="2"/>
          </w:tcPr>
          <w:p>
            <w:pPr>
              <w:pStyle w:val="TableParagraph"/>
              <w:spacing w:before="153"/>
              <w:ind w:left="903" w:right="907"/>
              <w:rPr>
                <w:sz w:val="31"/>
              </w:rPr>
            </w:pPr>
            <w:r>
              <w:rPr>
                <w:sz w:val="31"/>
              </w:rPr>
              <w:t>全部施工图</w:t>
            </w:r>
          </w:p>
        </w:tc>
        <w:tc>
          <w:tcPr>
            <w:tcW w:w="1867" w:type="dxa"/>
          </w:tcPr>
          <w:p>
            <w:pPr>
              <w:pStyle w:val="TableParagraph"/>
              <w:spacing w:before="153"/>
              <w:ind w:left="177"/>
              <w:rPr>
                <w:sz w:val="31"/>
              </w:rPr>
            </w:pPr>
            <w:r>
              <w:rPr>
                <w:w w:val="102"/>
                <w:sz w:val="31"/>
              </w:rPr>
              <w:t>1</w:t>
            </w:r>
          </w:p>
        </w:tc>
      </w:tr>
      <w:tr>
        <w:tblPrEx>
          <w:tblW w:w="0" w:type="auto"/>
          <w:jc w:val="left"/>
          <w:tblInd w:w="992" w:type="dxa"/>
          <w:tblLayout w:type="fixed"/>
          <w:tblCellMar>
            <w:top w:w="0" w:type="dxa"/>
            <w:left w:w="0" w:type="dxa"/>
            <w:bottom w:w="0" w:type="dxa"/>
            <w:right w:w="0" w:type="dxa"/>
          </w:tblCellMar>
          <w:tblLook w:val="01E0"/>
        </w:tblPrEx>
        <w:trPr>
          <w:trHeight w:val="696"/>
          <w:jc w:val="left"/>
        </w:trPr>
        <w:tc>
          <w:tcPr>
            <w:tcW w:w="883" w:type="dxa"/>
          </w:tcPr>
          <w:p>
            <w:pPr>
              <w:pStyle w:val="TableParagraph"/>
              <w:spacing w:before="151"/>
              <w:ind w:right="147"/>
              <w:rPr>
                <w:sz w:val="31"/>
              </w:rPr>
            </w:pPr>
            <w:r>
              <w:rPr>
                <w:w w:val="102"/>
                <w:sz w:val="31"/>
              </w:rPr>
              <w:t>6</w:t>
            </w:r>
          </w:p>
        </w:tc>
        <w:tc>
          <w:tcPr>
            <w:tcW w:w="2988" w:type="dxa"/>
          </w:tcPr>
          <w:p>
            <w:pPr>
              <w:pStyle w:val="TableParagraph"/>
              <w:spacing w:before="151"/>
              <w:ind w:left="201" w:right="259"/>
              <w:rPr>
                <w:sz w:val="31"/>
              </w:rPr>
            </w:pPr>
            <w:r>
              <w:rPr>
                <w:sz w:val="31"/>
              </w:rPr>
              <w:t>现场平面布置</w:t>
            </w:r>
          </w:p>
        </w:tc>
        <w:tc>
          <w:tcPr>
            <w:tcW w:w="7140" w:type="dxa"/>
            <w:gridSpan w:val="2"/>
          </w:tcPr>
          <w:p>
            <w:pPr>
              <w:pStyle w:val="TableParagraph"/>
              <w:spacing w:before="151"/>
              <w:ind w:left="567"/>
              <w:jc w:val="left"/>
              <w:rPr>
                <w:sz w:val="31"/>
              </w:rPr>
            </w:pPr>
            <w:r>
              <w:rPr>
                <w:sz w:val="31"/>
              </w:rPr>
              <w:t>按总平面布置水、电及临时设施，材料堆场</w:t>
            </w:r>
          </w:p>
        </w:tc>
        <w:tc>
          <w:tcPr>
            <w:tcW w:w="1867" w:type="dxa"/>
          </w:tcPr>
          <w:p>
            <w:pPr>
              <w:pStyle w:val="TableParagraph"/>
              <w:spacing w:before="151"/>
              <w:ind w:left="177"/>
              <w:rPr>
                <w:sz w:val="31"/>
              </w:rPr>
            </w:pPr>
            <w:r>
              <w:rPr>
                <w:w w:val="102"/>
                <w:sz w:val="31"/>
              </w:rPr>
              <w:t>5</w:t>
            </w:r>
          </w:p>
        </w:tc>
      </w:tr>
      <w:tr>
        <w:tblPrEx>
          <w:tblW w:w="0" w:type="auto"/>
          <w:jc w:val="left"/>
          <w:tblInd w:w="992" w:type="dxa"/>
          <w:tblLayout w:type="fixed"/>
          <w:tblCellMar>
            <w:top w:w="0" w:type="dxa"/>
            <w:left w:w="0" w:type="dxa"/>
            <w:bottom w:w="0" w:type="dxa"/>
            <w:right w:w="0" w:type="dxa"/>
          </w:tblCellMar>
          <w:tblLook w:val="01E0"/>
        </w:tblPrEx>
        <w:trPr>
          <w:trHeight w:val="698"/>
          <w:jc w:val="left"/>
        </w:trPr>
        <w:tc>
          <w:tcPr>
            <w:tcW w:w="883" w:type="dxa"/>
          </w:tcPr>
          <w:p>
            <w:pPr>
              <w:pStyle w:val="TableParagraph"/>
              <w:spacing w:before="153"/>
              <w:ind w:right="147"/>
              <w:rPr>
                <w:sz w:val="31"/>
              </w:rPr>
            </w:pPr>
            <w:r>
              <w:rPr>
                <w:w w:val="102"/>
                <w:sz w:val="31"/>
              </w:rPr>
              <w:t>7</w:t>
            </w:r>
          </w:p>
        </w:tc>
        <w:tc>
          <w:tcPr>
            <w:tcW w:w="2988" w:type="dxa"/>
          </w:tcPr>
          <w:p>
            <w:pPr>
              <w:pStyle w:val="TableParagraph"/>
              <w:spacing w:before="153"/>
              <w:ind w:left="201" w:right="259"/>
              <w:rPr>
                <w:sz w:val="31"/>
              </w:rPr>
            </w:pPr>
            <w:r>
              <w:rPr>
                <w:sz w:val="31"/>
              </w:rPr>
              <w:t>现场定位放线</w:t>
            </w:r>
          </w:p>
        </w:tc>
        <w:tc>
          <w:tcPr>
            <w:tcW w:w="7140" w:type="dxa"/>
            <w:gridSpan w:val="2"/>
          </w:tcPr>
          <w:p>
            <w:pPr>
              <w:pStyle w:val="TableParagraph"/>
              <w:spacing w:before="153"/>
              <w:ind w:left="915" w:right="907"/>
              <w:rPr>
                <w:sz w:val="31"/>
              </w:rPr>
            </w:pPr>
            <w:r>
              <w:rPr>
                <w:sz w:val="31"/>
              </w:rPr>
              <w:t>点线复核，建立平面定位控制网</w:t>
            </w:r>
          </w:p>
        </w:tc>
        <w:tc>
          <w:tcPr>
            <w:tcW w:w="1867" w:type="dxa"/>
          </w:tcPr>
          <w:p>
            <w:pPr>
              <w:pStyle w:val="TableParagraph"/>
              <w:spacing w:before="153"/>
              <w:ind w:left="177"/>
              <w:rPr>
                <w:sz w:val="31"/>
              </w:rPr>
            </w:pPr>
            <w:r>
              <w:rPr>
                <w:w w:val="102"/>
                <w:sz w:val="31"/>
              </w:rPr>
              <w:t>2</w:t>
            </w:r>
          </w:p>
        </w:tc>
      </w:tr>
      <w:tr>
        <w:tblPrEx>
          <w:tblW w:w="0" w:type="auto"/>
          <w:jc w:val="left"/>
          <w:tblInd w:w="992" w:type="dxa"/>
          <w:tblLayout w:type="fixed"/>
          <w:tblCellMar>
            <w:top w:w="0" w:type="dxa"/>
            <w:left w:w="0" w:type="dxa"/>
            <w:bottom w:w="0" w:type="dxa"/>
            <w:right w:w="0" w:type="dxa"/>
          </w:tblCellMar>
          <w:tblLook w:val="01E0"/>
        </w:tblPrEx>
        <w:trPr>
          <w:trHeight w:val="698"/>
          <w:jc w:val="left"/>
        </w:trPr>
        <w:tc>
          <w:tcPr>
            <w:tcW w:w="883" w:type="dxa"/>
          </w:tcPr>
          <w:p>
            <w:pPr>
              <w:pStyle w:val="TableParagraph"/>
              <w:spacing w:before="153"/>
              <w:ind w:right="147"/>
              <w:rPr>
                <w:sz w:val="31"/>
              </w:rPr>
            </w:pPr>
            <w:r>
              <w:rPr>
                <w:w w:val="102"/>
                <w:sz w:val="31"/>
              </w:rPr>
              <w:t>8</w:t>
            </w:r>
          </w:p>
        </w:tc>
        <w:tc>
          <w:tcPr>
            <w:tcW w:w="2988" w:type="dxa"/>
          </w:tcPr>
          <w:p>
            <w:pPr>
              <w:pStyle w:val="TableParagraph"/>
              <w:spacing w:before="153"/>
              <w:ind w:left="201" w:right="259"/>
              <w:rPr>
                <w:sz w:val="31"/>
              </w:rPr>
            </w:pPr>
            <w:r>
              <w:rPr>
                <w:sz w:val="31"/>
              </w:rPr>
              <w:t>主要机具进场</w:t>
            </w:r>
          </w:p>
        </w:tc>
        <w:tc>
          <w:tcPr>
            <w:tcW w:w="7140" w:type="dxa"/>
            <w:gridSpan w:val="2"/>
          </w:tcPr>
          <w:p>
            <w:pPr>
              <w:pStyle w:val="TableParagraph"/>
              <w:spacing w:before="153"/>
              <w:ind w:left="908" w:right="907"/>
              <w:rPr>
                <w:sz w:val="31"/>
              </w:rPr>
            </w:pPr>
            <w:r>
              <w:rPr>
                <w:sz w:val="31"/>
              </w:rPr>
              <w:t>机械设备进场到位</w:t>
            </w:r>
          </w:p>
        </w:tc>
        <w:tc>
          <w:tcPr>
            <w:tcW w:w="1867" w:type="dxa"/>
          </w:tcPr>
          <w:p>
            <w:pPr>
              <w:pStyle w:val="TableParagraph"/>
              <w:spacing w:before="153"/>
              <w:ind w:left="177"/>
              <w:rPr>
                <w:sz w:val="31"/>
              </w:rPr>
            </w:pPr>
            <w:r>
              <w:rPr>
                <w:w w:val="102"/>
                <w:sz w:val="31"/>
              </w:rPr>
              <w:t>2</w:t>
            </w:r>
          </w:p>
        </w:tc>
      </w:tr>
      <w:tr>
        <w:tblPrEx>
          <w:tblW w:w="0" w:type="auto"/>
          <w:jc w:val="left"/>
          <w:tblInd w:w="992" w:type="dxa"/>
          <w:tblLayout w:type="fixed"/>
          <w:tblCellMar>
            <w:top w:w="0" w:type="dxa"/>
            <w:left w:w="0" w:type="dxa"/>
            <w:bottom w:w="0" w:type="dxa"/>
            <w:right w:w="0" w:type="dxa"/>
          </w:tblCellMar>
          <w:tblLook w:val="01E0"/>
        </w:tblPrEx>
        <w:trPr>
          <w:trHeight w:val="696"/>
          <w:jc w:val="left"/>
        </w:trPr>
        <w:tc>
          <w:tcPr>
            <w:tcW w:w="883" w:type="dxa"/>
          </w:tcPr>
          <w:p>
            <w:pPr>
              <w:pStyle w:val="TableParagraph"/>
              <w:spacing w:before="153"/>
              <w:ind w:right="147"/>
              <w:rPr>
                <w:sz w:val="31"/>
              </w:rPr>
            </w:pPr>
            <w:r>
              <w:rPr>
                <w:w w:val="102"/>
                <w:sz w:val="31"/>
              </w:rPr>
              <w:t>9</w:t>
            </w:r>
          </w:p>
        </w:tc>
        <w:tc>
          <w:tcPr>
            <w:tcW w:w="2988" w:type="dxa"/>
          </w:tcPr>
          <w:p>
            <w:pPr>
              <w:pStyle w:val="TableParagraph"/>
              <w:spacing w:before="153"/>
              <w:ind w:left="201" w:right="259"/>
              <w:rPr>
                <w:sz w:val="31"/>
              </w:rPr>
            </w:pPr>
            <w:r>
              <w:rPr>
                <w:sz w:val="31"/>
              </w:rPr>
              <w:t>主要材料进场</w:t>
            </w:r>
          </w:p>
        </w:tc>
        <w:tc>
          <w:tcPr>
            <w:tcW w:w="7140" w:type="dxa"/>
            <w:gridSpan w:val="2"/>
          </w:tcPr>
          <w:p>
            <w:pPr>
              <w:pStyle w:val="TableParagraph"/>
              <w:spacing w:before="153"/>
              <w:ind w:left="902" w:right="907"/>
              <w:rPr>
                <w:sz w:val="31"/>
              </w:rPr>
            </w:pPr>
            <w:r>
              <w:rPr>
                <w:sz w:val="31"/>
              </w:rPr>
              <w:t>急用材料进场</w:t>
            </w:r>
          </w:p>
        </w:tc>
        <w:tc>
          <w:tcPr>
            <w:tcW w:w="1867" w:type="dxa"/>
          </w:tcPr>
          <w:p>
            <w:pPr>
              <w:pStyle w:val="TableParagraph"/>
              <w:spacing w:before="153"/>
              <w:ind w:left="177"/>
              <w:rPr>
                <w:sz w:val="31"/>
              </w:rPr>
            </w:pPr>
            <w:r>
              <w:rPr>
                <w:w w:val="102"/>
                <w:sz w:val="31"/>
              </w:rPr>
              <w:t>2</w:t>
            </w:r>
          </w:p>
        </w:tc>
      </w:tr>
      <w:tr>
        <w:tblPrEx>
          <w:tblW w:w="0" w:type="auto"/>
          <w:jc w:val="left"/>
          <w:tblInd w:w="992" w:type="dxa"/>
          <w:tblLayout w:type="fixed"/>
          <w:tblCellMar>
            <w:top w:w="0" w:type="dxa"/>
            <w:left w:w="0" w:type="dxa"/>
            <w:bottom w:w="0" w:type="dxa"/>
            <w:right w:w="0" w:type="dxa"/>
          </w:tblCellMar>
          <w:tblLook w:val="01E0"/>
        </w:tblPrEx>
        <w:trPr>
          <w:trHeight w:val="696"/>
          <w:jc w:val="left"/>
        </w:trPr>
        <w:tc>
          <w:tcPr>
            <w:tcW w:w="883" w:type="dxa"/>
          </w:tcPr>
          <w:p>
            <w:pPr>
              <w:pStyle w:val="TableParagraph"/>
              <w:spacing w:before="151"/>
              <w:ind w:left="38" w:right="185"/>
              <w:rPr>
                <w:sz w:val="31"/>
              </w:rPr>
            </w:pPr>
            <w:r>
              <w:rPr>
                <w:sz w:val="31"/>
              </w:rPr>
              <w:t>10</w:t>
            </w:r>
          </w:p>
        </w:tc>
        <w:tc>
          <w:tcPr>
            <w:tcW w:w="2988" w:type="dxa"/>
          </w:tcPr>
          <w:p>
            <w:pPr>
              <w:pStyle w:val="TableParagraph"/>
              <w:spacing w:before="151"/>
              <w:ind w:left="201" w:right="259"/>
              <w:rPr>
                <w:sz w:val="31"/>
              </w:rPr>
            </w:pPr>
            <w:r>
              <w:rPr>
                <w:sz w:val="31"/>
              </w:rPr>
              <w:t>劳动力进场</w:t>
            </w:r>
          </w:p>
        </w:tc>
        <w:tc>
          <w:tcPr>
            <w:tcW w:w="7140" w:type="dxa"/>
            <w:gridSpan w:val="2"/>
          </w:tcPr>
          <w:p>
            <w:pPr>
              <w:pStyle w:val="TableParagraph"/>
              <w:spacing w:before="151"/>
              <w:ind w:left="409"/>
              <w:jc w:val="left"/>
              <w:rPr>
                <w:sz w:val="31"/>
              </w:rPr>
            </w:pPr>
            <w:r>
              <w:rPr>
                <w:sz w:val="31"/>
              </w:rPr>
              <w:t>组织劳动力陆续进场、进行三级安全技术教育</w:t>
            </w:r>
          </w:p>
        </w:tc>
        <w:tc>
          <w:tcPr>
            <w:tcW w:w="1867" w:type="dxa"/>
          </w:tcPr>
          <w:p>
            <w:pPr>
              <w:pStyle w:val="TableParagraph"/>
              <w:spacing w:before="151"/>
              <w:ind w:left="177"/>
              <w:rPr>
                <w:sz w:val="31"/>
              </w:rPr>
            </w:pPr>
            <w:r>
              <w:rPr>
                <w:w w:val="102"/>
                <w:sz w:val="31"/>
              </w:rPr>
              <w:t>4</w:t>
            </w:r>
          </w:p>
        </w:tc>
      </w:tr>
      <w:tr>
        <w:tblPrEx>
          <w:tblW w:w="0" w:type="auto"/>
          <w:jc w:val="left"/>
          <w:tblInd w:w="992" w:type="dxa"/>
          <w:tblLayout w:type="fixed"/>
          <w:tblCellMar>
            <w:top w:w="0" w:type="dxa"/>
            <w:left w:w="0" w:type="dxa"/>
            <w:bottom w:w="0" w:type="dxa"/>
            <w:right w:w="0" w:type="dxa"/>
          </w:tblCellMar>
          <w:tblLook w:val="01E0"/>
        </w:tblPrEx>
        <w:trPr>
          <w:trHeight w:val="507"/>
          <w:jc w:val="left"/>
        </w:trPr>
        <w:tc>
          <w:tcPr>
            <w:tcW w:w="883" w:type="dxa"/>
          </w:tcPr>
          <w:p>
            <w:pPr>
              <w:pStyle w:val="TableParagraph"/>
              <w:spacing w:before="153" w:line="335" w:lineRule="exact"/>
              <w:ind w:left="38" w:right="185"/>
              <w:rPr>
                <w:sz w:val="31"/>
              </w:rPr>
            </w:pPr>
            <w:r>
              <w:rPr>
                <w:sz w:val="31"/>
              </w:rPr>
              <w:t>11</w:t>
            </w:r>
          </w:p>
        </w:tc>
        <w:tc>
          <w:tcPr>
            <w:tcW w:w="2988" w:type="dxa"/>
          </w:tcPr>
          <w:p>
            <w:pPr>
              <w:pStyle w:val="TableParagraph"/>
              <w:spacing w:before="153" w:line="335" w:lineRule="exact"/>
              <w:ind w:left="201" w:right="259"/>
              <w:rPr>
                <w:sz w:val="31"/>
              </w:rPr>
            </w:pPr>
            <w:r>
              <w:rPr>
                <w:sz w:val="31"/>
              </w:rPr>
              <w:t>进度计划交底</w:t>
            </w:r>
          </w:p>
        </w:tc>
        <w:tc>
          <w:tcPr>
            <w:tcW w:w="7140" w:type="dxa"/>
            <w:gridSpan w:val="2"/>
          </w:tcPr>
          <w:p>
            <w:pPr>
              <w:pStyle w:val="TableParagraph"/>
              <w:spacing w:before="153" w:line="335" w:lineRule="exact"/>
              <w:ind w:left="922" w:right="907"/>
              <w:rPr>
                <w:sz w:val="31"/>
              </w:rPr>
            </w:pPr>
            <w:r>
              <w:rPr>
                <w:sz w:val="31"/>
              </w:rPr>
              <w:t>总进度安排及明确各部门的任务和期限</w:t>
            </w:r>
          </w:p>
        </w:tc>
        <w:tc>
          <w:tcPr>
            <w:tcW w:w="1867" w:type="dxa"/>
          </w:tcPr>
          <w:p>
            <w:pPr>
              <w:pStyle w:val="TableParagraph"/>
              <w:spacing w:before="153" w:line="335" w:lineRule="exact"/>
              <w:ind w:left="177"/>
              <w:rPr>
                <w:sz w:val="31"/>
              </w:rPr>
            </w:pPr>
            <w:r>
              <w:rPr>
                <w:w w:val="102"/>
                <w:sz w:val="31"/>
              </w:rPr>
              <w:t>2</w:t>
            </w:r>
          </w:p>
        </w:tc>
      </w:tr>
    </w:tbl>
    <w:p>
      <w:pPr>
        <w:pStyle w:val="BodyText"/>
        <w:spacing w:before="282"/>
        <w:ind w:left="1920"/>
      </w:pPr>
      <w:r>
        <w:t>、技术准备</w:t>
      </w:r>
    </w:p>
    <w:p>
      <w:pPr>
        <w:pStyle w:val="BodyText"/>
        <w:spacing w:before="241" w:line="364" w:lineRule="auto"/>
        <w:ind w:left="1200" w:right="2556" w:firstLine="719"/>
      </w:pPr>
      <w:r>
        <w:rPr>
          <w:spacing w:val="-11"/>
        </w:rPr>
        <w:t>技术准备是施工准备的核心，任何技术的差错或隐患都可能引起人身安全和</w:t>
      </w:r>
      <w:r>
        <w:rPr>
          <w:spacing w:val="-12"/>
        </w:rPr>
        <w:t>质量事故，造成人、财、物的损失，因此必须认真细致地做好技术准备工作。具</w:t>
      </w:r>
      <w:r>
        <w:t>体有以下内容：</w:t>
      </w:r>
    </w:p>
    <w:p>
      <w:pPr>
        <w:pStyle w:val="BodyText"/>
        <w:spacing w:before="3"/>
        <w:ind w:left="1920"/>
      </w:pPr>
      <w:r>
        <w:t>1、施工图纸会审</w:t>
      </w:r>
    </w:p>
    <w:p>
      <w:pPr>
        <w:pStyle w:val="BodyText"/>
        <w:spacing w:before="240" w:line="364" w:lineRule="auto"/>
        <w:ind w:left="1200" w:right="2702" w:firstLine="719"/>
      </w:pPr>
      <w:r>
        <w:rPr>
          <w:spacing w:val="-9"/>
        </w:rPr>
        <w:t>组织技术人员认真学习设计施工图，掌握施工图纸的全部内容，熟悉设计目</w:t>
      </w:r>
      <w:r>
        <w:t>的、设计意图、领会设计效果，提出合理化建议。</w:t>
      </w:r>
    </w:p>
    <w:p>
      <w:pPr>
        <w:pStyle w:val="BodyText"/>
        <w:spacing w:before="3"/>
        <w:ind w:left="1920"/>
      </w:pPr>
      <w:r>
        <w:t>2、会同有关单位搞好现场接收工作</w:t>
      </w:r>
    </w:p>
    <w:p>
      <w:pPr>
        <w:pStyle w:val="BodyText"/>
        <w:spacing w:before="241" w:line="364" w:lineRule="auto"/>
        <w:ind w:left="1200" w:right="2702" w:firstLine="719"/>
      </w:pPr>
      <w:r>
        <w:rPr>
          <w:spacing w:val="-8"/>
        </w:rPr>
        <w:t>现场交接的重点是施工测量与有关资料的移交，熟悉场地情况，包括场地构</w:t>
      </w:r>
      <w:r>
        <w:t>筑物、管线埋设、施工条件等。</w:t>
      </w:r>
    </w:p>
    <w:p>
      <w:pPr>
        <w:pStyle w:val="BodyText"/>
        <w:spacing w:before="2"/>
        <w:ind w:left="1920"/>
      </w:pPr>
      <w:r>
        <w:t>3、编制施工图预算</w:t>
      </w:r>
    </w:p>
    <w:p>
      <w:pPr>
        <w:pStyle w:val="BodyText"/>
        <w:spacing w:before="240" w:line="364" w:lineRule="auto"/>
        <w:ind w:left="1200" w:right="2520" w:firstLine="719"/>
      </w:pPr>
      <w:r>
        <w:rPr>
          <w:spacing w:val="-11"/>
        </w:rPr>
        <w:t>依据设计施工图，招投标文件，合同条款编写详细施工图预算，它是签订合</w:t>
      </w:r>
      <w:r>
        <w:rPr>
          <w:spacing w:val="-20"/>
        </w:rPr>
        <w:t>同、工程结算、进度拨款、成本核算、材料计划编制、加强经营管理的重要依据。</w:t>
      </w:r>
    </w:p>
    <w:p>
      <w:pPr>
        <w:spacing w:after="0" w:line="364" w:lineRule="auto"/>
        <w:sectPr>
          <w:pgSz w:w="17860" w:h="25260"/>
          <w:pgMar w:top="1920" w:right="0" w:bottom="280" w:left="1500" w:header="708" w:footer="708"/>
          <w:pgNumType w:start="15"/>
          <w:cols w:space="708"/>
        </w:sectPr>
      </w:pPr>
    </w:p>
    <w:p>
      <w:pPr>
        <w:pStyle w:val="BodyText"/>
        <w:spacing w:before="35"/>
        <w:ind w:left="1920"/>
      </w:pPr>
      <w:r>
        <w:t>4、编制施工组织设计</w:t>
      </w:r>
    </w:p>
    <w:p>
      <w:pPr>
        <w:pStyle w:val="BodyText"/>
        <w:spacing w:before="242" w:line="364" w:lineRule="auto"/>
        <w:ind w:left="1200" w:right="2556" w:firstLine="719"/>
      </w:pPr>
      <w:r>
        <w:t>它是指导施工现场全部生产活动的技术经济文件，阐明施工工艺和主要项目的施工方法、劳动力组织和工程进度、质量、安全、文明施工的保证措施，收集以前施工的各种经验，针对本工程的特点和难点，以及建设单位的要求，编制切实可行的施工方案。</w:t>
      </w:r>
    </w:p>
    <w:p>
      <w:pPr>
        <w:pStyle w:val="BodyText"/>
        <w:spacing w:before="3"/>
        <w:ind w:left="1920"/>
      </w:pPr>
      <w:r>
        <w:t>5、技术交底</w:t>
      </w:r>
    </w:p>
    <w:p>
      <w:pPr>
        <w:pStyle w:val="BodyText"/>
        <w:spacing w:before="241" w:line="364" w:lineRule="auto"/>
        <w:ind w:left="1200" w:right="2519" w:firstLine="719"/>
      </w:pPr>
      <w:r>
        <w:rPr>
          <w:spacing w:val="-12"/>
        </w:rPr>
        <w:t>在工程开工前，技术负责人应组织参加施工的人员进行技术交底，应结合具</w:t>
      </w:r>
      <w:r>
        <w:rPr>
          <w:spacing w:val="-22"/>
        </w:rPr>
        <w:t xml:space="preserve">体工程内容、施工现场、关键工序和施工难点的质量要求、操作要点及注意事项， </w:t>
      </w:r>
      <w:r>
        <w:rPr>
          <w:spacing w:val="-12"/>
        </w:rPr>
        <w:t>验收标准等进行交底。技术交底采取“双层三级制”，交底后施工人员认真反复学习，贯彻执行。</w:t>
      </w:r>
    </w:p>
    <w:p>
      <w:pPr>
        <w:pStyle w:val="BodyText"/>
        <w:spacing w:before="4"/>
        <w:ind w:left="1920"/>
      </w:pPr>
      <w:r>
        <w:t>、物资准备</w:t>
      </w:r>
    </w:p>
    <w:p>
      <w:pPr>
        <w:pStyle w:val="BodyText"/>
        <w:spacing w:before="241" w:line="364" w:lineRule="auto"/>
        <w:ind w:left="1920" w:right="3638" w:hanging="1"/>
      </w:pPr>
      <w:r>
        <w:rPr>
          <w:spacing w:val="-1"/>
        </w:rPr>
        <w:t>物资准备工作包括材料准备，施工机具准备和安全防护用品的准备。</w:t>
      </w:r>
      <w:r>
        <w:t>1、材料准备</w:t>
      </w:r>
    </w:p>
    <w:p>
      <w:pPr>
        <w:pStyle w:val="BodyText"/>
        <w:spacing w:before="2" w:line="364" w:lineRule="auto"/>
        <w:ind w:left="1200" w:right="2517" w:firstLine="719"/>
      </w:pPr>
      <w:r>
        <w:rPr>
          <w:spacing w:val="-20"/>
        </w:rPr>
        <w:t xml:space="preserve">主要包括水泥、砂石、各种管材等，必须提前选定材料品牌，签订购买合同， </w:t>
      </w:r>
      <w:r>
        <w:t>按工程进度需要，组织分批进场。</w:t>
      </w:r>
    </w:p>
    <w:p>
      <w:pPr>
        <w:pStyle w:val="BodyText"/>
        <w:spacing w:before="2"/>
        <w:ind w:left="1920"/>
      </w:pPr>
      <w:r>
        <w:t>2、施工机具及实验器具准备</w:t>
      </w:r>
    </w:p>
    <w:p>
      <w:pPr>
        <w:pStyle w:val="BodyText"/>
        <w:spacing w:before="241" w:line="364" w:lineRule="auto"/>
        <w:ind w:left="1200" w:right="2556" w:firstLine="719"/>
      </w:pPr>
      <w:r>
        <w:t>根据工程进度的需要，编制施工机械使用计划，按施工工艺要求，确定进退物资的时间，对公司自有的机械设备，提前检修，保养好，对于需租赁的大型设备，提前签好租赁合同。</w:t>
      </w:r>
    </w:p>
    <w:p>
      <w:pPr>
        <w:pStyle w:val="BodyText"/>
        <w:spacing w:before="3" w:line="364" w:lineRule="auto"/>
        <w:ind w:left="1560" w:right="4718"/>
      </w:pPr>
      <w:r>
        <w:t xml:space="preserve">“拟投入主要施工机械设备表”见本施工组织设计附表一。   </w:t>
      </w:r>
      <w:r>
        <w:rPr>
          <w:spacing w:val="-1"/>
        </w:rPr>
        <w:t>“拟配备的试验和检测仪器设备表”见本施工组织设计附表二。</w:t>
      </w:r>
    </w:p>
    <w:p>
      <w:pPr>
        <w:pStyle w:val="BodyText"/>
        <w:spacing w:before="2"/>
        <w:ind w:left="1740"/>
      </w:pPr>
      <w:r>
        <w:t>、安全防护用品的准备</w:t>
      </w:r>
    </w:p>
    <w:p>
      <w:pPr>
        <w:pStyle w:val="BodyText"/>
        <w:spacing w:before="240"/>
        <w:ind w:left="1920"/>
      </w:pPr>
      <w:r>
        <w:t>根据本工程特点配备足够的安全防护用品。</w:t>
      </w:r>
    </w:p>
    <w:p>
      <w:pPr>
        <w:pStyle w:val="BodyText"/>
        <w:spacing w:before="242"/>
        <w:ind w:left="1740"/>
      </w:pPr>
      <w:r>
        <w:t>、劳动力组织</w:t>
      </w:r>
    </w:p>
    <w:p>
      <w:pPr>
        <w:pStyle w:val="BodyText"/>
        <w:spacing w:before="241"/>
        <w:ind w:left="1920"/>
      </w:pPr>
      <w:r>
        <w:t>配足的各班组所需劳动力，劳动力组织还必须做到：</w:t>
      </w:r>
    </w:p>
    <w:p>
      <w:pPr>
        <w:pStyle w:val="BodyText"/>
        <w:spacing w:before="241"/>
        <w:ind w:left="2100"/>
      </w:pPr>
      <w:r>
        <w:t>1、按照开工日期和工程进度要求，组织劳动人员进场。</w:t>
      </w:r>
    </w:p>
    <w:p>
      <w:pPr>
        <w:pStyle w:val="BodyText"/>
        <w:spacing w:before="240"/>
        <w:ind w:left="2100"/>
      </w:pPr>
      <w:r>
        <w:t>2、对职工进行安全，防火和文明施工等方面的教育，并安排好职工生活。</w:t>
      </w:r>
    </w:p>
    <w:p>
      <w:pPr>
        <w:pStyle w:val="BodyText"/>
        <w:spacing w:before="241" w:line="364" w:lineRule="auto"/>
        <w:ind w:left="1200" w:right="2558" w:firstLine="900"/>
      </w:pPr>
      <w:r>
        <w:t>3、向施工班组、工人进行施工组织计划进度计划、质量、安全等方面的技术交底。</w:t>
      </w:r>
    </w:p>
    <w:p>
      <w:pPr>
        <w:spacing w:after="0" w:line="364" w:lineRule="auto"/>
        <w:sectPr>
          <w:pgSz w:w="17860" w:h="25260"/>
          <w:pgMar w:top="1920" w:right="0" w:bottom="280" w:left="1500" w:header="708" w:footer="708"/>
          <w:pgNumType w:start="16"/>
          <w:cols w:space="708"/>
        </w:sectPr>
      </w:pPr>
    </w:p>
    <w:p>
      <w:pPr>
        <w:pStyle w:val="BodyText"/>
        <w:spacing w:before="35"/>
        <w:ind w:left="2100"/>
      </w:pPr>
      <w:r>
        <w:t>4、建立健全各项管理制度，规范职工行为。</w:t>
      </w:r>
    </w:p>
    <w:p>
      <w:pPr>
        <w:pStyle w:val="BodyText"/>
        <w:spacing w:before="242" w:line="364" w:lineRule="auto"/>
        <w:ind w:left="2100" w:right="11558"/>
      </w:pPr>
      <w:r>
        <w:t>、施工现场准备 1</w:t>
      </w:r>
      <w:r>
        <w:rPr>
          <w:spacing w:val="-3"/>
        </w:rPr>
        <w:t>、临时设施建设</w:t>
      </w:r>
    </w:p>
    <w:p>
      <w:pPr>
        <w:pStyle w:val="BodyText"/>
        <w:spacing w:before="1" w:line="364" w:lineRule="auto"/>
        <w:ind w:left="1200" w:right="2696" w:firstLine="719"/>
        <w:jc w:val="both"/>
      </w:pPr>
      <w:r>
        <w:rPr>
          <w:spacing w:val="-7"/>
        </w:rPr>
        <w:t>依据业主及监理工程师批准的施工组织设计中平面布置规划，按照规定程序</w:t>
      </w:r>
      <w:r>
        <w:rPr>
          <w:spacing w:val="-11"/>
        </w:rPr>
        <w:t>和使用标准建设好办公、生活和生产用临时设施。项目部临时设施建设有如下几</w:t>
      </w:r>
      <w:r>
        <w:t>项：</w:t>
      </w:r>
    </w:p>
    <w:p>
      <w:pPr>
        <w:pStyle w:val="ListParagraph"/>
        <w:numPr>
          <w:ilvl w:val="1"/>
          <w:numId w:val="27"/>
        </w:numPr>
        <w:tabs>
          <w:tab w:val="left" w:pos="3002"/>
        </w:tabs>
        <w:spacing w:before="3" w:after="0" w:line="240" w:lineRule="auto"/>
        <w:ind w:left="3001" w:right="0" w:hanging="902"/>
        <w:jc w:val="left"/>
        <w:rPr>
          <w:sz w:val="36"/>
        </w:rPr>
      </w:pPr>
      <w:r>
        <w:rPr>
          <w:sz w:val="36"/>
        </w:rPr>
        <w:t>、办公用房：包括各类办公室、会议室、门卫、消防等，</w:t>
      </w:r>
    </w:p>
    <w:p>
      <w:pPr>
        <w:pStyle w:val="ListParagraph"/>
        <w:numPr>
          <w:ilvl w:val="1"/>
          <w:numId w:val="27"/>
        </w:numPr>
        <w:tabs>
          <w:tab w:val="left" w:pos="3002"/>
        </w:tabs>
        <w:spacing w:before="241" w:after="0" w:line="240" w:lineRule="auto"/>
        <w:ind w:left="3001" w:right="0" w:hanging="902"/>
        <w:jc w:val="left"/>
        <w:rPr>
          <w:sz w:val="36"/>
        </w:rPr>
      </w:pPr>
      <w:r>
        <w:rPr>
          <w:sz w:val="36"/>
        </w:rPr>
        <w:t>、生活用房：包括职工宿舍、食堂、卫生设施、水房、休息室等，</w:t>
      </w:r>
    </w:p>
    <w:p>
      <w:pPr>
        <w:pStyle w:val="ListParagraph"/>
        <w:numPr>
          <w:ilvl w:val="1"/>
          <w:numId w:val="27"/>
        </w:numPr>
        <w:tabs>
          <w:tab w:val="left" w:pos="3002"/>
        </w:tabs>
        <w:spacing w:before="241" w:after="0" w:line="364" w:lineRule="auto"/>
        <w:ind w:left="2100" w:right="6338" w:hanging="1"/>
        <w:jc w:val="left"/>
        <w:rPr>
          <w:sz w:val="36"/>
        </w:rPr>
      </w:pPr>
      <w:r>
        <w:rPr>
          <w:sz w:val="36"/>
        </w:rPr>
        <w:t>、生产用设施：包括材料及小型工具仓库等</w:t>
      </w:r>
      <w:r>
        <w:rPr>
          <w:spacing w:val="-10"/>
          <w:sz w:val="36"/>
        </w:rPr>
        <w:t xml:space="preserve">。 </w:t>
      </w:r>
      <w:r>
        <w:rPr>
          <w:sz w:val="36"/>
        </w:rPr>
        <w:t>2、施工道路及管线铺设</w:t>
      </w:r>
    </w:p>
    <w:p>
      <w:pPr>
        <w:pStyle w:val="BodyText"/>
        <w:spacing w:before="2" w:line="364" w:lineRule="auto"/>
        <w:ind w:left="1200" w:right="2697" w:firstLine="719"/>
      </w:pPr>
      <w:r>
        <w:rPr>
          <w:spacing w:val="-7"/>
        </w:rPr>
        <w:t>施工单位负责合同协议约定的施工现场内道路管线铺设。临时给水、排水用</w:t>
      </w:r>
      <w:r>
        <w:t>电要满足施工高峰期的实际用量。</w:t>
      </w:r>
    </w:p>
    <w:p>
      <w:pPr>
        <w:pStyle w:val="BodyText"/>
        <w:spacing w:before="2"/>
        <w:ind w:left="1200"/>
      </w:pPr>
      <w:r>
        <w:t>、施工现场安全与环境保护</w:t>
      </w:r>
    </w:p>
    <w:p>
      <w:pPr>
        <w:pStyle w:val="BodyText"/>
        <w:spacing w:before="241"/>
        <w:ind w:left="1898"/>
      </w:pPr>
      <w:r>
        <w:t>采取措施，强化施工现场噪音管理，努力降低噪音扰民现象的发生。</w:t>
      </w:r>
    </w:p>
    <w:p>
      <w:pPr>
        <w:pStyle w:val="BodyText"/>
        <w:spacing w:before="241" w:line="364" w:lineRule="auto"/>
        <w:ind w:left="1200" w:right="2693" w:firstLine="698"/>
      </w:pPr>
      <w:r>
        <w:rPr>
          <w:spacing w:val="-9"/>
        </w:rPr>
        <w:t>加强安全防火施工宣传教育，健全安全防火工程保证体系，完善与配套相关</w:t>
      </w:r>
      <w:r>
        <w:t>的各项规章制度。</w:t>
      </w:r>
    </w:p>
    <w:p>
      <w:pPr>
        <w:pStyle w:val="BodyText"/>
        <w:spacing w:before="2" w:line="364" w:lineRule="auto"/>
        <w:ind w:left="1200" w:right="2697" w:firstLine="719"/>
      </w:pPr>
      <w:r>
        <w:rPr>
          <w:spacing w:val="-10"/>
        </w:rPr>
        <w:t>按照环境保护的规定，认真处理好施工与生活的垃圾、污水、废水的排放与</w:t>
      </w:r>
      <w:r>
        <w:t>处理要有措施。</w:t>
      </w:r>
    </w:p>
    <w:p>
      <w:pPr>
        <w:pStyle w:val="BodyText"/>
        <w:spacing w:before="2"/>
        <w:ind w:left="1898"/>
      </w:pPr>
      <w:r>
        <w:t>、“施工总平面图”见本施工组织设计附表三。</w:t>
      </w:r>
    </w:p>
    <w:p>
      <w:pPr>
        <w:spacing w:after="0"/>
        <w:sectPr>
          <w:pgSz w:w="17860" w:h="25260"/>
          <w:pgMar w:top="1920" w:right="0" w:bottom="280" w:left="1500" w:header="708" w:footer="708"/>
          <w:pgNumType w:start="17"/>
          <w:cols w:space="708"/>
        </w:sectPr>
      </w:pPr>
    </w:p>
    <w:p>
      <w:pPr>
        <w:pStyle w:val="Heading1"/>
        <w:ind w:left="2547"/>
      </w:pPr>
      <w:r>
        <w:t>第 4 章 施工方案与技术措施</w:t>
      </w:r>
    </w:p>
    <w:p>
      <w:pPr>
        <w:pStyle w:val="BodyText"/>
        <w:spacing w:before="11"/>
        <w:rPr>
          <w:b/>
          <w:sz w:val="77"/>
        </w:rPr>
      </w:pPr>
    </w:p>
    <w:p>
      <w:pPr>
        <w:pStyle w:val="Heading2"/>
      </w:pPr>
      <w:r>
        <w:t>、工程施工测量</w:t>
      </w:r>
    </w:p>
    <w:p>
      <w:pPr>
        <w:pStyle w:val="BodyText"/>
        <w:spacing w:before="12"/>
        <w:rPr>
          <w:b/>
          <w:sz w:val="59"/>
        </w:rPr>
      </w:pPr>
    </w:p>
    <w:p>
      <w:pPr>
        <w:pStyle w:val="BodyText"/>
        <w:ind w:left="1560"/>
      </w:pPr>
      <w:r>
        <w:t>、测量准备</w:t>
      </w:r>
    </w:p>
    <w:p>
      <w:pPr>
        <w:pStyle w:val="BodyText"/>
        <w:spacing w:before="241"/>
        <w:ind w:left="1200"/>
      </w:pPr>
      <w:r>
        <w:t>1、测量仪器配置</w:t>
      </w:r>
    </w:p>
    <w:p>
      <w:pPr>
        <w:pStyle w:val="ListParagraph"/>
        <w:numPr>
          <w:ilvl w:val="0"/>
          <w:numId w:val="28"/>
        </w:numPr>
        <w:tabs>
          <w:tab w:val="left" w:pos="2642"/>
        </w:tabs>
        <w:spacing w:before="241" w:after="0" w:line="240" w:lineRule="auto"/>
        <w:ind w:left="2641" w:right="0" w:hanging="902"/>
        <w:jc w:val="left"/>
        <w:rPr>
          <w:sz w:val="36"/>
        </w:rPr>
      </w:pPr>
      <w:r>
        <w:rPr>
          <w:sz w:val="36"/>
        </w:rPr>
        <w:t>、全站仪：根据本工程实际情况配置一台全站仪</w:t>
      </w:r>
      <w:r>
        <w:rPr>
          <w:spacing w:val="1"/>
          <w:sz w:val="36"/>
        </w:rPr>
        <w:t>（</w:t>
      </w:r>
      <w:r>
        <w:rPr>
          <w:sz w:val="36"/>
        </w:rPr>
        <w:t>ES-602G</w:t>
      </w:r>
      <w:r>
        <w:rPr>
          <w:spacing w:val="-180"/>
          <w:sz w:val="36"/>
        </w:rPr>
        <w:t>）</w:t>
      </w:r>
      <w:r>
        <w:rPr>
          <w:sz w:val="36"/>
        </w:rPr>
        <w:t>。</w:t>
      </w:r>
    </w:p>
    <w:p>
      <w:pPr>
        <w:pStyle w:val="ListParagraph"/>
        <w:numPr>
          <w:ilvl w:val="0"/>
          <w:numId w:val="28"/>
        </w:numPr>
        <w:tabs>
          <w:tab w:val="left" w:pos="2642"/>
        </w:tabs>
        <w:spacing w:before="241" w:after="0" w:line="364" w:lineRule="auto"/>
        <w:ind w:left="1200" w:right="2725" w:firstLine="539"/>
        <w:jc w:val="left"/>
        <w:rPr>
          <w:sz w:val="36"/>
        </w:rPr>
      </w:pPr>
      <w:r>
        <w:rPr>
          <w:sz w:val="36"/>
        </w:rPr>
        <w:t>、水准仪</w:t>
      </w:r>
      <w:r>
        <w:rPr>
          <w:spacing w:val="8"/>
          <w:sz w:val="36"/>
        </w:rPr>
        <w:t>（</w:t>
      </w:r>
      <w:r>
        <w:rPr>
          <w:sz w:val="36"/>
        </w:rPr>
        <w:t>DS</w:t>
      </w:r>
      <w:r>
        <w:rPr>
          <w:spacing w:val="3"/>
          <w:sz w:val="36"/>
        </w:rPr>
        <w:t>1</w:t>
      </w:r>
      <w:r>
        <w:rPr>
          <w:sz w:val="36"/>
        </w:rPr>
        <w:t>、NAL124</w:t>
      </w:r>
      <w:r>
        <w:rPr>
          <w:spacing w:val="-180"/>
          <w:sz w:val="36"/>
        </w:rPr>
        <w:t>）</w:t>
      </w:r>
      <w:r>
        <w:rPr>
          <w:sz w:val="36"/>
        </w:rPr>
        <w:t>：控制标高引测及沉降观测等精度要求较高</w:t>
      </w:r>
      <w:r>
        <w:rPr>
          <w:spacing w:val="-28"/>
          <w:sz w:val="36"/>
        </w:rPr>
        <w:t xml:space="preserve">时采用 </w:t>
      </w:r>
      <w:r>
        <w:rPr>
          <w:sz w:val="36"/>
        </w:rPr>
        <w:t>DS1</w:t>
      </w:r>
      <w:r>
        <w:rPr>
          <w:spacing w:val="-14"/>
          <w:sz w:val="36"/>
        </w:rPr>
        <w:t xml:space="preserve"> 精密水准仪，一般现场场地标高测量常采用 </w:t>
      </w:r>
      <w:r>
        <w:rPr>
          <w:sz w:val="36"/>
        </w:rPr>
        <w:t>NAL124</w:t>
      </w:r>
      <w:r>
        <w:rPr>
          <w:spacing w:val="-19"/>
          <w:sz w:val="36"/>
        </w:rPr>
        <w:t xml:space="preserve"> 水准仪。</w:t>
      </w:r>
    </w:p>
    <w:p>
      <w:pPr>
        <w:pStyle w:val="ListParagraph"/>
        <w:numPr>
          <w:ilvl w:val="0"/>
          <w:numId w:val="28"/>
        </w:numPr>
        <w:tabs>
          <w:tab w:val="left" w:pos="2102"/>
        </w:tabs>
        <w:spacing w:before="2" w:after="0" w:line="240" w:lineRule="auto"/>
        <w:ind w:left="2101" w:right="0" w:hanging="902"/>
        <w:jc w:val="left"/>
        <w:rPr>
          <w:sz w:val="36"/>
        </w:rPr>
      </w:pPr>
      <w:r>
        <w:rPr>
          <w:sz w:val="36"/>
        </w:rPr>
        <w:t>、花杆（2m</w:t>
      </w:r>
      <w:r>
        <w:rPr>
          <w:spacing w:val="-180"/>
          <w:sz w:val="36"/>
        </w:rPr>
        <w:t>）</w:t>
      </w:r>
      <w:r>
        <w:rPr>
          <w:sz w:val="36"/>
        </w:rPr>
        <w:t>：远距离对中及断面测量。</w:t>
      </w:r>
    </w:p>
    <w:p>
      <w:pPr>
        <w:pStyle w:val="ListParagraph"/>
        <w:numPr>
          <w:ilvl w:val="0"/>
          <w:numId w:val="28"/>
        </w:numPr>
        <w:tabs>
          <w:tab w:val="left" w:pos="2102"/>
        </w:tabs>
        <w:spacing w:before="241" w:after="0" w:line="240" w:lineRule="auto"/>
        <w:ind w:left="2101" w:right="0" w:hanging="902"/>
        <w:jc w:val="left"/>
        <w:rPr>
          <w:sz w:val="36"/>
        </w:rPr>
      </w:pPr>
      <w:r>
        <w:rPr>
          <w:sz w:val="36"/>
        </w:rPr>
        <w:t>、钢卷尺（50</w:t>
      </w:r>
      <w:r>
        <w:rPr>
          <w:spacing w:val="1"/>
          <w:sz w:val="36"/>
        </w:rPr>
        <w:t>m</w:t>
      </w:r>
      <w:r>
        <w:rPr>
          <w:sz w:val="36"/>
        </w:rPr>
        <w:t>、5m</w:t>
      </w:r>
      <w:r>
        <w:rPr>
          <w:spacing w:val="-180"/>
          <w:sz w:val="36"/>
        </w:rPr>
        <w:t>）</w:t>
      </w:r>
      <w:r>
        <w:rPr>
          <w:sz w:val="36"/>
        </w:rPr>
        <w:t>：进行实地短距离丈量。</w:t>
      </w:r>
    </w:p>
    <w:p>
      <w:pPr>
        <w:pStyle w:val="BodyText"/>
        <w:spacing w:before="241"/>
        <w:ind w:left="1560"/>
      </w:pPr>
      <w:r>
        <w:t>、作业条件</w:t>
      </w:r>
    </w:p>
    <w:p>
      <w:pPr>
        <w:pStyle w:val="BodyText"/>
        <w:spacing w:before="241"/>
        <w:ind w:left="1560"/>
      </w:pPr>
      <w:r>
        <w:t>1、使用的测量仪器都已经专业法定检测部门检验合格。</w:t>
      </w:r>
    </w:p>
    <w:p>
      <w:pPr>
        <w:pStyle w:val="BodyText"/>
        <w:spacing w:before="240"/>
        <w:ind w:left="1560"/>
      </w:pPr>
      <w:r>
        <w:t>2、熟悉施工图纸以及施工现场地理环境。</w:t>
      </w:r>
    </w:p>
    <w:p>
      <w:pPr>
        <w:pStyle w:val="BodyText"/>
        <w:spacing w:before="241"/>
        <w:ind w:left="1560"/>
      </w:pPr>
      <w:r>
        <w:t>3、建设单位必须将工程控制桩或导线点以现场提供和书面形式移交施工单位。</w:t>
      </w:r>
    </w:p>
    <w:p>
      <w:pPr>
        <w:pStyle w:val="BodyText"/>
        <w:spacing w:before="241" w:line="364" w:lineRule="auto"/>
        <w:ind w:left="1200" w:right="2696" w:firstLine="359"/>
        <w:jc w:val="both"/>
      </w:pPr>
      <w:r>
        <w:t>4、根据建设单位提供的工程控制桩，先对其坐标、高程进行复核测量，复核</w:t>
      </w:r>
      <w:r>
        <w:rPr>
          <w:spacing w:val="-9"/>
        </w:rPr>
        <w:t>控制点本身闭合差是否在规范规定范围内，同时依据控制点坐标复核与拟施工道</w:t>
      </w:r>
      <w:r>
        <w:rPr>
          <w:spacing w:val="-7"/>
        </w:rPr>
        <w:t>路相关联的已建建筑物和道路是否与该坐标控制体系有出入，经复核无误后才能</w:t>
      </w:r>
      <w:r>
        <w:rPr>
          <w:spacing w:val="-10"/>
        </w:rPr>
        <w:t>使用建设单位提供的坐标、高程控制桩。若发现控制桩复核误差超出《工程测量</w:t>
      </w:r>
      <w:r>
        <w:rPr>
          <w:spacing w:val="-59"/>
        </w:rPr>
        <w:t>规范》</w:t>
      </w:r>
      <w:r>
        <w:t>（GB50026-2007）中所规定的允许范围，应向建设单位提交书面资料，要求重新提供。</w:t>
      </w:r>
    </w:p>
    <w:p>
      <w:pPr>
        <w:pStyle w:val="BodyText"/>
        <w:spacing w:before="6" w:line="364" w:lineRule="auto"/>
        <w:ind w:left="1200" w:right="2378" w:firstLine="359"/>
      </w:pPr>
      <w:r>
        <w:t>5</w:t>
      </w:r>
      <w:r>
        <w:rPr>
          <w:spacing w:val="-1"/>
        </w:rPr>
        <w:t>、建立测量控制网：根据设计总平面图、施工现场地理环境、测量通视效果、</w:t>
      </w:r>
      <w:r>
        <w:rPr>
          <w:spacing w:val="-6"/>
        </w:rPr>
        <w:t>测量便利程度和拟设控制点保护条件等因素综合考虑，合理布设测量控制桩。控</w:t>
      </w:r>
      <w:r>
        <w:rPr>
          <w:spacing w:val="-13"/>
        </w:rPr>
        <w:t>制桩布好后再依据建设单位提供的坐标、高程控制点，将布设的导线控制点的坐标、高程测量出来，经复核无误后就形成完整的能直接指导测量施工的坐标、高程控制网体系，并形成文字记录。</w:t>
      </w:r>
    </w:p>
    <w:p>
      <w:pPr>
        <w:pStyle w:val="BodyText"/>
        <w:spacing w:before="5"/>
        <w:ind w:left="1560"/>
      </w:pPr>
      <w:r>
        <w:t>、测量施工工艺流程</w:t>
      </w:r>
    </w:p>
    <w:p>
      <w:pPr>
        <w:pStyle w:val="BodyText"/>
        <w:spacing w:before="241" w:line="364" w:lineRule="auto"/>
        <w:ind w:left="1560" w:right="6878"/>
      </w:pPr>
      <w:r>
        <w:t>基础处理测量→湖岸及景观工程测量→竣工测量。1、基础处理测量</w:t>
      </w:r>
    </w:p>
    <w:p>
      <w:pPr>
        <w:spacing w:after="0" w:line="364" w:lineRule="auto"/>
        <w:sectPr>
          <w:pgSz w:w="17860" w:h="25260"/>
          <w:pgMar w:top="1740" w:right="0" w:bottom="280" w:left="1500" w:header="708" w:footer="708"/>
          <w:pgNumType w:start="18"/>
          <w:cols w:space="708"/>
        </w:sectPr>
      </w:pPr>
    </w:p>
    <w:p>
      <w:pPr>
        <w:pStyle w:val="BodyText"/>
        <w:spacing w:before="35" w:line="364" w:lineRule="auto"/>
        <w:ind w:left="1200" w:right="2695" w:firstLine="719"/>
      </w:pPr>
      <w:r>
        <w:rPr>
          <w:spacing w:val="-14"/>
        </w:rPr>
        <w:t>在坐标、高程控制网建立后，紧接着就是基础处理测量工作，这是基础处理</w:t>
      </w:r>
      <w:r>
        <w:rPr>
          <w:spacing w:val="-11"/>
        </w:rPr>
        <w:t>施工中必不可少的一道重要程序。主要测量在基础处理施工过程中的高程控制和</w:t>
      </w:r>
      <w:r>
        <w:t>基础施工完成后高程是否与设计平面图存在较大误差。测量人员主要做以下工作：</w:t>
      </w:r>
    </w:p>
    <w:p>
      <w:pPr>
        <w:pStyle w:val="BodyText"/>
        <w:spacing w:before="5" w:line="364" w:lineRule="auto"/>
        <w:ind w:left="1740" w:right="2556" w:hanging="540"/>
      </w:pPr>
      <w:r>
        <w:t>依据坐标控制网，按照设计平面图中各地块实际高程放样出来并形成文字记录； 2、湖岸及景观工程测量</w:t>
      </w:r>
    </w:p>
    <w:p>
      <w:pPr>
        <w:pStyle w:val="BodyText"/>
        <w:spacing w:before="1" w:line="364" w:lineRule="auto"/>
        <w:ind w:left="1200" w:right="2515" w:firstLine="719"/>
      </w:pPr>
      <w:r>
        <w:rPr>
          <w:spacing w:val="-3"/>
        </w:rPr>
        <w:t>湖岸及景观工程施工主要包括箱涵、放空管系统、</w:t>
      </w:r>
      <w:r>
        <w:t>HDPE</w:t>
      </w:r>
      <w:r>
        <w:rPr>
          <w:spacing w:val="-13"/>
        </w:rPr>
        <w:t xml:space="preserve"> 膜施工及湖堤施工， </w:t>
      </w:r>
      <w:r>
        <w:rPr>
          <w:spacing w:val="-9"/>
        </w:rPr>
        <w:t>均在基础处理施工结束后进行。管道工程先测量管道系统中心线，在适当地点设</w:t>
      </w:r>
      <w:r>
        <w:rPr>
          <w:spacing w:val="-17"/>
        </w:rPr>
        <w:t>置施工控制桩并撒出石灰线以便开挖，在机械开挖施工时同步架设水准仪进行跟</w:t>
      </w:r>
      <w:r>
        <w:rPr>
          <w:spacing w:val="-16"/>
        </w:rPr>
        <w:t>踪测量，及时控制管槽开挖深度，防止超挖；管槽开挖后应及时恢复管道中心线和控制高程，采用设置坡度板来进行高程、中心线控制，随时检查坡度板设置位置和高程是否准确，确保管道中心线、坡度及附属构筑物位置与沟槽长度准确。HDPE</w:t>
      </w:r>
      <w:r>
        <w:rPr>
          <w:spacing w:val="-1"/>
        </w:rPr>
        <w:t xml:space="preserve"> 膜施工应在湖堤施工完成后进行。湖堤施工前应根据设计施工图及基槽开挖深度放出坡，确定开挖边线，具体控制方法同管槽控制方法。</w:t>
      </w:r>
    </w:p>
    <w:p>
      <w:pPr>
        <w:pStyle w:val="BodyText"/>
        <w:spacing w:before="8"/>
        <w:ind w:left="1740"/>
      </w:pPr>
      <w:r>
        <w:rPr>
          <w:spacing w:val="-1"/>
        </w:rPr>
        <w:t>3</w:t>
      </w:r>
      <w:r>
        <w:t>、竣工测量</w:t>
      </w:r>
    </w:p>
    <w:p>
      <w:pPr>
        <w:pStyle w:val="BodyText"/>
        <w:spacing w:before="241" w:line="364" w:lineRule="auto"/>
        <w:ind w:left="1200" w:right="2558" w:firstLine="719"/>
      </w:pPr>
      <w:r>
        <w:rPr>
          <w:spacing w:val="-1"/>
        </w:rPr>
        <w:t>本市政工程完工后，需进行竣工测量。竣工测量包括：道路中心线位置、标</w:t>
      </w:r>
      <w:r>
        <w:rPr>
          <w:spacing w:val="-12"/>
        </w:rPr>
        <w:t>高、横断面图式，附属结构及地下管线的实际位置和标高。测量结果应在竣工图</w:t>
      </w:r>
      <w:r>
        <w:rPr>
          <w:spacing w:val="-15"/>
        </w:rPr>
        <w:t>中标明，测量复核记录及竣工测量均应整理归档。建设单位和监理单位应对竣工测量进行核查。</w:t>
      </w:r>
    </w:p>
    <w:p>
      <w:pPr>
        <w:pStyle w:val="BodyText"/>
        <w:spacing w:before="4"/>
        <w:ind w:left="1740"/>
      </w:pPr>
      <w:r>
        <w:rPr>
          <w:spacing w:val="-1"/>
        </w:rPr>
        <w:t>4</w:t>
      </w:r>
      <w:r>
        <w:t>、质量标准</w:t>
      </w:r>
    </w:p>
    <w:p>
      <w:pPr>
        <w:pStyle w:val="ListParagraph"/>
        <w:numPr>
          <w:ilvl w:val="1"/>
          <w:numId w:val="24"/>
        </w:numPr>
        <w:tabs>
          <w:tab w:val="left" w:pos="2642"/>
          <w:tab w:val="left" w:pos="7500"/>
        </w:tabs>
        <w:spacing w:before="241" w:after="0" w:line="240" w:lineRule="auto"/>
        <w:ind w:left="2641" w:right="0" w:hanging="902"/>
        <w:jc w:val="left"/>
        <w:rPr>
          <w:sz w:val="36"/>
        </w:rPr>
      </w:pPr>
      <w:r>
        <w:drawing>
          <wp:anchor distT="0" distB="0" distL="0" distR="0" simplePos="0" relativeHeight="251665408" behindDoc="1" locked="0" layoutInCell="1" allowOverlap="1">
            <wp:simplePos x="0" y="0"/>
            <wp:positionH relativeFrom="page">
              <wp:posOffset>5422900</wp:posOffset>
            </wp:positionH>
            <wp:positionV relativeFrom="paragraph">
              <wp:posOffset>176783</wp:posOffset>
            </wp:positionV>
            <wp:extent cx="393700" cy="241300"/>
            <wp:effectExtent l="0" t="0" r="0" b="0"/>
            <wp:wrapNone/>
            <wp:docPr id="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9.png"/>
                    <pic:cNvPicPr/>
                  </pic:nvPicPr>
                  <pic:blipFill>
                    <a:blip xmlns:r="http://schemas.openxmlformats.org/officeDocument/2006/relationships" r:embed="rId12" cstate="print"/>
                    <a:stretch>
                      <a:fillRect/>
                    </a:stretch>
                  </pic:blipFill>
                  <pic:spPr>
                    <a:xfrm>
                      <a:off x="0" y="0"/>
                      <a:ext cx="393700" cy="241300"/>
                    </a:xfrm>
                    <a:prstGeom prst="rect">
                      <a:avLst/>
                    </a:prstGeom>
                  </pic:spPr>
                </pic:pic>
              </a:graphicData>
            </a:graphic>
          </wp:anchor>
        </w:drawing>
      </w:r>
      <w:r>
        <w:rPr>
          <w:sz w:val="36"/>
        </w:rPr>
        <w:t>、导线方位角闭合差为：±40</w:t>
        <w:tab/>
        <w:t>n 秒</w:t>
      </w:r>
      <w:r>
        <w:rPr>
          <w:spacing w:val="-179"/>
          <w:sz w:val="36"/>
        </w:rPr>
        <w:t>，</w:t>
      </w:r>
      <w:r>
        <w:rPr>
          <w:sz w:val="36"/>
        </w:rPr>
        <w:t>（n</w:t>
      </w:r>
      <w:r>
        <w:rPr>
          <w:spacing w:val="-90"/>
          <w:sz w:val="36"/>
        </w:rPr>
        <w:t xml:space="preserve"> </w:t>
      </w:r>
      <w:r>
        <w:rPr>
          <w:sz w:val="36"/>
        </w:rPr>
        <w:t>为测站数</w:t>
      </w:r>
      <w:r>
        <w:rPr>
          <w:spacing w:val="-180"/>
          <w:sz w:val="36"/>
        </w:rPr>
        <w:t>）</w:t>
      </w:r>
      <w:r>
        <w:rPr>
          <w:sz w:val="36"/>
        </w:rPr>
        <w:t>。</w:t>
      </w:r>
    </w:p>
    <w:p>
      <w:pPr>
        <w:pStyle w:val="ListParagraph"/>
        <w:numPr>
          <w:ilvl w:val="1"/>
          <w:numId w:val="24"/>
        </w:numPr>
        <w:tabs>
          <w:tab w:val="left" w:pos="2642"/>
          <w:tab w:val="left" w:pos="6612"/>
        </w:tabs>
        <w:spacing w:before="241" w:after="0" w:line="364" w:lineRule="auto"/>
        <w:ind w:left="1200" w:right="2710" w:firstLine="539"/>
        <w:jc w:val="left"/>
        <w:rPr>
          <w:sz w:val="36"/>
        </w:rPr>
      </w:pPr>
      <w:r>
        <w:drawing>
          <wp:anchor distT="0" distB="0" distL="0" distR="0" simplePos="0" relativeHeight="251666432" behindDoc="1" locked="0" layoutInCell="1" allowOverlap="1">
            <wp:simplePos x="0" y="0"/>
            <wp:positionH relativeFrom="page">
              <wp:posOffset>4889500</wp:posOffset>
            </wp:positionH>
            <wp:positionV relativeFrom="paragraph">
              <wp:posOffset>162813</wp:posOffset>
            </wp:positionV>
            <wp:extent cx="393700" cy="241300"/>
            <wp:effectExtent l="0" t="0" r="0" b="0"/>
            <wp:wrapNone/>
            <wp:docPr id="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0.png"/>
                    <pic:cNvPicPr/>
                  </pic:nvPicPr>
                  <pic:blipFill>
                    <a:blip xmlns:r="http://schemas.openxmlformats.org/officeDocument/2006/relationships" r:embed="rId13" cstate="print"/>
                    <a:stretch>
                      <a:fillRect/>
                    </a:stretch>
                  </pic:blipFill>
                  <pic:spPr>
                    <a:xfrm>
                      <a:off x="0" y="0"/>
                      <a:ext cx="393700" cy="241300"/>
                    </a:xfrm>
                    <a:prstGeom prst="rect">
                      <a:avLst/>
                    </a:prstGeom>
                  </pic:spPr>
                </pic:pic>
              </a:graphicData>
            </a:graphic>
          </wp:anchor>
        </w:drawing>
      </w:r>
      <w:r>
        <w:rPr>
          <w:sz w:val="36"/>
        </w:rPr>
        <w:t>、水准点闭合差为±12</w:t>
        <w:tab/>
      </w:r>
      <w:r>
        <w:rPr>
          <w:spacing w:val="3"/>
          <w:sz w:val="36"/>
        </w:rPr>
        <w:t>L</w:t>
      </w:r>
      <w:r>
        <w:rPr>
          <w:sz w:val="36"/>
        </w:rPr>
        <w:t>（m</w:t>
      </w:r>
      <w:r>
        <w:rPr>
          <w:spacing w:val="3"/>
          <w:sz w:val="36"/>
        </w:rPr>
        <w:t>m</w:t>
      </w:r>
      <w:r>
        <w:rPr>
          <w:spacing w:val="-180"/>
          <w:sz w:val="36"/>
        </w:rPr>
        <w:t>）</w:t>
      </w:r>
      <w:r>
        <w:rPr>
          <w:spacing w:val="-177"/>
          <w:sz w:val="36"/>
        </w:rPr>
        <w:t>，</w:t>
      </w:r>
      <w:r>
        <w:rPr>
          <w:spacing w:val="4"/>
          <w:sz w:val="36"/>
        </w:rPr>
        <w:t>（</w:t>
      </w:r>
      <w:r>
        <w:rPr>
          <w:sz w:val="36"/>
        </w:rPr>
        <w:t>L 为水准点之间的水平距离，单</w:t>
      </w:r>
      <w:r>
        <w:rPr>
          <w:spacing w:val="-16"/>
          <w:sz w:val="36"/>
        </w:rPr>
        <w:t>位</w:t>
      </w:r>
      <w:r>
        <w:rPr>
          <w:sz w:val="36"/>
        </w:rPr>
        <w:t>为</w:t>
      </w:r>
      <w:r>
        <w:rPr>
          <w:spacing w:val="-91"/>
          <w:sz w:val="36"/>
        </w:rPr>
        <w:t xml:space="preserve"> </w:t>
      </w:r>
      <w:r>
        <w:rPr>
          <w:sz w:val="36"/>
        </w:rPr>
        <w:t>km</w:t>
      </w:r>
      <w:r>
        <w:rPr>
          <w:spacing w:val="-180"/>
          <w:sz w:val="36"/>
        </w:rPr>
        <w:t>）</w:t>
      </w:r>
      <w:r>
        <w:rPr>
          <w:sz w:val="36"/>
        </w:rPr>
        <w:t>。</w:t>
      </w:r>
    </w:p>
    <w:p>
      <w:pPr>
        <w:pStyle w:val="ListParagraph"/>
        <w:numPr>
          <w:ilvl w:val="1"/>
          <w:numId w:val="24"/>
        </w:numPr>
        <w:tabs>
          <w:tab w:val="left" w:pos="2642"/>
        </w:tabs>
        <w:spacing w:before="3" w:after="0" w:line="364" w:lineRule="auto"/>
        <w:ind w:left="1200" w:right="2691" w:firstLine="539"/>
        <w:jc w:val="left"/>
        <w:rPr>
          <w:sz w:val="36"/>
        </w:rPr>
      </w:pPr>
      <w:r>
        <w:rPr>
          <w:spacing w:val="-28"/>
          <w:sz w:val="36"/>
        </w:rPr>
        <w:t xml:space="preserve">、直接丈量测距允许偏差：测距小于 </w:t>
      </w:r>
      <w:r>
        <w:rPr>
          <w:sz w:val="36"/>
        </w:rPr>
        <w:t>200m</w:t>
      </w:r>
      <w:r>
        <w:rPr>
          <w:spacing w:val="-27"/>
          <w:sz w:val="36"/>
        </w:rPr>
        <w:t xml:space="preserve"> 时允许偏差 </w:t>
      </w:r>
      <w:r>
        <w:rPr>
          <w:sz w:val="36"/>
        </w:rPr>
        <w:t>1/500</w:t>
      </w:r>
      <w:r>
        <w:rPr>
          <w:spacing w:val="1"/>
          <w:sz w:val="36"/>
        </w:rPr>
        <w:t>0</w:t>
      </w:r>
      <w:r>
        <w:rPr>
          <w:spacing w:val="-56"/>
          <w:sz w:val="36"/>
        </w:rPr>
        <w:t>；测距</w:t>
      </w:r>
      <w:r>
        <w:rPr>
          <w:spacing w:val="-90"/>
          <w:sz w:val="36"/>
        </w:rPr>
        <w:t xml:space="preserve"> </w:t>
      </w:r>
      <w:r>
        <w:rPr>
          <w:spacing w:val="-4"/>
          <w:sz w:val="36"/>
        </w:rPr>
        <w:t>200～</w:t>
      </w:r>
      <w:r>
        <w:rPr>
          <w:sz w:val="36"/>
        </w:rPr>
        <w:t xml:space="preserve"> 500m</w:t>
      </w:r>
      <w:r>
        <w:rPr>
          <w:spacing w:val="-25"/>
          <w:sz w:val="36"/>
        </w:rPr>
        <w:t xml:space="preserve"> 时，允许偏差 </w:t>
      </w:r>
      <w:r>
        <w:rPr>
          <w:sz w:val="36"/>
        </w:rPr>
        <w:t>1/10000；</w:t>
      </w:r>
      <w:r>
        <w:rPr>
          <w:spacing w:val="-18"/>
          <w:sz w:val="36"/>
        </w:rPr>
        <w:t xml:space="preserve">测距大于 </w:t>
      </w:r>
      <w:r>
        <w:rPr>
          <w:sz w:val="36"/>
        </w:rPr>
        <w:t>500m</w:t>
      </w:r>
      <w:r>
        <w:rPr>
          <w:spacing w:val="-27"/>
          <w:sz w:val="36"/>
        </w:rPr>
        <w:t xml:space="preserve"> 时允许偏差 </w:t>
      </w:r>
      <w:r>
        <w:rPr>
          <w:sz w:val="36"/>
        </w:rPr>
        <w:t>1/20000。</w:t>
      </w:r>
    </w:p>
    <w:p>
      <w:pPr>
        <w:pStyle w:val="BodyText"/>
        <w:spacing w:before="2"/>
        <w:rPr>
          <w:sz w:val="29"/>
        </w:rPr>
      </w:pPr>
    </w:p>
    <w:p>
      <w:pPr>
        <w:pStyle w:val="Heading2"/>
      </w:pPr>
      <w:r>
        <w:t>、基础处理工程</w:t>
      </w:r>
    </w:p>
    <w:p>
      <w:pPr>
        <w:pStyle w:val="BodyText"/>
        <w:spacing w:before="12"/>
        <w:rPr>
          <w:b/>
          <w:sz w:val="59"/>
        </w:rPr>
      </w:pPr>
    </w:p>
    <w:p>
      <w:pPr>
        <w:pStyle w:val="BodyText"/>
        <w:ind w:left="1200"/>
      </w:pPr>
      <w:r>
        <w:t>、人工湖基础处理范围及方法</w:t>
      </w:r>
    </w:p>
    <w:p>
      <w:pPr>
        <w:pStyle w:val="BodyText"/>
        <w:spacing w:before="241"/>
        <w:ind w:left="1920"/>
      </w:pPr>
      <w:r>
        <w:t>人工湖基础处理范围为人工湖所在地块区域，根据人工湖景观设计方案，人</w:t>
      </w:r>
    </w:p>
    <w:p>
      <w:pPr>
        <w:spacing w:after="0"/>
        <w:sectPr>
          <w:pgSz w:w="17860" w:h="25260"/>
          <w:pgMar w:top="1920" w:right="0" w:bottom="280" w:left="1500" w:header="708" w:footer="708"/>
          <w:pgNumType w:start="19"/>
          <w:cols w:space="708"/>
        </w:sectPr>
      </w:pPr>
    </w:p>
    <w:p>
      <w:pPr>
        <w:pStyle w:val="BodyText"/>
        <w:spacing w:before="35" w:line="364" w:lineRule="auto"/>
        <w:ind w:left="1200" w:right="2696"/>
        <w:jc w:val="both"/>
      </w:pPr>
      <w:r>
        <w:t>工湖基础处理区域总面积约万 m2，根据人工湖设计标高本工程人工湖基础处理</w:t>
      </w:r>
      <w:r>
        <w:rPr>
          <w:spacing w:val="-23"/>
        </w:rPr>
        <w:t xml:space="preserve">划分为 </w:t>
      </w:r>
      <w:r>
        <w:t>9</w:t>
      </w:r>
      <w:r>
        <w:rPr>
          <w:spacing w:val="-17"/>
        </w:rPr>
        <w:t xml:space="preserve"> 个地块。人工湖基础大部分为填方区，最大填方深度达米。由于填方深</w:t>
      </w:r>
      <w:r>
        <w:rPr>
          <w:spacing w:val="-12"/>
        </w:rPr>
        <w:t>度较大，且主要采用周边开挖的泥岩作为填土材料，为保证施工质量，人工湖基</w:t>
      </w:r>
      <w:r>
        <w:t>础填方区域采用强夯法。</w:t>
      </w:r>
    </w:p>
    <w:p>
      <w:pPr>
        <w:pStyle w:val="BodyText"/>
        <w:spacing w:before="5" w:line="364" w:lineRule="auto"/>
        <w:ind w:left="1200" w:right="2691" w:firstLine="719"/>
        <w:jc w:val="both"/>
      </w:pPr>
      <w:r>
        <w:t>根据人工湖基础填方深度及填料情况，人工湖基础强夯有效加固深度按 7m 考虑，强夯分层厚度为 7m。根据人工湖基础地块划分情况及填深，各地块强夯层数为 1~2 层。</w:t>
      </w:r>
    </w:p>
    <w:p>
      <w:pPr>
        <w:pStyle w:val="BodyText"/>
        <w:spacing w:before="2"/>
        <w:ind w:left="1920"/>
      </w:pPr>
      <w:r>
        <w:t>、回填土材料及填筑标准</w:t>
      </w:r>
    </w:p>
    <w:p>
      <w:pPr>
        <w:pStyle w:val="BodyText"/>
        <w:spacing w:before="242" w:line="364" w:lineRule="auto"/>
        <w:ind w:left="1200" w:right="2695" w:firstLine="719"/>
        <w:jc w:val="both"/>
      </w:pPr>
      <w:r>
        <w:t xml:space="preserve">1、强夯区域填方土采用含砾黏性土为宜，不得采用耕植土、冻土、淤泥质土，填土材料中有机质含量不得大于 5%；采用周边泥岩开挖料作为回填料时， </w:t>
      </w:r>
      <w:r>
        <w:rPr>
          <w:spacing w:val="-13"/>
        </w:rPr>
        <w:t>应清除强风化表层土，并对泥岩开挖料中的大粒径块石进行破碎方可用于人工湖</w:t>
      </w:r>
      <w:r>
        <w:rPr>
          <w:spacing w:val="-10"/>
        </w:rPr>
        <w:t xml:space="preserve">基础回填，同时每层强夯 </w:t>
      </w:r>
      <w:r>
        <w:t>3m</w:t>
      </w:r>
      <w:r>
        <w:rPr>
          <w:spacing w:val="-11"/>
        </w:rPr>
        <w:t xml:space="preserve"> 内填料粒径不得大于，</w:t>
      </w:r>
      <w:r>
        <w:rPr>
          <w:spacing w:val="-9"/>
        </w:rPr>
        <w:t>3m</w:t>
      </w:r>
      <w:r>
        <w:rPr>
          <w:spacing w:val="-11"/>
        </w:rPr>
        <w:t xml:space="preserve"> 以下至原始地面填料不得</w:t>
      </w:r>
      <w:r>
        <w:t>大于。</w:t>
      </w:r>
    </w:p>
    <w:p>
      <w:pPr>
        <w:pStyle w:val="BodyText"/>
        <w:spacing w:before="4" w:line="364" w:lineRule="auto"/>
        <w:ind w:left="1200" w:right="2700" w:firstLine="719"/>
        <w:jc w:val="both"/>
      </w:pPr>
      <w:r>
        <w:t>2、本工程人工湖基础回填采用分层回填、分层强夯的施工方法，填筑体回</w:t>
      </w:r>
      <w:r>
        <w:rPr>
          <w:spacing w:val="-8"/>
        </w:rPr>
        <w:t>填强夯按照由下而上的原则分层进行施工，严禁进行抛填施工，以避免造成大粒</w:t>
      </w:r>
      <w:r>
        <w:t>径填料集中。</w:t>
      </w:r>
    </w:p>
    <w:p>
      <w:pPr>
        <w:pStyle w:val="BodyText"/>
        <w:spacing w:before="4" w:line="364" w:lineRule="auto"/>
        <w:ind w:left="1200" w:right="2738" w:firstLine="719"/>
      </w:pPr>
      <w:r>
        <w:t>3、分层填筑的厚度为，由于回填地基采取强夯加固，故分层填筑的填土层可用推土机简单推平碾压、满足机械正常行走要求即可。</w:t>
      </w:r>
    </w:p>
    <w:p>
      <w:pPr>
        <w:pStyle w:val="BodyText"/>
        <w:spacing w:before="1"/>
        <w:ind w:left="1920"/>
      </w:pPr>
      <w:r>
        <w:t>4、本工程强夯分层厚度为 7m，实际施工时考虑强夯夯沉量，可分层填筑至</w:t>
      </w:r>
    </w:p>
    <w:p>
      <w:pPr>
        <w:pStyle w:val="BodyText"/>
        <w:spacing w:before="241"/>
        <w:ind w:left="1200"/>
      </w:pPr>
      <w:r>
        <w:t>8m 虚铺厚度即可。</w:t>
      </w:r>
    </w:p>
    <w:p>
      <w:pPr>
        <w:pStyle w:val="BodyText"/>
        <w:spacing w:before="241"/>
        <w:ind w:left="1920"/>
      </w:pPr>
      <w:r>
        <w:t>5、强夯区域填筑标准应以压实密度作为设计控制指标，填土压实密度应≥</w:t>
      </w:r>
    </w:p>
    <w:p>
      <w:pPr>
        <w:pStyle w:val="BodyText"/>
        <w:spacing w:before="241"/>
        <w:ind w:left="1200"/>
      </w:pPr>
      <w:r>
        <w:t>95％。</w:t>
      </w:r>
    </w:p>
    <w:p>
      <w:pPr>
        <w:pStyle w:val="BodyText"/>
        <w:spacing w:before="240"/>
        <w:ind w:left="1920"/>
      </w:pPr>
      <w:r>
        <w:t>6、回填土借土</w:t>
      </w:r>
    </w:p>
    <w:p>
      <w:pPr>
        <w:pStyle w:val="BodyText"/>
        <w:spacing w:before="2"/>
        <w:rPr>
          <w:sz w:val="28"/>
        </w:rPr>
      </w:pPr>
    </w:p>
    <w:p>
      <w:pPr>
        <w:pStyle w:val="BodyText"/>
        <w:ind w:right="2694"/>
        <w:jc w:val="right"/>
      </w:pPr>
      <w:r>
        <w:t>1</w:t>
      </w:r>
      <w:r>
        <w:rPr>
          <w:spacing w:val="-180"/>
        </w:rPr>
        <w:t>）</w:t>
      </w:r>
      <w:r>
        <w:rPr>
          <w:spacing w:val="-10"/>
        </w:rPr>
        <w:t xml:space="preserve">、根据建设单位于 </w:t>
      </w:r>
      <w:r>
        <w:t>2014</w:t>
      </w:r>
      <w:r>
        <w:rPr>
          <w:spacing w:val="-56"/>
        </w:rPr>
        <w:t xml:space="preserve"> 年 </w:t>
      </w:r>
      <w:r>
        <w:t>6</w:t>
      </w:r>
      <w:r>
        <w:rPr>
          <w:spacing w:val="-56"/>
        </w:rPr>
        <w:t xml:space="preserve"> 月 </w:t>
      </w:r>
      <w:r>
        <w:t>18</w:t>
      </w:r>
      <w:r>
        <w:rPr>
          <w:spacing w:val="-10"/>
        </w:rPr>
        <w:t xml:space="preserve"> 日发出的工程通知单，我单位将御都</w:t>
      </w:r>
    </w:p>
    <w:p>
      <w:pPr>
        <w:pStyle w:val="BodyText"/>
        <w:spacing w:before="288"/>
        <w:ind w:right="2695"/>
        <w:jc w:val="right"/>
      </w:pPr>
      <w:r>
        <w:pict>
          <v:group id="_x0000_s1099" style="width:625pt;height:150pt;margin-top:39.91pt;margin-left:135pt;mso-position-horizontal-relative:page;mso-wrap-distance-left:0;mso-wrap-distance-right:0;position:absolute;z-index:-251649024" coordorigin="2700,798" coordsize="12500,3000">
            <v:shape id="_x0000_s1100" type="#_x0000_t75" style="width:12500;height:3000;left:2700;position:absolute;top:798" stroked="f">
              <v:imagedata r:id="rId14" o:title=""/>
            </v:shape>
            <v:shape id="_x0000_s1101" type="#_x0000_t202" style="width:12500;height:3000;left:2700;position:absolute;top:798" filled="f" stroked="f">
              <v:textbox inset="0,0,0,0">
                <w:txbxContent>
                  <w:p>
                    <w:pPr>
                      <w:spacing w:before="242" w:line="388" w:lineRule="auto"/>
                      <w:ind w:left="0" w:right="39" w:firstLine="0"/>
                      <w:jc w:val="left"/>
                      <w:rPr>
                        <w:sz w:val="36"/>
                      </w:rPr>
                    </w:pPr>
                    <w:r>
                      <w:rPr>
                        <w:spacing w:val="-11"/>
                        <w:sz w:val="36"/>
                      </w:rPr>
                      <w:t>石方挖运工作已经完成，我部以就近借土平衡土石方原则，人工湖填筑所需土石</w:t>
                    </w:r>
                    <w:r>
                      <w:rPr>
                        <w:spacing w:val="-23"/>
                        <w:sz w:val="36"/>
                      </w:rPr>
                      <w:t xml:space="preserve">方需从 </w:t>
                    </w:r>
                    <w:r>
                      <w:rPr>
                        <w:sz w:val="36"/>
                      </w:rPr>
                      <w:t>5-1</w:t>
                    </w:r>
                    <w:r>
                      <w:rPr>
                        <w:spacing w:val="-14"/>
                        <w:sz w:val="36"/>
                      </w:rPr>
                      <w:t xml:space="preserve"> 弃土场借土。</w:t>
                    </w:r>
                  </w:p>
                  <w:p>
                    <w:pPr>
                      <w:spacing w:before="3"/>
                      <w:ind w:left="720" w:right="0" w:firstLine="0"/>
                      <w:jc w:val="left"/>
                      <w:rPr>
                        <w:sz w:val="36"/>
                      </w:rPr>
                    </w:pPr>
                    <w:r>
                      <w:rPr>
                        <w:sz w:val="36"/>
                      </w:rPr>
                      <w:t>2</w:t>
                    </w:r>
                    <w:r>
                      <w:rPr>
                        <w:spacing w:val="-180"/>
                        <w:sz w:val="36"/>
                      </w:rPr>
                      <w:t>）</w:t>
                    </w:r>
                    <w:r>
                      <w:rPr>
                        <w:sz w:val="36"/>
                      </w:rPr>
                      <w:t>、借土工程量的确定方法</w:t>
                    </w:r>
                  </w:p>
                  <w:p>
                    <w:pPr>
                      <w:spacing w:before="291"/>
                      <w:ind w:left="900" w:right="0" w:firstLine="0"/>
                      <w:jc w:val="left"/>
                      <w:rPr>
                        <w:sz w:val="36"/>
                      </w:rPr>
                    </w:pPr>
                    <w:r>
                      <w:rPr>
                        <w:sz w:val="36"/>
                      </w:rPr>
                      <w:t>A</w:t>
                    </w:r>
                    <w:r>
                      <w:rPr>
                        <w:spacing w:val="-13"/>
                        <w:sz w:val="36"/>
                      </w:rPr>
                      <w:t>、人工湖清表工作完成后，立即组织相关单位对人工湖的现场地形地貌复</w:t>
                    </w:r>
                  </w:p>
                </w:txbxContent>
              </v:textbox>
            </v:shape>
            <w10:wrap type="topAndBottom"/>
          </v:group>
        </w:pict>
      </w:r>
      <w:r>
        <w:rPr>
          <w:spacing w:val="-5"/>
        </w:rPr>
        <w:t xml:space="preserve">基坑及凤凰大道西段开挖的土石方运至 </w:t>
      </w:r>
      <w:r>
        <w:t>5-1</w:t>
      </w:r>
      <w:r>
        <w:rPr>
          <w:spacing w:val="-17"/>
        </w:rPr>
        <w:t xml:space="preserve"> 弃土场。目前御都基坑及凤凰大道土</w:t>
      </w:r>
    </w:p>
    <w:p>
      <w:pPr>
        <w:spacing w:after="0"/>
        <w:jc w:val="right"/>
        <w:sectPr>
          <w:pgSz w:w="17860" w:h="25260"/>
          <w:pgMar w:top="1920" w:right="0" w:bottom="280" w:left="1500" w:header="708" w:footer="708"/>
          <w:pgNumType w:start="20"/>
          <w:cols w:space="708"/>
        </w:sectPr>
      </w:pPr>
    </w:p>
    <w:p>
      <w:pPr>
        <w:pStyle w:val="BodyText"/>
        <w:ind w:left="1200"/>
        <w:rPr>
          <w:sz w:val="20"/>
        </w:rPr>
      </w:pPr>
      <w:r>
        <w:rPr>
          <w:sz w:val="20"/>
        </w:rPr>
        <w:pict>
          <v:group id="_x0000_i1102" style="width:625pt;height:226pt;mso-position-horizontal-relative:char;mso-position-vertical-relative:line" coordorigin="0,0" coordsize="12500,4520">
            <v:shape id="_x0000_s1103" type="#_x0000_t75" style="width:12500;height:4520;position:absolute" stroked="f">
              <v:imagedata r:id="rId15" o:title=""/>
            </v:shape>
            <v:shape id="_x0000_s1104" type="#_x0000_t202" style="width:12500;height:4520;position:absolute" filled="f" stroked="f">
              <v:textbox inset="0,0,0,0">
                <w:txbxContent>
                  <w:p>
                    <w:pPr>
                      <w:spacing w:before="252"/>
                      <w:ind w:left="0" w:right="0" w:firstLine="0"/>
                      <w:jc w:val="left"/>
                      <w:rPr>
                        <w:sz w:val="36"/>
                      </w:rPr>
                    </w:pPr>
                    <w:r>
                      <w:rPr>
                        <w:sz w:val="36"/>
                      </w:rPr>
                      <w:t>测，采集的数据由参加各单位签字确认。</w:t>
                    </w:r>
                  </w:p>
                  <w:p>
                    <w:pPr>
                      <w:spacing w:before="288" w:line="391" w:lineRule="auto"/>
                      <w:ind w:left="0" w:right="41" w:firstLine="899"/>
                      <w:jc w:val="left"/>
                      <w:rPr>
                        <w:sz w:val="36"/>
                      </w:rPr>
                    </w:pPr>
                    <w:r>
                      <w:rPr>
                        <w:sz w:val="36"/>
                      </w:rPr>
                      <w:t>B</w:t>
                    </w:r>
                    <w:r>
                      <w:rPr>
                        <w:spacing w:val="-13"/>
                        <w:sz w:val="36"/>
                      </w:rPr>
                      <w:t>、根据测量采集的数据结合设计图纸的设计标高计算出借土方量，经参加</w:t>
                    </w:r>
                    <w:r>
                      <w:rPr>
                        <w:sz w:val="36"/>
                      </w:rPr>
                      <w:t>各单位共同复核并签字后确认。</w:t>
                    </w:r>
                  </w:p>
                  <w:p>
                    <w:pPr>
                      <w:spacing w:before="0" w:line="388" w:lineRule="auto"/>
                      <w:ind w:left="0" w:right="77" w:firstLine="899"/>
                      <w:jc w:val="left"/>
                      <w:rPr>
                        <w:sz w:val="36"/>
                      </w:rPr>
                    </w:pPr>
                    <w:r>
                      <w:rPr>
                        <w:sz w:val="36"/>
                      </w:rPr>
                      <w:t>3</w:t>
                    </w:r>
                    <w:r>
                      <w:rPr>
                        <w:spacing w:val="-180"/>
                        <w:sz w:val="36"/>
                      </w:rPr>
                      <w:t>）</w:t>
                    </w:r>
                    <w:r>
                      <w:rPr>
                        <w:spacing w:val="-1"/>
                        <w:sz w:val="36"/>
                      </w:rPr>
                      <w:t>、人工湖回填所需的填料，为满足设计所需填料的粒径，需要用破碎机</w:t>
                    </w:r>
                    <w:r>
                      <w:rPr>
                        <w:spacing w:val="-5"/>
                        <w:sz w:val="36"/>
                      </w:rPr>
                      <w:t xml:space="preserve">二次解小。破碎工程量约占回填总工程量的 </w:t>
                    </w:r>
                    <w:r>
                      <w:rPr>
                        <w:sz w:val="36"/>
                      </w:rPr>
                      <w:t>60%。</w:t>
                    </w:r>
                  </w:p>
                  <w:p>
                    <w:pPr>
                      <w:spacing w:before="4"/>
                      <w:ind w:left="720" w:right="0" w:firstLine="0"/>
                      <w:jc w:val="left"/>
                      <w:rPr>
                        <w:sz w:val="36"/>
                      </w:rPr>
                    </w:pPr>
                    <w:r>
                      <w:rPr>
                        <w:sz w:val="36"/>
                      </w:rPr>
                      <w:t>、施工用临时便道</w:t>
                    </w:r>
                  </w:p>
                </w:txbxContent>
              </v:textbox>
            </v:shape>
            <w10:wrap type="none"/>
          </v:group>
        </w:pict>
      </w:r>
    </w:p>
    <w:p>
      <w:pPr>
        <w:pStyle w:val="BodyText"/>
        <w:spacing w:before="106"/>
        <w:ind w:left="1920"/>
      </w:pPr>
      <w:r>
        <w:drawing>
          <wp:anchor distT="0" distB="0" distL="0" distR="0" simplePos="0" relativeHeight="251671552" behindDoc="1" locked="0" layoutInCell="1" allowOverlap="1">
            <wp:simplePos x="0" y="0"/>
            <wp:positionH relativeFrom="page">
              <wp:posOffset>2171700</wp:posOffset>
            </wp:positionH>
            <wp:positionV relativeFrom="paragraph">
              <wp:posOffset>58547</wp:posOffset>
            </wp:positionV>
            <wp:extent cx="139700" cy="304800"/>
            <wp:effectExtent l="0" t="0" r="0" b="0"/>
            <wp:wrapNone/>
            <wp:docPr id="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3.png"/>
                    <pic:cNvPicPr/>
                  </pic:nvPicPr>
                  <pic:blipFill>
                    <a:blip xmlns:r="http://schemas.openxmlformats.org/officeDocument/2006/relationships" r:embed="rId16" cstate="print"/>
                    <a:stretch>
                      <a:fillRect/>
                    </a:stretch>
                  </pic:blipFill>
                  <pic:spPr>
                    <a:xfrm>
                      <a:off x="0" y="0"/>
                      <a:ext cx="139700" cy="304800"/>
                    </a:xfrm>
                    <a:prstGeom prst="rect">
                      <a:avLst/>
                    </a:prstGeom>
                  </pic:spPr>
                </pic:pic>
              </a:graphicData>
            </a:graphic>
          </wp:anchor>
        </w:drawing>
      </w:r>
      <w:r>
        <w:t>1</w:t>
      </w:r>
      <w:r>
        <w:rPr>
          <w:spacing w:val="-15"/>
        </w:rPr>
        <w:t xml:space="preserve">、根据现场实际情况，拟建便道分 </w:t>
      </w:r>
      <w:r>
        <w:t>1#</w:t>
      </w:r>
      <w:r>
        <w:rPr>
          <w:spacing w:val="-23"/>
        </w:rPr>
        <w:t xml:space="preserve">便道和 </w:t>
      </w:r>
      <w:r>
        <w:t>2#</w:t>
      </w:r>
      <w:r>
        <w:rPr>
          <w:spacing w:val="-8"/>
        </w:rPr>
        <w:t>便道布设施工</w:t>
      </w:r>
      <w:r>
        <w:t>（见后附图</w:t>
      </w:r>
      <w:r>
        <w:rPr>
          <w:spacing w:val="-180"/>
        </w:rPr>
        <w:t>）</w:t>
      </w:r>
      <w:r>
        <w:t>。</w:t>
      </w:r>
    </w:p>
    <w:p>
      <w:pPr>
        <w:pStyle w:val="BodyText"/>
        <w:spacing w:before="241" w:line="364" w:lineRule="auto"/>
        <w:ind w:left="1200" w:right="2735"/>
      </w:pPr>
      <w:r>
        <w:t>1</w:t>
      </w:r>
      <w:r>
        <w:rPr>
          <w:spacing w:val="-6"/>
        </w:rPr>
        <w:t xml:space="preserve">#便道从御都房建基坑边界通往 </w:t>
      </w:r>
      <w:r>
        <w:t>5-1</w:t>
      </w:r>
      <w:r>
        <w:rPr>
          <w:spacing w:val="-31"/>
        </w:rPr>
        <w:t xml:space="preserve"> 渣场便道 </w:t>
      </w:r>
      <w:r>
        <w:t>100m</w:t>
      </w:r>
      <w:r>
        <w:rPr>
          <w:spacing w:val="-12"/>
        </w:rPr>
        <w:t xml:space="preserve"> 处开口，沿地形向右转进入</w:t>
      </w:r>
      <w:r>
        <w:rPr>
          <w:spacing w:val="-23"/>
        </w:rPr>
        <w:t xml:space="preserve">人工湖 </w:t>
      </w:r>
      <w:r>
        <w:t>EL0+~EL0+段，由于受拆迁影响，进入人工湖施工范围内后，沿</w:t>
      </w:r>
    </w:p>
    <w:p>
      <w:pPr>
        <w:pStyle w:val="ListParagraph"/>
        <w:numPr>
          <w:ilvl w:val="6"/>
          <w:numId w:val="23"/>
        </w:numPr>
        <w:tabs>
          <w:tab w:val="left" w:pos="3631"/>
        </w:tabs>
        <w:spacing w:before="2" w:after="0" w:line="364" w:lineRule="auto"/>
        <w:ind w:left="1200" w:right="2520" w:firstLine="0"/>
        <w:jc w:val="left"/>
        <w:rPr>
          <w:sz w:val="36"/>
        </w:rPr>
      </w:pPr>
      <w:r>
        <w:rPr>
          <w:sz w:val="36"/>
        </w:rPr>
        <w:t>区块布设一条贯穿人工湖的泥结石施工便道（1#</w:t>
      </w:r>
      <w:r>
        <w:rPr>
          <w:spacing w:val="-18"/>
          <w:sz w:val="36"/>
        </w:rPr>
        <w:t xml:space="preserve">便道全长 </w:t>
      </w:r>
      <w:r>
        <w:rPr>
          <w:sz w:val="36"/>
        </w:rPr>
        <w:t>572m， 宽</w:t>
      </w:r>
      <w:r>
        <w:rPr>
          <w:spacing w:val="-180"/>
          <w:sz w:val="36"/>
        </w:rPr>
        <w:t>）</w:t>
      </w:r>
      <w:r>
        <w:rPr>
          <w:spacing w:val="-13"/>
          <w:sz w:val="36"/>
        </w:rPr>
        <w:t xml:space="preserve">。由于本工程采取以施工推动拆迁进度方式渐进施工，各区块不能连续作业， </w:t>
      </w:r>
      <w:r>
        <w:rPr>
          <w:sz w:val="36"/>
        </w:rPr>
        <w:t>8</w:t>
      </w:r>
      <w:r>
        <w:rPr>
          <w:spacing w:val="-15"/>
          <w:sz w:val="36"/>
        </w:rPr>
        <w:t xml:space="preserve"> 个区块中先具备条件的先施工，目前 </w:t>
      </w:r>
      <w:r>
        <w:rPr>
          <w:sz w:val="36"/>
        </w:rPr>
        <w:t>3#</w:t>
      </w:r>
      <w:r>
        <w:rPr>
          <w:spacing w:val="-45"/>
          <w:sz w:val="36"/>
        </w:rPr>
        <w:t xml:space="preserve">和 </w:t>
      </w:r>
      <w:r>
        <w:rPr>
          <w:sz w:val="36"/>
        </w:rPr>
        <w:t>4#地块已具备施工条件，但拟设的</w:t>
      </w:r>
      <w:r>
        <w:rPr>
          <w:spacing w:val="-4"/>
          <w:sz w:val="36"/>
        </w:rPr>
        <w:t xml:space="preserve">贯穿人工湖的主要施工便道不能达到施工区域，故需布设 </w:t>
      </w:r>
      <w:r>
        <w:rPr>
          <w:sz w:val="36"/>
        </w:rPr>
        <w:t>2#</w:t>
      </w:r>
      <w:r>
        <w:rPr>
          <w:spacing w:val="-23"/>
          <w:sz w:val="36"/>
        </w:rPr>
        <w:t xml:space="preserve">便道与 </w:t>
      </w:r>
      <w:r>
        <w:rPr>
          <w:sz w:val="36"/>
        </w:rPr>
        <w:t>1#便道形成</w:t>
      </w:r>
      <w:r>
        <w:rPr>
          <w:spacing w:val="-13"/>
          <w:sz w:val="36"/>
        </w:rPr>
        <w:t>环线，以利及时进行分区块填筑人工湖。</w:t>
      </w:r>
      <w:r>
        <w:rPr>
          <w:sz w:val="36"/>
        </w:rPr>
        <w:t>2#的施工便道拟从凤凰大道西段与龙城大道交叉口处开口，沿斜坡呈“S”</w:t>
      </w:r>
      <w:r>
        <w:rPr>
          <w:spacing w:val="-23"/>
          <w:sz w:val="36"/>
        </w:rPr>
        <w:t xml:space="preserve">型通过 </w:t>
      </w:r>
      <w:r>
        <w:rPr>
          <w:sz w:val="36"/>
        </w:rPr>
        <w:t>4#</w:t>
      </w:r>
      <w:r>
        <w:rPr>
          <w:spacing w:val="-19"/>
          <w:sz w:val="36"/>
        </w:rPr>
        <w:t xml:space="preserve">区块后在 </w:t>
      </w:r>
      <w:r>
        <w:rPr>
          <w:sz w:val="36"/>
        </w:rPr>
        <w:t>2#</w:t>
      </w:r>
      <w:r>
        <w:rPr>
          <w:spacing w:val="-18"/>
          <w:sz w:val="36"/>
        </w:rPr>
        <w:t xml:space="preserve">区块处与 </w:t>
      </w:r>
      <w:r>
        <w:rPr>
          <w:sz w:val="36"/>
        </w:rPr>
        <w:t>1#便道相交</w:t>
      </w:r>
    </w:p>
    <w:p>
      <w:pPr>
        <w:pStyle w:val="BodyText"/>
        <w:spacing w:before="6"/>
        <w:ind w:left="1200"/>
      </w:pPr>
      <w:r>
        <w:t>（2#便道全长，宽</w:t>
      </w:r>
      <w:r>
        <w:rPr>
          <w:spacing w:val="-180"/>
        </w:rPr>
        <w:t>）</w:t>
      </w:r>
      <w:r>
        <w:t>。</w:t>
      </w:r>
    </w:p>
    <w:p>
      <w:pPr>
        <w:pStyle w:val="BodyText"/>
        <w:spacing w:before="1"/>
        <w:rPr>
          <w:sz w:val="28"/>
        </w:rPr>
      </w:pPr>
    </w:p>
    <w:p>
      <w:pPr>
        <w:pStyle w:val="BodyText"/>
        <w:spacing w:line="391" w:lineRule="auto"/>
        <w:ind w:left="1200" w:right="2699" w:firstLine="719"/>
        <w:jc w:val="both"/>
      </w:pPr>
      <w:r>
        <w:rPr>
          <w:spacing w:val="-10"/>
        </w:rPr>
        <w:t>进入施工范围内的施工便道，为拆迁工作提供了便利的交通条件，同时也为</w:t>
      </w:r>
      <w:r>
        <w:rPr>
          <w:spacing w:val="-9"/>
        </w:rPr>
        <w:t>人工湖分区块施工提供运输通道。当人工湖施工完成后，施工便道与湖体填筑相</w:t>
      </w:r>
      <w:r>
        <w:t>重叠，经强夯处理后成为湖体基础处理的组成部分。</w:t>
      </w:r>
    </w:p>
    <w:p>
      <w:pPr>
        <w:pStyle w:val="BodyText"/>
        <w:spacing w:line="456" w:lineRule="exact"/>
        <w:ind w:left="1920"/>
      </w:pPr>
      <w:r>
        <w:t>2、临时便道施工</w:t>
      </w:r>
    </w:p>
    <w:p>
      <w:pPr>
        <w:pStyle w:val="BodyText"/>
        <w:spacing w:before="169"/>
        <w:ind w:left="1920"/>
      </w:pPr>
      <w:r>
        <w:t>、路基、路床施工方案</w:t>
      </w:r>
    </w:p>
    <w:p>
      <w:pPr>
        <w:pStyle w:val="BodyText"/>
        <w:spacing w:before="241" w:line="364" w:lineRule="auto"/>
        <w:ind w:left="1200" w:right="2696" w:firstLine="719"/>
        <w:jc w:val="both"/>
      </w:pPr>
      <w:r>
        <w:rPr>
          <w:spacing w:val="-10"/>
        </w:rPr>
        <w:t>本便道工程量以填方为主，挖方量少，为尽快展开主体工程工作面，采取分</w:t>
      </w:r>
      <w:r>
        <w:rPr>
          <w:spacing w:val="-5"/>
        </w:rPr>
        <w:t xml:space="preserve">段施工，先施工凤凰大道西段与龙城大道交叉口至 </w:t>
      </w:r>
      <w:r>
        <w:t>2#</w:t>
      </w:r>
      <w:r>
        <w:rPr>
          <w:spacing w:val="-23"/>
        </w:rPr>
        <w:t xml:space="preserve">地块的 </w:t>
      </w:r>
      <w:r>
        <w:t>2#</w:t>
      </w:r>
      <w:r>
        <w:rPr>
          <w:spacing w:val="-19"/>
        </w:rPr>
        <w:t xml:space="preserve">便道，保证 </w:t>
      </w:r>
      <w:r>
        <w:rPr>
          <w:spacing w:val="-5"/>
        </w:rPr>
        <w:t xml:space="preserve">3~4# </w:t>
      </w:r>
      <w:r>
        <w:rPr>
          <w:spacing w:val="-13"/>
        </w:rPr>
        <w:t xml:space="preserve">地块施工。待 </w:t>
      </w:r>
      <w:r>
        <w:t>3~4</w:t>
      </w:r>
      <w:r>
        <w:rPr>
          <w:spacing w:val="-8"/>
        </w:rPr>
        <w:t xml:space="preserve">#工作面展开后，再施工 </w:t>
      </w:r>
      <w:r>
        <w:t>1#便道。</w:t>
      </w:r>
    </w:p>
    <w:p>
      <w:pPr>
        <w:pStyle w:val="BodyText"/>
        <w:spacing w:before="3"/>
        <w:ind w:left="2100"/>
      </w:pPr>
      <w:r>
        <w:t>1</w:t>
      </w:r>
      <w:r>
        <w:rPr>
          <w:spacing w:val="-180"/>
        </w:rPr>
        <w:t>）</w:t>
      </w:r>
      <w:r>
        <w:t>、挖方路基施工方案</w:t>
      </w:r>
    </w:p>
    <w:p>
      <w:pPr>
        <w:pStyle w:val="BodyText"/>
        <w:spacing w:before="241" w:line="364" w:lineRule="auto"/>
        <w:ind w:left="1200" w:right="2697" w:firstLine="899"/>
        <w:jc w:val="both"/>
      </w:pPr>
      <w:r>
        <w:t>由于本段便道周围拆迁户棚房多，过往人员及社会车辆多，施工区域距居</w:t>
      </w:r>
      <w:r>
        <w:rPr>
          <w:spacing w:val="-13"/>
        </w:rPr>
        <w:t>民住房区较近，为确保行人及行车安全，并避免损坏沿线管线及设施，路基开挖</w:t>
      </w:r>
      <w:r>
        <w:t>采用机械破碎开挖。其工艺流程如下：</w:t>
      </w:r>
    </w:p>
    <w:p>
      <w:pPr>
        <w:pStyle w:val="BodyText"/>
        <w:spacing w:before="3"/>
        <w:ind w:left="2100"/>
        <w:jc w:val="both"/>
      </w:pPr>
      <w:r>
        <w:drawing>
          <wp:anchor distT="0" distB="0" distL="0" distR="0" simplePos="0" relativeHeight="251670528" behindDoc="0" locked="0" layoutInCell="1" allowOverlap="1">
            <wp:simplePos x="0" y="0"/>
            <wp:positionH relativeFrom="page">
              <wp:posOffset>9715500</wp:posOffset>
            </wp:positionH>
            <wp:positionV relativeFrom="paragraph">
              <wp:posOffset>33146</wp:posOffset>
            </wp:positionV>
            <wp:extent cx="533400" cy="127000"/>
            <wp:effectExtent l="0" t="0" r="0" b="0"/>
            <wp:wrapNone/>
            <wp:docPr id="1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4.png"/>
                    <pic:cNvPicPr/>
                  </pic:nvPicPr>
                  <pic:blipFill>
                    <a:blip xmlns:r="http://schemas.openxmlformats.org/officeDocument/2006/relationships" r:embed="rId17" cstate="print"/>
                    <a:stretch>
                      <a:fillRect/>
                    </a:stretch>
                  </pic:blipFill>
                  <pic:spPr>
                    <a:xfrm>
                      <a:off x="0" y="0"/>
                      <a:ext cx="533400" cy="1270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4940300</wp:posOffset>
            </wp:positionH>
            <wp:positionV relativeFrom="paragraph">
              <wp:posOffset>83946</wp:posOffset>
            </wp:positionV>
            <wp:extent cx="368300" cy="127000"/>
            <wp:effectExtent l="0" t="0" r="0" b="0"/>
            <wp:wrapNone/>
            <wp:docPr id="1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5.png"/>
                    <pic:cNvPicPr/>
                  </pic:nvPicPr>
                  <pic:blipFill>
                    <a:blip xmlns:r="http://schemas.openxmlformats.org/officeDocument/2006/relationships" r:embed="rId18" cstate="print"/>
                    <a:stretch>
                      <a:fillRect/>
                    </a:stretch>
                  </pic:blipFill>
                  <pic:spPr>
                    <a:xfrm>
                      <a:off x="0" y="0"/>
                      <a:ext cx="368300" cy="127000"/>
                    </a:xfrm>
                    <a:prstGeom prst="rect">
                      <a:avLst/>
                    </a:prstGeom>
                  </pic:spPr>
                </pic:pic>
              </a:graphicData>
            </a:graphic>
          </wp:anchor>
        </w:drawing>
      </w:r>
      <w:r>
        <w:rPr>
          <w:spacing w:val="67"/>
        </w:rPr>
        <w:t>测量放样定出开挖线 人工配合机械清除浮土及树根杂物</w:t>
      </w:r>
    </w:p>
    <w:p>
      <w:pPr>
        <w:pStyle w:val="BodyText"/>
        <w:spacing w:before="10"/>
        <w:rPr>
          <w:sz w:val="28"/>
        </w:rPr>
      </w:pPr>
      <w:r>
        <w:drawing>
          <wp:anchor distT="0" distB="0" distL="0" distR="0" simplePos="0" relativeHeight="251668480" behindDoc="0" locked="0" layoutInCell="1" allowOverlap="1">
            <wp:simplePos x="0" y="0"/>
            <wp:positionH relativeFrom="page">
              <wp:posOffset>3543300</wp:posOffset>
            </wp:positionH>
            <wp:positionV relativeFrom="paragraph">
              <wp:posOffset>258921</wp:posOffset>
            </wp:positionV>
            <wp:extent cx="544734" cy="126682"/>
            <wp:effectExtent l="0" t="0" r="0" b="0"/>
            <wp:wrapTopAndBottom/>
            <wp:docPr id="1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6.png"/>
                    <pic:cNvPicPr/>
                  </pic:nvPicPr>
                  <pic:blipFill>
                    <a:blip xmlns:r="http://schemas.openxmlformats.org/officeDocument/2006/relationships" r:embed="rId19" cstate="print"/>
                    <a:stretch>
                      <a:fillRect/>
                    </a:stretch>
                  </pic:blipFill>
                  <pic:spPr>
                    <a:xfrm>
                      <a:off x="0" y="0"/>
                      <a:ext cx="544734" cy="126682"/>
                    </a:xfrm>
                    <a:prstGeom prst="rect">
                      <a:avLst/>
                    </a:prstGeom>
                  </pic:spPr>
                </pic:pic>
              </a:graphicData>
            </a:graphic>
          </wp:anchor>
        </w:drawing>
      </w:r>
      <w:r>
        <w:drawing>
          <wp:anchor distT="0" distB="0" distL="0" distR="0" simplePos="0" relativeHeight="251669504" behindDoc="0" locked="0" layoutInCell="1" allowOverlap="1">
            <wp:simplePos x="0" y="0"/>
            <wp:positionH relativeFrom="page">
              <wp:posOffset>5524500</wp:posOffset>
            </wp:positionH>
            <wp:positionV relativeFrom="paragraph">
              <wp:posOffset>258921</wp:posOffset>
            </wp:positionV>
            <wp:extent cx="367379" cy="126682"/>
            <wp:effectExtent l="0" t="0" r="0" b="0"/>
            <wp:wrapTopAndBottom/>
            <wp:docPr id="1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7.png"/>
                    <pic:cNvPicPr/>
                  </pic:nvPicPr>
                  <pic:blipFill>
                    <a:blip xmlns:r="http://schemas.openxmlformats.org/officeDocument/2006/relationships" r:embed="rId20" cstate="print"/>
                    <a:stretch>
                      <a:fillRect/>
                    </a:stretch>
                  </pic:blipFill>
                  <pic:spPr>
                    <a:xfrm>
                      <a:off x="0" y="0"/>
                      <a:ext cx="367379" cy="126682"/>
                    </a:xfrm>
                    <a:prstGeom prst="rect">
                      <a:avLst/>
                    </a:prstGeom>
                  </pic:spPr>
                </pic:pic>
              </a:graphicData>
            </a:graphic>
          </wp:anchor>
        </w:drawing>
      </w:r>
    </w:p>
    <w:p>
      <w:pPr>
        <w:spacing w:after="0"/>
        <w:rPr>
          <w:sz w:val="28"/>
        </w:rPr>
        <w:sectPr>
          <w:pgSz w:w="17860" w:h="25260"/>
          <w:pgMar w:top="1820" w:right="0" w:bottom="280" w:left="1500" w:header="708" w:footer="708"/>
          <w:pgNumType w:start="21"/>
          <w:cols w:space="708"/>
        </w:sectPr>
      </w:pPr>
    </w:p>
    <w:p>
      <w:pPr>
        <w:pStyle w:val="BodyText"/>
        <w:tabs>
          <w:tab w:val="left" w:pos="4981"/>
          <w:tab w:val="left" w:pos="7861"/>
        </w:tabs>
        <w:spacing w:before="35" w:line="364" w:lineRule="auto"/>
        <w:ind w:left="2100" w:right="4897" w:hanging="900"/>
      </w:pPr>
      <w:r>
        <w:t>机械凿打破碎基岩</w:t>
        <w:tab/>
        <w:t>挖机积碴装车</w:t>
        <w:tab/>
        <w:t>运往锦都项目弃土场</w:t>
      </w:r>
      <w:r>
        <w:rPr>
          <w:spacing w:val="-19"/>
        </w:rPr>
        <w:t>。</w:t>
      </w:r>
      <w:r>
        <w:t>A、路基开挖安全、技术要求</w:t>
      </w:r>
    </w:p>
    <w:p>
      <w:pPr>
        <w:pStyle w:val="BodyText"/>
        <w:spacing w:before="3" w:line="364" w:lineRule="auto"/>
        <w:ind w:left="1200" w:right="2558" w:firstLine="719"/>
      </w:pPr>
      <w:r>
        <w:t>①、开挖应自上而下开挖，由于开挖边坡低，采取单级坡一次成型，开挖时严格控制机械的位置和角度，保证坡面成型符合设计要求。</w:t>
      </w:r>
    </w:p>
    <w:p>
      <w:pPr>
        <w:pStyle w:val="BodyText"/>
        <w:spacing w:before="2" w:line="364" w:lineRule="auto"/>
        <w:ind w:left="1200" w:right="2695" w:firstLine="719"/>
      </w:pPr>
      <w:r>
        <w:rPr>
          <w:spacing w:val="-12"/>
        </w:rPr>
        <w:t>②、便道在通过电杆及天然气管道等设施时，要有专人指挥，以防机械操作</w:t>
      </w:r>
      <w:r>
        <w:t>时碰坏电杆及天然气管道等设施。</w:t>
      </w:r>
    </w:p>
    <w:p>
      <w:pPr>
        <w:pStyle w:val="BodyText"/>
        <w:spacing w:before="1"/>
        <w:ind w:left="1920"/>
      </w:pPr>
      <w:r>
        <w:t>③、边开挖边清坡，坡面不能出现松石，危石。</w:t>
      </w:r>
    </w:p>
    <w:p>
      <w:pPr>
        <w:pStyle w:val="BodyText"/>
        <w:spacing w:before="241" w:line="364" w:lineRule="auto"/>
        <w:ind w:left="1200" w:right="2558" w:firstLine="719"/>
      </w:pPr>
      <w:r>
        <w:t>④、路床有地表水或地下渗水时，应采用盲沟（见盲沟施工措施）与边沟连通。</w:t>
      </w:r>
    </w:p>
    <w:p>
      <w:pPr>
        <w:pStyle w:val="BodyText"/>
        <w:spacing w:before="3"/>
        <w:ind w:left="1920"/>
      </w:pPr>
      <w:r>
        <w:t>B、路基开挖施工注意事项</w:t>
      </w:r>
    </w:p>
    <w:p>
      <w:pPr>
        <w:pStyle w:val="BodyText"/>
        <w:spacing w:before="240"/>
        <w:ind w:left="1920"/>
      </w:pPr>
      <w:r>
        <w:t>①、开挖必须自上而下分层进行，严禁挖神仙土或掏洞开挖。</w:t>
      </w:r>
    </w:p>
    <w:p>
      <w:pPr>
        <w:pStyle w:val="BodyText"/>
        <w:spacing w:before="241" w:line="364" w:lineRule="auto"/>
        <w:ind w:left="1200" w:right="2667" w:firstLine="719"/>
        <w:jc w:val="both"/>
      </w:pPr>
      <w:r>
        <w:rPr>
          <w:spacing w:val="-7"/>
        </w:rPr>
        <w:t xml:space="preserve">②、路堑开挖时，边坡坡度不得小于 </w:t>
      </w:r>
      <w:r>
        <w:t>1:1，</w:t>
      </w:r>
      <w:r>
        <w:rPr>
          <w:spacing w:val="-2"/>
        </w:rPr>
        <w:t>同时注意施工排水，应在纵、横</w:t>
      </w:r>
      <w:r>
        <w:rPr>
          <w:spacing w:val="-10"/>
        </w:rPr>
        <w:t>向形成坡面开挖面，并沿纵向挖出临时排水沟，满足排水要求，防止新开挖出路床被水浸泡。</w:t>
      </w:r>
    </w:p>
    <w:p>
      <w:pPr>
        <w:pStyle w:val="BodyText"/>
        <w:spacing w:before="3" w:line="364" w:lineRule="auto"/>
        <w:ind w:left="1200" w:right="2558" w:firstLine="719"/>
      </w:pPr>
      <w:r>
        <w:t>③、顺层路堑开挖时，应自上而下分层开挖、分层防护，分层高度视地质条件决定，一般为 2～3m，最大不超过 4m。</w:t>
      </w:r>
    </w:p>
    <w:p>
      <w:pPr>
        <w:pStyle w:val="BodyText"/>
        <w:spacing w:before="2" w:line="364" w:lineRule="auto"/>
        <w:ind w:left="1200" w:right="2517" w:firstLine="719"/>
      </w:pPr>
      <w:r>
        <w:rPr>
          <w:spacing w:val="-21"/>
        </w:rPr>
        <w:t xml:space="preserve">④、机械开挖路段，注意机械的位置和角度，保证边坡顺直，切禁任意凿打， </w:t>
      </w:r>
      <w:r>
        <w:t>造成边坡外观不平不顺。</w:t>
      </w:r>
    </w:p>
    <w:p>
      <w:pPr>
        <w:pStyle w:val="BodyText"/>
        <w:spacing w:before="2"/>
        <w:ind w:left="1920"/>
      </w:pPr>
      <w:r>
        <w:t>2</w:t>
      </w:r>
      <w:r>
        <w:rPr>
          <w:spacing w:val="-180"/>
        </w:rPr>
        <w:t>）</w:t>
      </w:r>
      <w:r>
        <w:t>、填方路基施工</w:t>
      </w:r>
    </w:p>
    <w:p>
      <w:pPr>
        <w:pStyle w:val="BodyText"/>
        <w:spacing w:before="241" w:line="364" w:lineRule="auto"/>
        <w:ind w:left="1200" w:right="2680" w:firstLine="719"/>
        <w:jc w:val="both"/>
      </w:pPr>
      <w:r>
        <w:rPr>
          <w:spacing w:val="-11"/>
        </w:rPr>
        <w:t>本段便道路基填料，借用御都基坑及凤凰大道西段开挖土石方，其强度满足</w:t>
      </w:r>
      <w:r>
        <w:rPr>
          <w:spacing w:val="-9"/>
        </w:rPr>
        <w:t>人工湖设计及便道施工技术要求。松铺厚度小于、碾压速度</w:t>
      </w:r>
      <w:r>
        <w:t>25m/min</w:t>
      </w:r>
      <w:r>
        <w:rPr>
          <w:spacing w:val="-4"/>
        </w:rPr>
        <w:t>、碾压遍数</w:t>
      </w:r>
      <w:r>
        <w:t>6</w:t>
      </w:r>
      <w:r>
        <w:rPr>
          <w:spacing w:val="-11"/>
        </w:rPr>
        <w:t xml:space="preserve"> 遍,满足填方路堤施工技术规范要求。</w:t>
      </w:r>
    </w:p>
    <w:p>
      <w:pPr>
        <w:pStyle w:val="BodyText"/>
        <w:spacing w:before="2"/>
        <w:ind w:left="1920"/>
      </w:pPr>
      <w:r>
        <w:t>A、填料选择</w:t>
      </w:r>
    </w:p>
    <w:p>
      <w:pPr>
        <w:pStyle w:val="BodyText"/>
        <w:spacing w:before="242"/>
        <w:ind w:left="1920"/>
      </w:pPr>
      <w:r>
        <w:t>①、.膨岩、易溶岩、强风化岩等不得直接用于路堤填筑。</w:t>
      </w:r>
    </w:p>
    <w:p>
      <w:pPr>
        <w:pStyle w:val="BodyText"/>
        <w:spacing w:before="241" w:line="364" w:lineRule="auto"/>
        <w:ind w:left="1200" w:right="2696" w:firstLine="719"/>
      </w:pPr>
      <w:r>
        <w:rPr>
          <w:spacing w:val="-8"/>
        </w:rPr>
        <w:t xml:space="preserve">②、填料粒径不得大于 </w:t>
      </w:r>
      <w:r>
        <w:t>500mm，</w:t>
      </w:r>
      <w:r>
        <w:rPr>
          <w:spacing w:val="-10"/>
        </w:rPr>
        <w:t xml:space="preserve">并不宜超过层厚 </w:t>
      </w:r>
      <w:r>
        <w:t>2/3，</w:t>
      </w:r>
      <w:r>
        <w:rPr>
          <w:spacing w:val="-16"/>
        </w:rPr>
        <w:t xml:space="preserve">路床以下 </w:t>
      </w:r>
      <w:r>
        <w:t>400mm</w:t>
      </w:r>
      <w:r>
        <w:rPr>
          <w:spacing w:val="-34"/>
        </w:rPr>
        <w:t xml:space="preserve"> 范围</w:t>
      </w:r>
      <w:r>
        <w:rPr>
          <w:spacing w:val="-9"/>
        </w:rPr>
        <w:t xml:space="preserve">内填料粒径不得大于 </w:t>
      </w:r>
      <w:r>
        <w:t>150mm；</w:t>
      </w:r>
      <w:r>
        <w:rPr>
          <w:spacing w:val="-9"/>
        </w:rPr>
        <w:t xml:space="preserve">路床填料粒径不得大于 </w:t>
      </w:r>
      <w:r>
        <w:t>100mm。</w:t>
      </w:r>
    </w:p>
    <w:p>
      <w:pPr>
        <w:pStyle w:val="BodyText"/>
        <w:spacing w:before="2"/>
        <w:ind w:left="1920"/>
      </w:pPr>
      <w:r>
        <w:t>B、填筑工艺</w:t>
      </w:r>
    </w:p>
    <w:p>
      <w:pPr>
        <w:pStyle w:val="BodyText"/>
        <w:spacing w:before="241" w:line="364" w:lineRule="auto"/>
        <w:ind w:left="1200" w:right="2558" w:firstLine="719"/>
      </w:pPr>
      <w:r>
        <w:rPr>
          <w:spacing w:val="-1"/>
        </w:rPr>
        <w:t>①、路基填筑前，测量人员按预设线路方向及坡度，结合地面中桩标高，定</w:t>
      </w:r>
      <w:r>
        <w:t>出填方坡脚线。</w:t>
      </w:r>
    </w:p>
    <w:p>
      <w:pPr>
        <w:spacing w:after="0" w:line="364" w:lineRule="auto"/>
        <w:sectPr>
          <w:pgSz w:w="17860" w:h="25260"/>
          <w:pgMar w:top="1920" w:right="0" w:bottom="280" w:left="1500" w:header="708" w:footer="708"/>
          <w:pgNumType w:start="22"/>
          <w:cols w:space="708"/>
        </w:sectPr>
      </w:pPr>
    </w:p>
    <w:p>
      <w:pPr>
        <w:pStyle w:val="BodyText"/>
        <w:spacing w:before="35"/>
        <w:ind w:left="1920"/>
      </w:pPr>
      <w:r>
        <w:t>②、机械配合人工清表，清表厚度 500mm，并设置排水沟。</w:t>
      </w:r>
    </w:p>
    <w:p>
      <w:pPr>
        <w:pStyle w:val="BodyText"/>
        <w:spacing w:before="242"/>
        <w:ind w:left="1920"/>
      </w:pPr>
      <w:r>
        <w:t>③、路基回填前，应对原地面进行碾压，碾压遍数不少于 5 遍.</w:t>
      </w:r>
    </w:p>
    <w:p>
      <w:pPr>
        <w:pStyle w:val="BodyText"/>
        <w:spacing w:before="240" w:line="364" w:lineRule="auto"/>
        <w:ind w:left="1200" w:right="2558" w:firstLine="719"/>
      </w:pPr>
      <w:r>
        <w:t>④、布料：现场指挥人员，根据施测人员所画的灰线网格，指挥车辆均匀布料。</w:t>
      </w:r>
    </w:p>
    <w:p>
      <w:pPr>
        <w:pStyle w:val="BodyText"/>
        <w:spacing w:before="2" w:line="364" w:lineRule="auto"/>
        <w:ind w:left="1200" w:right="2558" w:firstLine="719"/>
      </w:pPr>
      <w:r>
        <w:t>⑤、摊铺：推土机按的摊铺厚度将岩碴摊平，推土机不能工作的地方，采用挖机配合摊铺。</w:t>
      </w:r>
    </w:p>
    <w:p>
      <w:pPr>
        <w:pStyle w:val="BodyText"/>
        <w:spacing w:before="2" w:line="364" w:lineRule="auto"/>
        <w:ind w:left="1200" w:right="2558" w:firstLine="719"/>
      </w:pPr>
      <w:r>
        <w:t>⑥、碾压：压路机先两边后中间进行碾压，先静压一遍后进行振动碾压，共碾压 6 遍。</w:t>
      </w:r>
    </w:p>
    <w:p>
      <w:pPr>
        <w:pStyle w:val="BodyText"/>
        <w:spacing w:before="3"/>
        <w:ind w:left="1920"/>
      </w:pPr>
      <w:r>
        <w:t>⑦、对少数坑洼处人工填平，保证表面横坡在 2%～3%.</w:t>
      </w:r>
    </w:p>
    <w:p>
      <w:pPr>
        <w:pStyle w:val="BodyText"/>
        <w:spacing w:before="240"/>
        <w:ind w:left="5161"/>
      </w:pPr>
      <w:r>
        <w:drawing>
          <wp:anchor distT="0" distB="0" distL="0" distR="0" simplePos="0" relativeHeight="251673600" behindDoc="1" locked="0" layoutInCell="1" allowOverlap="1">
            <wp:simplePos x="0" y="0"/>
            <wp:positionH relativeFrom="page">
              <wp:posOffset>1866900</wp:posOffset>
            </wp:positionH>
            <wp:positionV relativeFrom="paragraph">
              <wp:posOffset>515873</wp:posOffset>
            </wp:positionV>
            <wp:extent cx="8057007" cy="1836896"/>
            <wp:effectExtent l="0" t="0" r="0" b="0"/>
            <wp:wrapNone/>
            <wp:docPr id="1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8.png"/>
                    <pic:cNvPicPr/>
                  </pic:nvPicPr>
                  <pic:blipFill>
                    <a:blip xmlns:r="http://schemas.openxmlformats.org/officeDocument/2006/relationships" r:embed="rId21" cstate="print"/>
                    <a:stretch>
                      <a:fillRect/>
                    </a:stretch>
                  </pic:blipFill>
                  <pic:spPr>
                    <a:xfrm>
                      <a:off x="0" y="0"/>
                      <a:ext cx="8057007" cy="1836896"/>
                    </a:xfrm>
                    <a:prstGeom prst="rect">
                      <a:avLst/>
                    </a:prstGeom>
                  </pic:spPr>
                </pic:pic>
              </a:graphicData>
            </a:graphic>
          </wp:anchor>
        </w:drawing>
      </w:r>
      <w:r>
        <w:t>路堤压实标准如下</w:t>
      </w:r>
    </w:p>
    <w:p>
      <w:pPr>
        <w:pStyle w:val="BodyText"/>
        <w:spacing w:before="11"/>
        <w:rPr>
          <w:sz w:val="23"/>
        </w:rPr>
      </w:pPr>
    </w:p>
    <w:tbl>
      <w:tblPr>
        <w:tblStyle w:val="TableNormal3"/>
        <w:tblW w:w="0" w:type="auto"/>
        <w:jc w:val="left"/>
        <w:tblInd w:w="15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54"/>
        <w:gridCol w:w="3070"/>
        <w:gridCol w:w="2534"/>
        <w:gridCol w:w="2536"/>
        <w:gridCol w:w="2399"/>
      </w:tblGrid>
      <w:tr>
        <w:tblPrEx>
          <w:tblW w:w="0" w:type="auto"/>
          <w:jc w:val="left"/>
          <w:tblInd w:w="15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0"/>
          <w:jc w:val="left"/>
        </w:trPr>
        <w:tc>
          <w:tcPr>
            <w:tcW w:w="1854" w:type="dxa"/>
          </w:tcPr>
          <w:p>
            <w:pPr>
              <w:pStyle w:val="TableParagraph"/>
              <w:spacing w:line="411" w:lineRule="exact"/>
              <w:ind w:left="50"/>
              <w:jc w:val="left"/>
              <w:rPr>
                <w:sz w:val="36"/>
              </w:rPr>
            </w:pPr>
            <w:r>
              <w:rPr>
                <w:sz w:val="36"/>
              </w:rPr>
              <w:t>分区</w:t>
            </w:r>
          </w:p>
        </w:tc>
        <w:tc>
          <w:tcPr>
            <w:tcW w:w="3070" w:type="dxa"/>
          </w:tcPr>
          <w:p>
            <w:pPr>
              <w:pStyle w:val="TableParagraph"/>
              <w:spacing w:line="411" w:lineRule="exact"/>
              <w:ind w:left="723"/>
              <w:jc w:val="left"/>
              <w:rPr>
                <w:sz w:val="36"/>
              </w:rPr>
            </w:pPr>
            <w:r>
              <w:rPr>
                <w:sz w:val="36"/>
              </w:rPr>
              <w:t>路床顶面以下</w:t>
            </w:r>
          </w:p>
        </w:tc>
        <w:tc>
          <w:tcPr>
            <w:tcW w:w="2534" w:type="dxa"/>
          </w:tcPr>
          <w:p>
            <w:pPr>
              <w:pStyle w:val="TableParagraph"/>
              <w:spacing w:line="411" w:lineRule="exact"/>
              <w:ind w:left="184"/>
              <w:jc w:val="left"/>
              <w:rPr>
                <w:sz w:val="36"/>
              </w:rPr>
            </w:pPr>
            <w:r>
              <w:rPr>
                <w:sz w:val="36"/>
              </w:rPr>
              <w:t>硬质石料孔隙</w:t>
            </w:r>
          </w:p>
        </w:tc>
        <w:tc>
          <w:tcPr>
            <w:tcW w:w="2536" w:type="dxa"/>
          </w:tcPr>
          <w:p>
            <w:pPr>
              <w:pStyle w:val="TableParagraph"/>
              <w:spacing w:line="411" w:lineRule="exact"/>
              <w:ind w:left="185"/>
              <w:jc w:val="left"/>
              <w:rPr>
                <w:sz w:val="36"/>
              </w:rPr>
            </w:pPr>
            <w:r>
              <w:rPr>
                <w:sz w:val="36"/>
              </w:rPr>
              <w:t>中硬石料孔隙</w:t>
            </w:r>
          </w:p>
        </w:tc>
        <w:tc>
          <w:tcPr>
            <w:tcW w:w="2399" w:type="dxa"/>
          </w:tcPr>
          <w:p>
            <w:pPr>
              <w:pStyle w:val="TableParagraph"/>
              <w:spacing w:line="411" w:lineRule="exact"/>
              <w:ind w:left="185"/>
              <w:jc w:val="left"/>
              <w:rPr>
                <w:sz w:val="36"/>
              </w:rPr>
            </w:pPr>
            <w:r>
              <w:rPr>
                <w:sz w:val="36"/>
              </w:rPr>
              <w:t>软质石料孔隙</w:t>
            </w:r>
          </w:p>
        </w:tc>
      </w:tr>
      <w:tr>
        <w:tblPrEx>
          <w:tblW w:w="0" w:type="auto"/>
          <w:jc w:val="left"/>
          <w:tblInd w:w="1579" w:type="dxa"/>
          <w:tblLayout w:type="fixed"/>
          <w:tblCellMar>
            <w:top w:w="0" w:type="dxa"/>
            <w:left w:w="0" w:type="dxa"/>
            <w:bottom w:w="0" w:type="dxa"/>
            <w:right w:w="0" w:type="dxa"/>
          </w:tblCellMar>
          <w:tblLook w:val="01E0"/>
        </w:tblPrEx>
        <w:trPr>
          <w:trHeight w:val="1425"/>
          <w:jc w:val="left"/>
        </w:trPr>
        <w:tc>
          <w:tcPr>
            <w:tcW w:w="1854" w:type="dxa"/>
          </w:tcPr>
          <w:p>
            <w:pPr>
              <w:pStyle w:val="TableParagraph"/>
              <w:jc w:val="left"/>
              <w:rPr>
                <w:sz w:val="36"/>
              </w:rPr>
            </w:pPr>
          </w:p>
          <w:p>
            <w:pPr>
              <w:pStyle w:val="TableParagraph"/>
              <w:spacing w:before="3"/>
              <w:jc w:val="left"/>
              <w:rPr>
                <w:sz w:val="29"/>
              </w:rPr>
            </w:pPr>
          </w:p>
          <w:p>
            <w:pPr>
              <w:pStyle w:val="TableParagraph"/>
              <w:spacing w:before="1"/>
              <w:ind w:left="50"/>
              <w:jc w:val="left"/>
              <w:rPr>
                <w:sz w:val="36"/>
              </w:rPr>
            </w:pPr>
            <w:r>
              <w:rPr>
                <w:sz w:val="36"/>
              </w:rPr>
              <w:t>上路堤</w:t>
            </w:r>
          </w:p>
        </w:tc>
        <w:tc>
          <w:tcPr>
            <w:tcW w:w="3070" w:type="dxa"/>
          </w:tcPr>
          <w:p>
            <w:pPr>
              <w:pStyle w:val="TableParagraph"/>
              <w:spacing w:before="120"/>
              <w:ind w:left="723"/>
              <w:jc w:val="left"/>
              <w:rPr>
                <w:sz w:val="36"/>
              </w:rPr>
            </w:pPr>
            <w:r>
              <w:rPr>
                <w:sz w:val="36"/>
              </w:rPr>
              <w:t>深度(m)</w:t>
            </w:r>
          </w:p>
          <w:p>
            <w:pPr>
              <w:pStyle w:val="TableParagraph"/>
              <w:spacing w:before="255"/>
              <w:ind w:left="723"/>
              <w:jc w:val="left"/>
              <w:rPr>
                <w:sz w:val="36"/>
              </w:rPr>
            </w:pPr>
            <w:r>
              <w:rPr>
                <w:sz w:val="36"/>
              </w:rPr>
              <w:t>～</w:t>
            </w:r>
          </w:p>
        </w:tc>
        <w:tc>
          <w:tcPr>
            <w:tcW w:w="2534" w:type="dxa"/>
          </w:tcPr>
          <w:p>
            <w:pPr>
              <w:pStyle w:val="TableParagraph"/>
              <w:spacing w:before="120"/>
              <w:ind w:left="184"/>
              <w:jc w:val="left"/>
              <w:rPr>
                <w:sz w:val="36"/>
              </w:rPr>
            </w:pPr>
            <w:r>
              <w:rPr>
                <w:sz w:val="36"/>
              </w:rPr>
              <w:t>率（%）</w:t>
            </w:r>
          </w:p>
          <w:p>
            <w:pPr>
              <w:pStyle w:val="TableParagraph"/>
              <w:spacing w:before="255"/>
              <w:ind w:left="184"/>
              <w:jc w:val="left"/>
              <w:rPr>
                <w:sz w:val="36"/>
              </w:rPr>
            </w:pPr>
            <w:r>
              <w:rPr>
                <w:sz w:val="36"/>
              </w:rPr>
              <w:t>≤23</w:t>
            </w:r>
          </w:p>
        </w:tc>
        <w:tc>
          <w:tcPr>
            <w:tcW w:w="2536" w:type="dxa"/>
          </w:tcPr>
          <w:p>
            <w:pPr>
              <w:pStyle w:val="TableParagraph"/>
              <w:spacing w:before="120"/>
              <w:ind w:left="185"/>
              <w:jc w:val="left"/>
              <w:rPr>
                <w:sz w:val="36"/>
              </w:rPr>
            </w:pPr>
            <w:r>
              <w:rPr>
                <w:sz w:val="36"/>
              </w:rPr>
              <w:t>率（%）</w:t>
            </w:r>
          </w:p>
          <w:p>
            <w:pPr>
              <w:pStyle w:val="TableParagraph"/>
              <w:spacing w:before="255"/>
              <w:ind w:left="185"/>
              <w:jc w:val="left"/>
              <w:rPr>
                <w:sz w:val="36"/>
              </w:rPr>
            </w:pPr>
            <w:r>
              <w:rPr>
                <w:sz w:val="36"/>
              </w:rPr>
              <w:t>≤22</w:t>
            </w:r>
          </w:p>
        </w:tc>
        <w:tc>
          <w:tcPr>
            <w:tcW w:w="2399" w:type="dxa"/>
          </w:tcPr>
          <w:p>
            <w:pPr>
              <w:pStyle w:val="TableParagraph"/>
              <w:spacing w:before="120"/>
              <w:ind w:left="185"/>
              <w:jc w:val="left"/>
              <w:rPr>
                <w:sz w:val="36"/>
              </w:rPr>
            </w:pPr>
            <w:r>
              <w:rPr>
                <w:sz w:val="36"/>
              </w:rPr>
              <w:t>率（%）</w:t>
            </w:r>
          </w:p>
          <w:p>
            <w:pPr>
              <w:pStyle w:val="TableParagraph"/>
              <w:spacing w:before="255"/>
              <w:ind w:left="185"/>
              <w:jc w:val="left"/>
              <w:rPr>
                <w:sz w:val="36"/>
              </w:rPr>
            </w:pPr>
            <w:r>
              <w:rPr>
                <w:sz w:val="36"/>
              </w:rPr>
              <w:t>≤20</w:t>
            </w:r>
          </w:p>
        </w:tc>
      </w:tr>
      <w:tr>
        <w:tblPrEx>
          <w:tblW w:w="0" w:type="auto"/>
          <w:jc w:val="left"/>
          <w:tblInd w:w="1579" w:type="dxa"/>
          <w:tblLayout w:type="fixed"/>
          <w:tblCellMar>
            <w:top w:w="0" w:type="dxa"/>
            <w:left w:w="0" w:type="dxa"/>
            <w:bottom w:w="0" w:type="dxa"/>
            <w:right w:w="0" w:type="dxa"/>
          </w:tblCellMar>
          <w:tblLook w:val="01E0"/>
        </w:tblPrEx>
        <w:trPr>
          <w:trHeight w:val="538"/>
          <w:jc w:val="left"/>
        </w:trPr>
        <w:tc>
          <w:tcPr>
            <w:tcW w:w="1854" w:type="dxa"/>
          </w:tcPr>
          <w:p>
            <w:pPr>
              <w:pStyle w:val="TableParagraph"/>
              <w:spacing w:before="127" w:line="391" w:lineRule="exact"/>
              <w:ind w:left="50"/>
              <w:jc w:val="left"/>
              <w:rPr>
                <w:sz w:val="36"/>
              </w:rPr>
            </w:pPr>
            <w:r>
              <w:rPr>
                <w:sz w:val="36"/>
              </w:rPr>
              <w:t>下路堤</w:t>
            </w:r>
          </w:p>
        </w:tc>
        <w:tc>
          <w:tcPr>
            <w:tcW w:w="3070" w:type="dxa"/>
          </w:tcPr>
          <w:p>
            <w:pPr>
              <w:pStyle w:val="TableParagraph"/>
              <w:spacing w:before="127" w:line="391" w:lineRule="exact"/>
              <w:ind w:left="723"/>
              <w:jc w:val="left"/>
              <w:rPr>
                <w:sz w:val="36"/>
              </w:rPr>
            </w:pPr>
            <w:r>
              <w:rPr>
                <w:sz w:val="36"/>
              </w:rPr>
              <w:t>＞</w:t>
            </w:r>
          </w:p>
        </w:tc>
        <w:tc>
          <w:tcPr>
            <w:tcW w:w="2534" w:type="dxa"/>
          </w:tcPr>
          <w:p>
            <w:pPr>
              <w:pStyle w:val="TableParagraph"/>
              <w:spacing w:before="127" w:line="391" w:lineRule="exact"/>
              <w:ind w:left="184"/>
              <w:jc w:val="left"/>
              <w:rPr>
                <w:sz w:val="36"/>
              </w:rPr>
            </w:pPr>
            <w:r>
              <w:rPr>
                <w:sz w:val="36"/>
              </w:rPr>
              <w:t>≤25</w:t>
            </w:r>
          </w:p>
        </w:tc>
        <w:tc>
          <w:tcPr>
            <w:tcW w:w="2536" w:type="dxa"/>
          </w:tcPr>
          <w:p>
            <w:pPr>
              <w:pStyle w:val="TableParagraph"/>
              <w:spacing w:before="127" w:line="391" w:lineRule="exact"/>
              <w:ind w:left="185"/>
              <w:jc w:val="left"/>
              <w:rPr>
                <w:sz w:val="36"/>
              </w:rPr>
            </w:pPr>
            <w:r>
              <w:rPr>
                <w:sz w:val="36"/>
              </w:rPr>
              <w:t>≤24</w:t>
            </w:r>
          </w:p>
        </w:tc>
        <w:tc>
          <w:tcPr>
            <w:tcW w:w="2399" w:type="dxa"/>
          </w:tcPr>
          <w:p>
            <w:pPr>
              <w:pStyle w:val="TableParagraph"/>
              <w:spacing w:before="127" w:line="391" w:lineRule="exact"/>
              <w:ind w:left="185"/>
              <w:jc w:val="left"/>
              <w:rPr>
                <w:sz w:val="36"/>
              </w:rPr>
            </w:pPr>
            <w:r>
              <w:rPr>
                <w:sz w:val="36"/>
              </w:rPr>
              <w:t>≤22</w:t>
            </w:r>
          </w:p>
        </w:tc>
      </w:tr>
    </w:tbl>
    <w:p>
      <w:pPr>
        <w:pStyle w:val="BodyText"/>
        <w:spacing w:before="309"/>
        <w:ind w:left="2543" w:right="2460"/>
        <w:jc w:val="center"/>
      </w:pPr>
      <w:r>
        <w:t>路基施工工艺流程图</w:t>
      </w:r>
    </w:p>
    <w:p>
      <w:pPr>
        <w:pStyle w:val="BodyText"/>
        <w:spacing w:before="5"/>
        <w:rPr>
          <w:sz w:val="18"/>
        </w:rPr>
      </w:pPr>
      <w:r>
        <w:pict>
          <v:group id="_x0000_s1105" style="width:416pt;height:516pt;margin-top:13.77pt;margin-left:302pt;mso-position-horizontal-relative:page;mso-wrap-distance-left:0;mso-wrap-distance-right:0;position:absolute;z-index:-251641856" coordorigin="6040,275" coordsize="8320,10320">
            <v:shape id="_x0000_s1106" type="#_x0000_t75" style="width:8320;height:10320;left:6040;position:absolute;top:275" stroked="f">
              <v:imagedata r:id="rId22" o:title=""/>
            </v:shape>
            <v:shape id="_x0000_s1107" type="#_x0000_t202" style="width:1288;height:317;left:9080;position:absolute;top:514" filled="f" stroked="f">
              <v:textbox inset="0,0,0,0">
                <w:txbxContent>
                  <w:p>
                    <w:pPr>
                      <w:spacing w:before="0" w:line="317" w:lineRule="exact"/>
                      <w:ind w:left="0" w:right="0" w:firstLine="0"/>
                      <w:jc w:val="left"/>
                      <w:rPr>
                        <w:sz w:val="31"/>
                      </w:rPr>
                    </w:pPr>
                    <w:r>
                      <w:rPr>
                        <w:sz w:val="31"/>
                      </w:rPr>
                      <w:t>测量放样</w:t>
                    </w:r>
                  </w:p>
                </w:txbxContent>
              </v:textbox>
            </v:shape>
            <v:shape id="_x0000_s1108" type="#_x0000_t202" style="width:1604;height:317;left:9012;position:absolute;top:1684" filled="f" stroked="f">
              <v:textbox inset="0,0,0,0">
                <w:txbxContent>
                  <w:p>
                    <w:pPr>
                      <w:spacing w:before="0" w:line="317" w:lineRule="exact"/>
                      <w:ind w:left="0" w:right="0" w:firstLine="0"/>
                      <w:jc w:val="left"/>
                      <w:rPr>
                        <w:sz w:val="31"/>
                      </w:rPr>
                    </w:pPr>
                    <w:r>
                      <w:rPr>
                        <w:sz w:val="31"/>
                      </w:rPr>
                      <w:t>开挖排水沟</w:t>
                    </w:r>
                  </w:p>
                </w:txbxContent>
              </v:textbox>
            </v:shape>
            <v:shape id="_x0000_s1109" type="#_x0000_t202" style="width:971;height:317;left:9397;position:absolute;top:2854" filled="f" stroked="f">
              <v:textbox inset="0,0,0,0">
                <w:txbxContent>
                  <w:p>
                    <w:pPr>
                      <w:tabs>
                        <w:tab w:val="left" w:pos="633"/>
                      </w:tabs>
                      <w:spacing w:before="0" w:line="317" w:lineRule="exact"/>
                      <w:ind w:left="0" w:right="0" w:firstLine="0"/>
                      <w:jc w:val="left"/>
                      <w:rPr>
                        <w:sz w:val="31"/>
                      </w:rPr>
                    </w:pPr>
                    <w:r>
                      <w:rPr>
                        <w:sz w:val="31"/>
                      </w:rPr>
                      <w:t>清</w:t>
                      <w:tab/>
                      <w:t>表</w:t>
                    </w:r>
                  </w:p>
                </w:txbxContent>
              </v:textbox>
            </v:shape>
            <v:shape id="_x0000_s1110" type="#_x0000_t202" style="width:1288;height:317;left:6269;position:absolute;top:3383" filled="f" stroked="f">
              <v:textbox inset="0,0,0,0">
                <w:txbxContent>
                  <w:p>
                    <w:pPr>
                      <w:spacing w:before="0" w:line="317" w:lineRule="exact"/>
                      <w:ind w:left="0" w:right="0" w:firstLine="0"/>
                      <w:jc w:val="left"/>
                      <w:rPr>
                        <w:sz w:val="31"/>
                      </w:rPr>
                    </w:pPr>
                    <w:r>
                      <w:rPr>
                        <w:sz w:val="31"/>
                      </w:rPr>
                      <w:t>地基处理</w:t>
                    </w:r>
                  </w:p>
                </w:txbxContent>
              </v:textbox>
            </v:shape>
            <v:shape id="_x0000_s1111" type="#_x0000_t202" style="width:1921;height:317;left:12141;position:absolute;top:3383" filled="f" stroked="f">
              <v:textbox inset="0,0,0,0">
                <w:txbxContent>
                  <w:p>
                    <w:pPr>
                      <w:spacing w:before="0" w:line="317" w:lineRule="exact"/>
                      <w:ind w:left="0" w:right="0" w:firstLine="0"/>
                      <w:jc w:val="left"/>
                      <w:rPr>
                        <w:sz w:val="31"/>
                      </w:rPr>
                    </w:pPr>
                    <w:r>
                      <w:rPr>
                        <w:sz w:val="31"/>
                      </w:rPr>
                      <w:t>排水系统施工</w:t>
                    </w:r>
                  </w:p>
                </w:txbxContent>
              </v:textbox>
            </v:shape>
            <v:shape id="_x0000_s1112" type="#_x0000_t202" style="width:1288;height:317;left:9221;position:absolute;top:4258" filled="f" stroked="f">
              <v:textbox inset="0,0,0,0">
                <w:txbxContent>
                  <w:p>
                    <w:pPr>
                      <w:spacing w:before="0" w:line="317" w:lineRule="exact"/>
                      <w:ind w:left="0" w:right="0" w:firstLine="0"/>
                      <w:jc w:val="left"/>
                      <w:rPr>
                        <w:sz w:val="31"/>
                      </w:rPr>
                    </w:pPr>
                    <w:r>
                      <w:rPr>
                        <w:sz w:val="31"/>
                      </w:rPr>
                      <w:t>填前碾压</w:t>
                    </w:r>
                  </w:p>
                </w:txbxContent>
              </v:textbox>
            </v:shape>
            <v:shape id="_x0000_s1113" type="#_x0000_t202" style="width:1288;height:317;left:12368;position:absolute;top:4726" filled="f" stroked="f">
              <v:textbox inset="0,0,0,0">
                <w:txbxContent>
                  <w:p>
                    <w:pPr>
                      <w:spacing w:before="0" w:line="317" w:lineRule="exact"/>
                      <w:ind w:left="0" w:right="0" w:firstLine="0"/>
                      <w:jc w:val="left"/>
                      <w:rPr>
                        <w:sz w:val="31"/>
                      </w:rPr>
                    </w:pPr>
                    <w:r>
                      <w:rPr>
                        <w:sz w:val="31"/>
                      </w:rPr>
                      <w:t>监理签认</w:t>
                    </w:r>
                  </w:p>
                </w:txbxContent>
              </v:textbox>
            </v:shape>
            <v:shape id="_x0000_s1114" type="#_x0000_t202" style="width:1921;height:317;left:8832;position:absolute;top:5428" filled="f" stroked="f">
              <v:textbox inset="0,0,0,0">
                <w:txbxContent>
                  <w:p>
                    <w:pPr>
                      <w:spacing w:before="0" w:line="317" w:lineRule="exact"/>
                      <w:ind w:left="0" w:right="0" w:firstLine="0"/>
                      <w:jc w:val="left"/>
                      <w:rPr>
                        <w:sz w:val="31"/>
                      </w:rPr>
                    </w:pPr>
                    <w:r>
                      <w:rPr>
                        <w:sz w:val="31"/>
                      </w:rPr>
                      <w:t>断面标高测量</w:t>
                    </w:r>
                  </w:p>
                </w:txbxContent>
              </v:textbox>
            </v:shape>
            <v:shape id="_x0000_s1115" type="#_x0000_t202" style="width:1288;height:317;left:9174;position:absolute;top:6599" filled="f" stroked="f">
              <v:textbox inset="0,0,0,0">
                <w:txbxContent>
                  <w:p>
                    <w:pPr>
                      <w:spacing w:before="0" w:line="317" w:lineRule="exact"/>
                      <w:ind w:left="0" w:right="0" w:firstLine="0"/>
                      <w:jc w:val="left"/>
                      <w:rPr>
                        <w:sz w:val="31"/>
                      </w:rPr>
                    </w:pPr>
                    <w:r>
                      <w:rPr>
                        <w:sz w:val="31"/>
                      </w:rPr>
                      <w:t>路基填筑</w:t>
                    </w:r>
                  </w:p>
                </w:txbxContent>
              </v:textbox>
            </v:shape>
            <v:shape id="_x0000_s1116" type="#_x0000_t202" style="width:1288;height:317;left:9170;position:absolute;top:7769" filled="f" stroked="f">
              <v:textbox inset="0,0,0,0">
                <w:txbxContent>
                  <w:p>
                    <w:pPr>
                      <w:spacing w:before="0" w:line="317" w:lineRule="exact"/>
                      <w:ind w:left="0" w:right="0" w:firstLine="0"/>
                      <w:jc w:val="left"/>
                      <w:rPr>
                        <w:sz w:val="31"/>
                      </w:rPr>
                    </w:pPr>
                    <w:r>
                      <w:rPr>
                        <w:sz w:val="31"/>
                      </w:rPr>
                      <w:t>平整压实</w:t>
                    </w:r>
                  </w:p>
                </w:txbxContent>
              </v:textbox>
            </v:shape>
            <v:shape id="_x0000_s1117" type="#_x0000_t202" style="width:1604;height:317;left:9084;position:absolute;top:8942" filled="f" stroked="f">
              <v:textbox inset="0,0,0,0">
                <w:txbxContent>
                  <w:p>
                    <w:pPr>
                      <w:spacing w:before="0" w:line="317" w:lineRule="exact"/>
                      <w:ind w:left="0" w:right="0" w:firstLine="0"/>
                      <w:jc w:val="left"/>
                      <w:rPr>
                        <w:sz w:val="31"/>
                      </w:rPr>
                    </w:pPr>
                    <w:r>
                      <w:rPr>
                        <w:sz w:val="31"/>
                      </w:rPr>
                      <w:t>密实度检测</w:t>
                    </w:r>
                  </w:p>
                </w:txbxContent>
              </v:textbox>
            </v:shape>
            <v:shape id="_x0000_s1118" type="#_x0000_t202" style="width:1288;height:317;left:12569;position:absolute;top:9410" filled="f" stroked="f">
              <v:textbox inset="0,0,0,0">
                <w:txbxContent>
                  <w:p>
                    <w:pPr>
                      <w:spacing w:before="0" w:line="317" w:lineRule="exact"/>
                      <w:ind w:left="0" w:right="0" w:firstLine="0"/>
                      <w:jc w:val="left"/>
                      <w:rPr>
                        <w:sz w:val="31"/>
                      </w:rPr>
                    </w:pPr>
                    <w:r>
                      <w:rPr>
                        <w:sz w:val="31"/>
                      </w:rPr>
                      <w:t>监理检查</w:t>
                    </w:r>
                  </w:p>
                </w:txbxContent>
              </v:textbox>
            </v:shape>
            <v:shape id="_x0000_s1119" type="#_x0000_t202" style="width:1288;height:317;left:9059;position:absolute;top:10112" filled="f" stroked="f">
              <v:textbox inset="0,0,0,0">
                <w:txbxContent>
                  <w:p>
                    <w:pPr>
                      <w:spacing w:before="0" w:line="317" w:lineRule="exact"/>
                      <w:ind w:left="0" w:right="0" w:firstLine="0"/>
                      <w:jc w:val="left"/>
                      <w:rPr>
                        <w:sz w:val="31"/>
                      </w:rPr>
                    </w:pPr>
                    <w:r>
                      <w:rPr>
                        <w:sz w:val="31"/>
                      </w:rPr>
                      <w:t>上层填筑</w:t>
                    </w:r>
                  </w:p>
                </w:txbxContent>
              </v:textbox>
            </v:shape>
            <w10:wrap type="topAndBottom"/>
          </v:group>
        </w:pict>
      </w:r>
    </w:p>
    <w:p>
      <w:pPr>
        <w:spacing w:after="0"/>
        <w:rPr>
          <w:sz w:val="18"/>
        </w:rPr>
        <w:sectPr>
          <w:pgSz w:w="17860" w:h="25260"/>
          <w:pgMar w:top="1920" w:right="0" w:bottom="280" w:left="1500" w:header="708" w:footer="708"/>
          <w:pgNumType w:start="23"/>
          <w:cols w:space="708"/>
        </w:sectPr>
      </w:pPr>
    </w:p>
    <w:p>
      <w:pPr>
        <w:pStyle w:val="BodyText"/>
        <w:spacing w:before="9"/>
        <w:rPr>
          <w:sz w:val="14"/>
        </w:rPr>
      </w:pPr>
    </w:p>
    <w:p>
      <w:pPr>
        <w:pStyle w:val="BodyText"/>
        <w:spacing w:before="50"/>
        <w:ind w:left="1920"/>
      </w:pPr>
      <w:r>
        <w:t>C、填路基要求：</w:t>
      </w:r>
    </w:p>
    <w:p>
      <w:pPr>
        <w:pStyle w:val="BodyText"/>
        <w:spacing w:before="240" w:line="364" w:lineRule="auto"/>
        <w:ind w:left="1200" w:right="2702" w:firstLine="719"/>
      </w:pPr>
      <w:r>
        <w:rPr>
          <w:spacing w:val="-14"/>
        </w:rPr>
        <w:t>①、岩性相差较大的石料应分层或分段填筑。严禁将软质填料与硬质石料混</w:t>
      </w:r>
      <w:r>
        <w:t>合使用。</w:t>
      </w:r>
    </w:p>
    <w:p>
      <w:pPr>
        <w:pStyle w:val="BodyText"/>
        <w:spacing w:before="2"/>
        <w:ind w:left="1920"/>
      </w:pPr>
      <w:r>
        <w:t>②、路基顶面应稳定可靠，自重 15T 以上振动路机碾压两遍无明显高差。</w:t>
      </w:r>
    </w:p>
    <w:p>
      <w:pPr>
        <w:pStyle w:val="BodyText"/>
        <w:spacing w:before="241"/>
        <w:ind w:left="1920"/>
      </w:pPr>
      <w:r>
        <w:t>③、路基表面平整、边线直顺、曲线圆滑。</w:t>
      </w:r>
    </w:p>
    <w:p>
      <w:pPr>
        <w:pStyle w:val="BodyText"/>
        <w:spacing w:before="241" w:line="364" w:lineRule="auto"/>
        <w:ind w:left="1200" w:right="2521" w:firstLine="719"/>
      </w:pPr>
      <w:r>
        <w:rPr>
          <w:spacing w:val="-21"/>
        </w:rPr>
        <w:t xml:space="preserve">④、填筑完成后的路堤外观质量标准：表面无明显孔洞；大粒径石料无松动， </w:t>
      </w:r>
      <w:r>
        <w:t>铁锹挖动困难，坡面平顺。</w:t>
      </w:r>
    </w:p>
    <w:p>
      <w:pPr>
        <w:pStyle w:val="ListParagraph"/>
        <w:numPr>
          <w:ilvl w:val="7"/>
          <w:numId w:val="23"/>
        </w:numPr>
        <w:tabs>
          <w:tab w:val="left" w:pos="2282"/>
        </w:tabs>
        <w:spacing w:before="2" w:after="0" w:line="240" w:lineRule="auto"/>
        <w:ind w:left="2281" w:right="0" w:hanging="542"/>
        <w:jc w:val="left"/>
        <w:rPr>
          <w:sz w:val="36"/>
        </w:rPr>
      </w:pPr>
      <w:r>
        <w:rPr>
          <w:sz w:val="36"/>
        </w:rPr>
        <w:t>、路床</w:t>
      </w:r>
    </w:p>
    <w:p>
      <w:pPr>
        <w:pStyle w:val="BodyText"/>
        <w:spacing w:before="241" w:line="364" w:lineRule="auto"/>
        <w:ind w:left="1200" w:right="2738" w:firstLine="539"/>
      </w:pPr>
      <w:r>
        <w:t>路床采用小粒径填料，以便整平形成纵坡、横坡。路床面层（）采用泥结石面层，骨料粒径不得大于，泥结石填料含泥量不得大于 18%。</w:t>
      </w:r>
    </w:p>
    <w:p>
      <w:pPr>
        <w:pStyle w:val="BodyText"/>
        <w:spacing w:before="2" w:line="364" w:lineRule="auto"/>
        <w:ind w:left="1560" w:right="6518" w:firstLine="360"/>
      </w:pPr>
      <w:r>
        <w:rPr>
          <w:spacing w:val="-1"/>
        </w:rPr>
        <w:t>填筑方法与路基相同，达到设计标高并碾压密实。</w:t>
      </w:r>
      <w:r>
        <w:t>4</w:t>
      </w:r>
      <w:r>
        <w:rPr>
          <w:spacing w:val="-180"/>
        </w:rPr>
        <w:t>）</w:t>
      </w:r>
      <w:r>
        <w:t>、雨季施工措施</w:t>
      </w:r>
    </w:p>
    <w:p>
      <w:pPr>
        <w:pStyle w:val="BodyText"/>
        <w:spacing w:before="2"/>
        <w:ind w:left="1920"/>
      </w:pPr>
      <w:r>
        <w:t>1、作好施工区内的排水沟、引水沟，保证路基范围内不受水雨侵蚀，冲刷。</w:t>
      </w:r>
    </w:p>
    <w:p>
      <w:pPr>
        <w:pStyle w:val="BodyText"/>
        <w:spacing w:before="240" w:line="364" w:lineRule="auto"/>
        <w:ind w:left="1200" w:right="2520" w:firstLine="720"/>
      </w:pPr>
      <w:r>
        <w:t>2、路基施工时选在晴天，及早封闭路基床，坑洼处选用合适填料填平，行</w:t>
      </w:r>
      <w:r>
        <w:rPr>
          <w:spacing w:val="-20"/>
        </w:rPr>
        <w:t>成纵横坡，保证路基范围内不积水。填筑时每班下班时必须碾压封闭，形成横坡。</w:t>
      </w:r>
    </w:p>
    <w:p>
      <w:pPr>
        <w:pStyle w:val="BodyText"/>
        <w:spacing w:before="3"/>
        <w:ind w:left="1920"/>
      </w:pPr>
      <w:r>
        <w:t>3、施工面层时，要有充分的防水雨冲刷的措施。</w:t>
      </w:r>
    </w:p>
    <w:p>
      <w:pPr>
        <w:pStyle w:val="BodyText"/>
        <w:spacing w:before="240" w:line="364" w:lineRule="auto"/>
        <w:ind w:left="1200" w:right="2738" w:firstLine="720"/>
      </w:pPr>
      <w:r>
        <w:t>4、施工便道，排水边沟要经常清理畅通，路面要有防滑措施，上下边坡要经常检查。</w:t>
      </w:r>
    </w:p>
    <w:p>
      <w:pPr>
        <w:pStyle w:val="BodyText"/>
        <w:spacing w:before="2" w:line="364" w:lineRule="auto"/>
        <w:ind w:left="1920" w:right="12458"/>
      </w:pPr>
      <w:r>
        <w:t>、盲沟施工 1</w:t>
      </w:r>
      <w:r>
        <w:rPr>
          <w:spacing w:val="-4"/>
        </w:rPr>
        <w:t>、施工准备</w:t>
      </w:r>
    </w:p>
    <w:p>
      <w:pPr>
        <w:pStyle w:val="BodyText"/>
        <w:spacing w:before="2" w:line="364" w:lineRule="auto"/>
        <w:ind w:left="1200" w:right="2697" w:firstLine="719"/>
        <w:jc w:val="both"/>
      </w:pPr>
      <w:r>
        <w:rPr>
          <w:spacing w:val="-12"/>
        </w:rPr>
        <w:t>对设计盲沟沿地势测设高程，推算出出水口在边坡排水沟的高程是否满足设</w:t>
      </w:r>
      <w:r>
        <w:rPr>
          <w:spacing w:val="-11"/>
        </w:rPr>
        <w:t>计要求：盲沟的纵向坡度应不小于%,盲沟应引入填筑体外坡脚排水沟，出水口底</w:t>
      </w:r>
      <w:r>
        <w:rPr>
          <w:spacing w:val="-7"/>
        </w:rPr>
        <w:t xml:space="preserve">面标高应高出盲沟外最高水位 </w:t>
      </w:r>
      <w:r>
        <w:t>20cm。</w:t>
      </w:r>
    </w:p>
    <w:p>
      <w:pPr>
        <w:pStyle w:val="BodyText"/>
        <w:spacing w:before="4" w:line="364" w:lineRule="auto"/>
        <w:ind w:left="1200" w:right="2700" w:firstLine="719"/>
        <w:jc w:val="both"/>
      </w:pPr>
      <w:r>
        <w:rPr>
          <w:spacing w:val="-9"/>
        </w:rPr>
        <w:t>盲沟施工前应进行实地测设及放样，出水口标高应满足设计要求，与现有排</w:t>
      </w:r>
      <w:r>
        <w:rPr>
          <w:spacing w:val="-12"/>
        </w:rPr>
        <w:t>水系统应有足够落差。如果实测发现有设计沟底比现有排水系统低的，应提供实</w:t>
      </w:r>
      <w:r>
        <w:t>测数据，报请监理及业主，明确处理方案后再施工。</w:t>
      </w:r>
    </w:p>
    <w:p>
      <w:pPr>
        <w:pStyle w:val="BodyText"/>
        <w:spacing w:before="2" w:line="364" w:lineRule="auto"/>
        <w:ind w:left="1200" w:right="2697" w:firstLine="719"/>
        <w:jc w:val="both"/>
      </w:pPr>
      <w:r>
        <w:rPr>
          <w:spacing w:val="-13"/>
        </w:rPr>
        <w:t>根据施工范围、工程量及工程进度要求，配备足够的施工机械，操作班组及</w:t>
      </w:r>
      <w:r>
        <w:rPr>
          <w:spacing w:val="-4"/>
        </w:rPr>
        <w:t xml:space="preserve">管理人员及时到位，并对清表前及清表后进行 </w:t>
      </w:r>
      <w:r>
        <w:t>10×10</w:t>
      </w:r>
      <w:r>
        <w:rPr>
          <w:spacing w:val="-10"/>
        </w:rPr>
        <w:t xml:space="preserve"> 米方格网测设，报请监理</w:t>
      </w:r>
    </w:p>
    <w:p>
      <w:pPr>
        <w:spacing w:after="0" w:line="364" w:lineRule="auto"/>
        <w:jc w:val="both"/>
        <w:sectPr>
          <w:pgSz w:w="17860" w:h="25260"/>
          <w:pgMar w:top="2420" w:right="0" w:bottom="280" w:left="1500" w:header="708" w:footer="708"/>
          <w:pgNumType w:start="24"/>
          <w:cols w:space="708"/>
        </w:sectPr>
      </w:pPr>
    </w:p>
    <w:p>
      <w:pPr>
        <w:pStyle w:val="BodyText"/>
        <w:spacing w:before="35"/>
        <w:ind w:left="1200"/>
      </w:pPr>
      <w:r>
        <w:t>及业主确认。</w:t>
      </w:r>
    </w:p>
    <w:p>
      <w:pPr>
        <w:pStyle w:val="BodyText"/>
        <w:spacing w:before="242"/>
        <w:ind w:left="1920"/>
      </w:pPr>
      <w:r>
        <w:t>2、碎石盲沟施工方案</w:t>
      </w:r>
    </w:p>
    <w:p>
      <w:pPr>
        <w:pStyle w:val="BodyText"/>
        <w:spacing w:before="240" w:line="364" w:lineRule="auto"/>
        <w:ind w:left="1200" w:right="2522" w:firstLine="719"/>
      </w:pPr>
      <w:r>
        <w:rPr>
          <w:spacing w:val="-21"/>
        </w:rPr>
        <w:t xml:space="preserve">测量放样：因本盲沟为原始地貌中冲沟改造，所以盲沟走向为老冲沟的走向， </w:t>
      </w:r>
      <w:r>
        <w:rPr>
          <w:spacing w:val="-9"/>
        </w:rPr>
        <w:t>由测量员进行施工测量记录，增设施工平面，高程控制桩，并根据沟槽设计及土质情况计算出开槽宽度和深度。</w:t>
      </w:r>
    </w:p>
    <w:p>
      <w:pPr>
        <w:pStyle w:val="BodyText"/>
        <w:spacing w:before="3" w:line="364" w:lineRule="auto"/>
        <w:ind w:left="1200" w:right="2558" w:firstLine="719"/>
      </w:pPr>
      <w:r>
        <w:t>开挖沟槽：测量记录后，开始挖沟槽。挖深由测量人员检测高程控制。采用以机械（挖掘机）为主、人工为辅施工。</w:t>
      </w:r>
    </w:p>
    <w:p>
      <w:pPr>
        <w:pStyle w:val="BodyText"/>
        <w:spacing w:before="2" w:line="364" w:lineRule="auto"/>
        <w:ind w:left="1200" w:right="2697" w:firstLine="719"/>
        <w:jc w:val="both"/>
      </w:pPr>
      <w:r>
        <w:rPr>
          <w:spacing w:val="-11"/>
        </w:rPr>
        <w:t>开槽时应同时采取防水、排水措施，避免槽底受水浸泡。应尽量缩短开槽的</w:t>
      </w:r>
      <w:r>
        <w:rPr>
          <w:spacing w:val="-3"/>
        </w:rPr>
        <w:t xml:space="preserve">暴露时间。开槽后如不能立即进行下一道工序，应保留 </w:t>
      </w:r>
      <w:r>
        <w:t>10—30cm</w:t>
      </w:r>
      <w:r>
        <w:rPr>
          <w:spacing w:val="-14"/>
        </w:rPr>
        <w:t xml:space="preserve"> 的深度不挖， </w:t>
      </w:r>
      <w:r>
        <w:rPr>
          <w:spacing w:val="-3"/>
        </w:rPr>
        <w:t xml:space="preserve">待下道工序施工前整修为设计槽底高程，同时应预留厚 </w:t>
      </w:r>
      <w:r>
        <w:t>20cm</w:t>
      </w:r>
      <w:r>
        <w:rPr>
          <w:spacing w:val="-12"/>
        </w:rPr>
        <w:t xml:space="preserve"> 左右的一层用人工</w:t>
      </w:r>
      <w:r>
        <w:t>清挖。严禁扰动槽底，如发生超挖，应按设计要求进行回填。</w:t>
      </w:r>
    </w:p>
    <w:p>
      <w:pPr>
        <w:pStyle w:val="BodyText"/>
        <w:spacing w:before="4" w:line="364" w:lineRule="auto"/>
        <w:ind w:left="1200" w:right="2558" w:firstLine="719"/>
      </w:pPr>
      <w:r>
        <w:t>开槽过程中，要经常检查槽帮是否稳定，一经发现变形、裂缝或支撑走动， 必须立即停止施工，进行处理。</w:t>
      </w:r>
    </w:p>
    <w:p>
      <w:pPr>
        <w:pStyle w:val="BodyText"/>
        <w:spacing w:before="2" w:line="364" w:lineRule="auto"/>
        <w:ind w:left="1200" w:right="2702" w:firstLine="719"/>
      </w:pPr>
      <w:r>
        <w:rPr>
          <w:spacing w:val="-14"/>
        </w:rPr>
        <w:t>夯实沟槽土基：沟槽开挖达到设计深度后，沟底土基采用蛙式打夯机配合人</w:t>
      </w:r>
      <w:r>
        <w:t>工进行夯实。</w:t>
      </w:r>
    </w:p>
    <w:p>
      <w:pPr>
        <w:pStyle w:val="BodyText"/>
        <w:spacing w:before="2" w:line="364" w:lineRule="auto"/>
        <w:ind w:left="1200" w:right="2699" w:firstLine="719"/>
        <w:jc w:val="both"/>
      </w:pPr>
      <w:r>
        <w:rPr>
          <w:spacing w:val="-14"/>
        </w:rPr>
        <w:t>敷设土工布：人工将土工布铺入沟内，铺放土工布时沟面上要留有一定的土</w:t>
      </w:r>
      <w:r>
        <w:rPr>
          <w:spacing w:val="-4"/>
        </w:rPr>
        <w:t xml:space="preserve">工布卷边，以包裹碎石填料。土工布之间留 </w:t>
      </w:r>
      <w:r>
        <w:t>30cm</w:t>
      </w:r>
      <w:r>
        <w:rPr>
          <w:spacing w:val="-10"/>
        </w:rPr>
        <w:t xml:space="preserve"> 搭接长度，以保证过滤效果。</w:t>
      </w:r>
      <w:r>
        <w:rPr>
          <w:spacing w:val="-9"/>
        </w:rPr>
        <w:t>土工布敷设时采取适当的固定措施，防止碎石充填时移动土工布。土工布施工完</w:t>
      </w:r>
      <w:r>
        <w:t>毕，要加强成品保护。</w:t>
      </w:r>
    </w:p>
    <w:p>
      <w:pPr>
        <w:pStyle w:val="BodyText"/>
        <w:spacing w:before="4" w:line="364" w:lineRule="auto"/>
        <w:ind w:left="1200" w:right="2697" w:firstLine="719"/>
        <w:jc w:val="both"/>
      </w:pPr>
      <w:r>
        <w:rPr>
          <w:spacing w:val="-14"/>
        </w:rPr>
        <w:t>设置反滤层：由筛选过的中砂、粗砂、砾石等渗水材料按设计要求确定层数</w:t>
      </w:r>
      <w:r>
        <w:rPr>
          <w:spacing w:val="-5"/>
        </w:rPr>
        <w:t xml:space="preserve">和粒径级配，其中砂石料颗粒小于的含量不大于 </w:t>
      </w:r>
      <w:r>
        <w:t>5%。</w:t>
      </w:r>
    </w:p>
    <w:p>
      <w:pPr>
        <w:pStyle w:val="BodyText"/>
        <w:spacing w:before="2" w:line="364" w:lineRule="auto"/>
        <w:ind w:left="1200" w:right="2696" w:firstLine="719"/>
        <w:jc w:val="both"/>
      </w:pPr>
      <w:r>
        <w:rPr>
          <w:spacing w:val="-27"/>
        </w:rPr>
        <w:t xml:space="preserve">充填碎石：选用 </w:t>
      </w:r>
      <w:r>
        <w:t>5～10cm</w:t>
      </w:r>
      <w:r>
        <w:rPr>
          <w:spacing w:val="-19"/>
        </w:rPr>
        <w:t xml:space="preserve"> 碎石填满沟槽。施工时先由人工在沟底铺筑约 </w:t>
      </w:r>
      <w:r>
        <w:rPr>
          <w:spacing w:val="-4"/>
        </w:rPr>
        <w:t xml:space="preserve">30cm </w:t>
      </w:r>
      <w:r>
        <w:t>厚碎石一层并粗平，再由小型挖掘机将碎石料填入沟槽中。</w:t>
      </w:r>
    </w:p>
    <w:p>
      <w:pPr>
        <w:pStyle w:val="BodyText"/>
        <w:spacing w:before="3"/>
        <w:ind w:left="1920"/>
      </w:pPr>
      <w:r>
        <w:t>3、碎石盲沟施工工艺</w:t>
      </w:r>
    </w:p>
    <w:p>
      <w:pPr>
        <w:pStyle w:val="BodyText"/>
        <w:spacing w:before="240"/>
        <w:ind w:left="4981"/>
      </w:pPr>
      <w:r>
        <w:t>碎石盲沟施工大样图</w:t>
      </w:r>
    </w:p>
    <w:p>
      <w:pPr>
        <w:pStyle w:val="BodyText"/>
        <w:spacing w:before="241"/>
        <w:ind w:right="1498"/>
        <w:jc w:val="center"/>
      </w:pPr>
      <w:r>
        <w:t>盲沟施工工艺框图</w:t>
      </w:r>
    </w:p>
    <w:p>
      <w:pPr>
        <w:spacing w:after="0"/>
        <w:jc w:val="center"/>
        <w:sectPr>
          <w:pgSz w:w="17860" w:h="25260"/>
          <w:pgMar w:top="1920" w:right="0" w:bottom="280" w:left="1500" w:header="708" w:footer="708"/>
          <w:pgNumType w:start="25"/>
          <w:cols w:space="708"/>
        </w:sectPr>
      </w:pPr>
    </w:p>
    <w:p>
      <w:pPr>
        <w:pStyle w:val="BodyText"/>
        <w:ind w:left="4200"/>
        <w:rPr>
          <w:sz w:val="20"/>
        </w:rPr>
      </w:pPr>
      <w:r>
        <w:rPr>
          <w:sz w:val="20"/>
        </w:rPr>
        <w:pict>
          <v:group id="_x0000_i1120" style="width:292pt;height:801pt;mso-position-horizontal-relative:char;mso-position-vertical-relative:line" coordorigin="0,0" coordsize="5840,16020">
            <v:shape id="_x0000_s1121" type="#_x0000_t75" style="width:5840;height:16020;position:absolute" stroked="f">
              <v:imagedata r:id="rId23" o:title=""/>
            </v:shape>
            <v:shape id="_x0000_s1122" type="#_x0000_t202" style="width:1288;height:317;left:3838;position:absolute;top:234" filled="f" stroked="f">
              <v:textbox inset="0,0,0,0">
                <w:txbxContent>
                  <w:p>
                    <w:pPr>
                      <w:spacing w:before="0" w:line="317" w:lineRule="exact"/>
                      <w:ind w:left="0" w:right="0" w:firstLine="0"/>
                      <w:jc w:val="left"/>
                      <w:rPr>
                        <w:sz w:val="31"/>
                      </w:rPr>
                    </w:pPr>
                    <w:r>
                      <w:rPr>
                        <w:sz w:val="31"/>
                      </w:rPr>
                      <w:t>测量放样</w:t>
                    </w:r>
                  </w:p>
                </w:txbxContent>
              </v:textbox>
            </v:shape>
            <v:shape id="_x0000_s1123" type="#_x0000_t202" style="width:1288;height:317;left:3824;position:absolute;top:1944" filled="f" stroked="f">
              <v:textbox inset="0,0,0,0">
                <w:txbxContent>
                  <w:p>
                    <w:pPr>
                      <w:spacing w:before="0" w:line="317" w:lineRule="exact"/>
                      <w:ind w:left="0" w:right="0" w:firstLine="0"/>
                      <w:jc w:val="left"/>
                      <w:rPr>
                        <w:sz w:val="31"/>
                      </w:rPr>
                    </w:pPr>
                    <w:r>
                      <w:rPr>
                        <w:sz w:val="31"/>
                      </w:rPr>
                      <w:t>沟槽开挖</w:t>
                    </w:r>
                  </w:p>
                </w:txbxContent>
              </v:textbox>
            </v:shape>
            <v:shape id="_x0000_s1124" type="#_x0000_t202" style="width:1604;height:317;left:3672;position:absolute;top:3406" filled="f" stroked="f">
              <v:textbox inset="0,0,0,0">
                <w:txbxContent>
                  <w:p>
                    <w:pPr>
                      <w:spacing w:before="0" w:line="317" w:lineRule="exact"/>
                      <w:ind w:left="0" w:right="0" w:firstLine="0"/>
                      <w:jc w:val="left"/>
                      <w:rPr>
                        <w:sz w:val="31"/>
                      </w:rPr>
                    </w:pPr>
                    <w:r>
                      <w:rPr>
                        <w:sz w:val="31"/>
                      </w:rPr>
                      <w:t>人工清平沟</w:t>
                    </w:r>
                  </w:p>
                </w:txbxContent>
              </v:textbox>
            </v:shape>
            <v:shape id="_x0000_s1125" type="#_x0000_t202" style="width:2238;height:317;left:245;position:absolute;top:5170" filled="f" stroked="f">
              <v:textbox inset="0,0,0,0">
                <w:txbxContent>
                  <w:p>
                    <w:pPr>
                      <w:spacing w:before="0" w:line="317" w:lineRule="exact"/>
                      <w:ind w:left="0" w:right="0" w:firstLine="0"/>
                      <w:jc w:val="left"/>
                      <w:rPr>
                        <w:sz w:val="31"/>
                      </w:rPr>
                    </w:pPr>
                    <w:r>
                      <w:rPr>
                        <w:sz w:val="31"/>
                      </w:rPr>
                      <w:t>碎石、土工布进</w:t>
                    </w:r>
                  </w:p>
                </w:txbxContent>
              </v:textbox>
            </v:shape>
            <v:shape id="_x0000_s1126" type="#_x0000_t202" style="width:1288;height:317;left:3946;position:absolute;top:5163" filled="f" stroked="f">
              <v:textbox inset="0,0,0,0">
                <w:txbxContent>
                  <w:p>
                    <w:pPr>
                      <w:spacing w:before="0" w:line="317" w:lineRule="exact"/>
                      <w:ind w:left="0" w:right="0" w:firstLine="0"/>
                      <w:jc w:val="left"/>
                      <w:rPr>
                        <w:sz w:val="31"/>
                      </w:rPr>
                    </w:pPr>
                    <w:r>
                      <w:rPr>
                        <w:sz w:val="31"/>
                      </w:rPr>
                      <w:t>沟槽验收</w:t>
                    </w:r>
                  </w:p>
                </w:txbxContent>
              </v:textbox>
            </v:shape>
            <v:shape id="_x0000_s1127" type="#_x0000_t202" style="width:1604;height:317;left:590;position:absolute;top:7054" filled="f" stroked="f">
              <v:textbox inset="0,0,0,0">
                <w:txbxContent>
                  <w:p>
                    <w:pPr>
                      <w:spacing w:before="0" w:line="317" w:lineRule="exact"/>
                      <w:ind w:left="0" w:right="0" w:firstLine="0"/>
                      <w:jc w:val="left"/>
                      <w:rPr>
                        <w:sz w:val="31"/>
                      </w:rPr>
                    </w:pPr>
                    <w:r>
                      <w:rPr>
                        <w:sz w:val="31"/>
                      </w:rPr>
                      <w:t>材料检验合</w:t>
                    </w:r>
                  </w:p>
                </w:txbxContent>
              </v:textbox>
            </v:shape>
            <v:shape id="_x0000_s1128" type="#_x0000_t202" style="width:1288;height:317;left:3896;position:absolute;top:7115" filled="f" stroked="f">
              <v:textbox inset="0,0,0,0">
                <w:txbxContent>
                  <w:p>
                    <w:pPr>
                      <w:spacing w:before="0" w:line="317" w:lineRule="exact"/>
                      <w:ind w:left="0" w:right="0" w:firstLine="0"/>
                      <w:jc w:val="left"/>
                      <w:rPr>
                        <w:sz w:val="31"/>
                      </w:rPr>
                    </w:pPr>
                    <w:r>
                      <w:rPr>
                        <w:sz w:val="31"/>
                      </w:rPr>
                      <w:t>铺设土工</w:t>
                    </w:r>
                  </w:p>
                </w:txbxContent>
              </v:textbox>
            </v:shape>
            <v:shape id="_x0000_s1129" type="#_x0000_t202" style="width:1604;height:317;left:3748;position:absolute;top:8991" filled="f" stroked="f">
              <v:textbox inset="0,0,0,0">
                <w:txbxContent>
                  <w:p>
                    <w:pPr>
                      <w:spacing w:before="0" w:line="317" w:lineRule="exact"/>
                      <w:ind w:left="0" w:right="0" w:firstLine="0"/>
                      <w:jc w:val="left"/>
                      <w:rPr>
                        <w:sz w:val="31"/>
                      </w:rPr>
                    </w:pPr>
                    <w:r>
                      <w:rPr>
                        <w:sz w:val="31"/>
                      </w:rPr>
                      <w:t>回填盲沟碎</w:t>
                    </w:r>
                  </w:p>
                </w:txbxContent>
              </v:textbox>
            </v:shape>
            <v:shape id="_x0000_s1130" type="#_x0000_t202" style="width:1288;height:317;left:3953;position:absolute;top:10643" filled="f" stroked="f">
              <v:textbox inset="0,0,0,0">
                <w:txbxContent>
                  <w:p>
                    <w:pPr>
                      <w:spacing w:before="0" w:line="317" w:lineRule="exact"/>
                      <w:ind w:left="0" w:right="0" w:firstLine="0"/>
                      <w:jc w:val="left"/>
                      <w:rPr>
                        <w:sz w:val="31"/>
                      </w:rPr>
                    </w:pPr>
                    <w:r>
                      <w:rPr>
                        <w:sz w:val="31"/>
                      </w:rPr>
                      <w:t>隐蔽验收</w:t>
                    </w:r>
                  </w:p>
                </w:txbxContent>
              </v:textbox>
            </v:shape>
            <v:shape id="_x0000_s1131" type="#_x0000_t202" style="width:1604;height:317;left:3639;position:absolute;top:12501" filled="f" stroked="f">
              <v:textbox inset="0,0,0,0">
                <w:txbxContent>
                  <w:p>
                    <w:pPr>
                      <w:spacing w:before="0" w:line="317" w:lineRule="exact"/>
                      <w:ind w:left="0" w:right="0" w:firstLine="0"/>
                      <w:jc w:val="left"/>
                      <w:rPr>
                        <w:sz w:val="31"/>
                      </w:rPr>
                    </w:pPr>
                    <w:r>
                      <w:rPr>
                        <w:sz w:val="31"/>
                      </w:rPr>
                      <w:t>土工布回包</w:t>
                    </w:r>
                  </w:p>
                </w:txbxContent>
              </v:textbox>
            </v:shape>
            <v:shape id="_x0000_s1132" type="#_x0000_t202" style="width:654;height:317;left:4320;position:absolute;top:14136" filled="f" stroked="f">
              <v:textbox inset="0,0,0,0">
                <w:txbxContent>
                  <w:p>
                    <w:pPr>
                      <w:spacing w:before="0" w:line="317" w:lineRule="exact"/>
                      <w:ind w:left="0" w:right="0" w:firstLine="0"/>
                      <w:jc w:val="left"/>
                      <w:rPr>
                        <w:sz w:val="31"/>
                      </w:rPr>
                    </w:pPr>
                    <w:r>
                      <w:rPr>
                        <w:sz w:val="31"/>
                      </w:rPr>
                      <w:t>验收</w:t>
                    </w:r>
                  </w:p>
                </w:txbxContent>
              </v:textbox>
            </v:shape>
            <v:shape id="_x0000_s1133" type="#_x0000_t202" style="width:654;height:317;left:4324;position:absolute;top:15543" filled="f" stroked="f">
              <v:textbox inset="0,0,0,0">
                <w:txbxContent>
                  <w:p>
                    <w:pPr>
                      <w:spacing w:before="0" w:line="317" w:lineRule="exact"/>
                      <w:ind w:left="0" w:right="0" w:firstLine="0"/>
                      <w:jc w:val="left"/>
                      <w:rPr>
                        <w:sz w:val="31"/>
                      </w:rPr>
                    </w:pPr>
                    <w:r>
                      <w:rPr>
                        <w:sz w:val="31"/>
                      </w:rPr>
                      <w:t>封面</w:t>
                    </w:r>
                  </w:p>
                </w:txbxContent>
              </v:textbox>
            </v:shape>
            <w10:wrap type="none"/>
          </v:group>
        </w:pict>
      </w:r>
    </w:p>
    <w:p>
      <w:pPr>
        <w:pStyle w:val="BodyText"/>
        <w:spacing w:before="8"/>
        <w:rPr>
          <w:sz w:val="18"/>
        </w:rPr>
      </w:pPr>
    </w:p>
    <w:p>
      <w:pPr>
        <w:pStyle w:val="BodyText"/>
        <w:spacing w:before="50"/>
        <w:ind w:left="1920"/>
      </w:pPr>
      <w:r>
        <w:t>4、碎石盲沟施工质量标准及检测要求</w:t>
      </w:r>
    </w:p>
    <w:p>
      <w:pPr>
        <w:pStyle w:val="BodyText"/>
        <w:spacing w:before="240" w:line="364" w:lineRule="auto"/>
        <w:ind w:left="1200" w:right="2518" w:firstLine="719"/>
        <w:jc w:val="both"/>
      </w:pPr>
      <w:r>
        <w:t>1、盲沟的纵向坡度应不小于%；排水盲沟可用粒径 5～10cm 的碎石，含泥量不大于 5%，并用滤水无纺土工布包裹，以保证长期排水效果。土工布规格不</w:t>
      </w:r>
      <w:r>
        <w:rPr>
          <w:spacing w:val="-31"/>
        </w:rPr>
        <w:t xml:space="preserve">小于 </w:t>
      </w:r>
      <w:r>
        <w:t>350g/m2</w:t>
      </w:r>
      <w:r>
        <w:rPr>
          <w:spacing w:val="-9"/>
        </w:rPr>
        <w:t xml:space="preserve"> ，抗拉强度不小于 </w:t>
      </w:r>
      <w:r>
        <w:rPr>
          <w:spacing w:val="-12"/>
        </w:rPr>
        <w:t>6kN/m</w:t>
      </w:r>
      <w:r>
        <w:rPr>
          <w:spacing w:val="-3"/>
        </w:rPr>
        <w:t xml:space="preserve">，渗透系数为 </w:t>
      </w:r>
      <w:r>
        <w:t>5×10-2 ～5×10-1</w:t>
      </w:r>
      <w:r>
        <w:rPr>
          <w:spacing w:val="-90"/>
        </w:rPr>
        <w:t xml:space="preserve"> </w:t>
      </w:r>
      <w:r>
        <w:t>cm/s</w:t>
      </w:r>
      <w:r>
        <w:rPr>
          <w:spacing w:val="-15"/>
        </w:rPr>
        <w:t>。</w:t>
      </w:r>
    </w:p>
    <w:p>
      <w:pPr>
        <w:pStyle w:val="BodyText"/>
        <w:spacing w:before="3" w:line="364" w:lineRule="auto"/>
        <w:ind w:left="1200" w:right="2738" w:firstLine="719"/>
      </w:pPr>
      <w:r>
        <w:t>3、碎石和土工布必须在进场后及时请监理见证取样后送检，合格后方可投入使用；施工完成后必须办理隐蔽验收。</w:t>
      </w:r>
    </w:p>
    <w:p>
      <w:pPr>
        <w:spacing w:after="0" w:line="364" w:lineRule="auto"/>
        <w:sectPr>
          <w:pgSz w:w="17860" w:h="25260"/>
          <w:pgMar w:top="2020" w:right="0" w:bottom="280" w:left="1500" w:header="708" w:footer="708"/>
          <w:pgNumType w:start="26"/>
          <w:cols w:space="708"/>
        </w:sectPr>
      </w:pPr>
    </w:p>
    <w:p>
      <w:pPr>
        <w:pStyle w:val="BodyText"/>
        <w:spacing w:before="35"/>
        <w:ind w:left="1920"/>
      </w:pPr>
      <w:r>
        <w:t>、管涵施工</w:t>
      </w:r>
    </w:p>
    <w:p>
      <w:pPr>
        <w:pStyle w:val="BodyText"/>
        <w:spacing w:before="242" w:line="364" w:lineRule="auto"/>
        <w:ind w:left="1200" w:right="2738" w:firstLine="720"/>
      </w:pPr>
      <w:r>
        <w:t>1</w:t>
      </w:r>
      <w:r>
        <w:rPr>
          <w:spacing w:val="-1"/>
        </w:rPr>
        <w:t xml:space="preserve">、测量放线定位：根据设计施工图设排水管涵，施测人员定出管涵位置， </w:t>
      </w:r>
      <w:r>
        <w:t>测出地面标高。</w:t>
      </w:r>
    </w:p>
    <w:p>
      <w:pPr>
        <w:pStyle w:val="BodyText"/>
        <w:spacing w:before="1" w:line="364" w:lineRule="auto"/>
        <w:ind w:left="1200" w:right="2556" w:firstLine="720"/>
      </w:pPr>
      <w:r>
        <w:rPr>
          <w:spacing w:val="-1"/>
        </w:rPr>
        <w:t>2</w:t>
      </w:r>
      <w:r>
        <w:t>、管涵基坑开挖：施工人员按涵位地面标高，埋置深度，坑壁坡度</w:t>
      </w:r>
      <w:r>
        <w:rPr>
          <w:spacing w:val="-113"/>
        </w:rPr>
        <w:t>（</w:t>
      </w:r>
      <w:r>
        <w:t>1</w:t>
      </w:r>
      <w:r>
        <w:rPr>
          <w:spacing w:val="-180"/>
        </w:rPr>
        <w:t>：</w:t>
      </w:r>
      <w:r>
        <w:rPr>
          <w:spacing w:val="-26"/>
        </w:rPr>
        <w:t>）</w:t>
      </w:r>
      <w:r>
        <w:t>,工作面宽度（每侧）</w:t>
      </w:r>
      <w:r>
        <w:rPr>
          <w:spacing w:val="-1"/>
        </w:rPr>
        <w:t>用灰线画出开挖线。挖机开挖，基岩地方采用人工配合机械</w:t>
      </w:r>
      <w:r>
        <w:t>破碎开挖。</w:t>
      </w:r>
    </w:p>
    <w:p>
      <w:pPr>
        <w:pStyle w:val="BodyText"/>
        <w:spacing w:before="3" w:line="364" w:lineRule="auto"/>
        <w:ind w:left="1200" w:right="2738" w:firstLine="720"/>
      </w:pPr>
      <w:r>
        <w:t>3、基底处理：机械开挖到距设计标高左右时停止机械作业，采用人工开挖清基，尽量减少对基底扰动。</w:t>
      </w:r>
    </w:p>
    <w:p>
      <w:pPr>
        <w:pStyle w:val="BodyText"/>
        <w:spacing w:before="3" w:line="364" w:lineRule="auto"/>
        <w:ind w:left="1200" w:right="2516" w:firstLine="719"/>
      </w:pPr>
      <w:r>
        <w:t>4、基础施工：基槽验收合格后，施工员根据测量人员定出的纵横轴线控制桩、高程控制点，采用直接丈量法进行细部放样，定出基础平面位置、管枕位置标高，然后安装基础模板。模板采用组合钢模板，模板之间用卡扣连接，模板外</w:t>
      </w:r>
      <w:r>
        <w:rPr>
          <w:spacing w:val="-10"/>
        </w:rPr>
        <w:t>面采用钢管支架加固，模板内面设置内衬，保证模板整体性和结构尺寸。模板连</w:t>
      </w:r>
      <w:r>
        <w:rPr>
          <w:spacing w:val="-12"/>
        </w:rPr>
        <w:t xml:space="preserve">接紧密，板面平直，侧模与端模接缝要垂直，端面平整。沉降缝每 </w:t>
      </w:r>
      <w:r>
        <w:t>4～6</w:t>
      </w:r>
      <w:r>
        <w:rPr>
          <w:spacing w:val="-19"/>
        </w:rPr>
        <w:t xml:space="preserve"> 米设置一道，每处用木板隔断，板面平直。混凝土施工时应分层浇筑，每层厚度控制在米左右。振捣一定要密实、连续，振捣棒要竖直插入，振捣上层混凝土时应插入</w:t>
      </w:r>
      <w:r>
        <w:rPr>
          <w:spacing w:val="-31"/>
        </w:rPr>
        <w:t xml:space="preserve">下层混凝土 </w:t>
      </w:r>
      <w:r>
        <w:t>5cm～10cm</w:t>
      </w:r>
      <w:r>
        <w:rPr>
          <w:spacing w:val="-17"/>
        </w:rPr>
        <w:t xml:space="preserve"> 左右,保证上下层混凝土结合紧密，振捣点按梅花型布置， </w:t>
      </w:r>
      <w:r>
        <w:t>振捣时振捣棒应快插慢提。</w:t>
      </w:r>
    </w:p>
    <w:p>
      <w:pPr>
        <w:pStyle w:val="BodyText"/>
        <w:spacing w:before="8" w:line="364" w:lineRule="auto"/>
        <w:ind w:left="1200" w:right="2699" w:firstLine="720"/>
        <w:jc w:val="both"/>
      </w:pPr>
      <w:r>
        <w:t>5、圆管安装：采用人工配合机械安装涵管，涵管就位于管枕上，相邻两节</w:t>
      </w:r>
      <w:r>
        <w:rPr>
          <w:spacing w:val="-4"/>
        </w:rPr>
        <w:t xml:space="preserve">涵管接头准确，上下缝宽一至；涵管接头外面采用 </w:t>
      </w:r>
      <w:r>
        <w:t>1：1</w:t>
      </w:r>
      <w:r>
        <w:rPr>
          <w:spacing w:val="-10"/>
        </w:rPr>
        <w:t xml:space="preserve"> 砂浆包裹连接，内缝用</w:t>
      </w:r>
      <w:r>
        <w:t>1：1</w:t>
      </w:r>
      <w:r>
        <w:rPr>
          <w:spacing w:val="-11"/>
        </w:rPr>
        <w:t xml:space="preserve"> 砂浆填塞，填缝饱满。</w:t>
      </w:r>
    </w:p>
    <w:p>
      <w:pPr>
        <w:pStyle w:val="BodyText"/>
        <w:spacing w:before="3" w:line="364" w:lineRule="auto"/>
        <w:ind w:left="1200" w:right="2699" w:firstLine="719"/>
        <w:jc w:val="both"/>
      </w:pPr>
      <w:r>
        <w:t>6</w:t>
      </w:r>
      <w:r>
        <w:rPr>
          <w:spacing w:val="-4"/>
        </w:rPr>
        <w:t xml:space="preserve">、涵管加固：圆管安装好后，管底及两侧用 </w:t>
      </w:r>
      <w:r>
        <w:t>C20</w:t>
      </w:r>
      <w:r>
        <w:rPr>
          <w:spacing w:val="-10"/>
        </w:rPr>
        <w:t xml:space="preserve"> 混凝土加固，两侧高度为</w:t>
      </w:r>
      <w:r>
        <w:t>涵管半径（180°包封</w:t>
      </w:r>
      <w:r>
        <w:rPr>
          <w:spacing w:val="-180"/>
        </w:rPr>
        <w:t>）</w:t>
      </w:r>
      <w:r>
        <w:t>。</w:t>
      </w:r>
    </w:p>
    <w:p>
      <w:pPr>
        <w:pStyle w:val="BodyText"/>
        <w:spacing w:before="2"/>
        <w:ind w:left="1920"/>
      </w:pPr>
      <w:r>
        <w:t>7、管涵施工注意事项：</w:t>
      </w:r>
    </w:p>
    <w:p>
      <w:pPr>
        <w:pStyle w:val="BodyText"/>
        <w:spacing w:before="242"/>
        <w:ind w:left="1920"/>
      </w:pPr>
      <w:r>
        <w:t>A、基底必须清理平顺，无凹凸现象。</w:t>
      </w:r>
    </w:p>
    <w:p>
      <w:pPr>
        <w:pStyle w:val="BodyText"/>
        <w:spacing w:before="240" w:line="364" w:lineRule="auto"/>
        <w:ind w:left="1920" w:right="5258"/>
      </w:pPr>
      <w:r>
        <w:t>B、管枕底标高，坡度符合要求，保证水流通畅，不积水。C、涵管接头处砂浆内外嵌缝密实，防止漏水。</w:t>
      </w:r>
    </w:p>
    <w:p>
      <w:pPr>
        <w:pStyle w:val="BodyText"/>
        <w:spacing w:before="2" w:line="364" w:lineRule="auto"/>
        <w:ind w:left="1920" w:right="2738"/>
      </w:pPr>
      <w:r>
        <w:t>D、管涵背及管涵顶回填必须使用透水性细粒料，管涵顶填土高度应大于。E、按公路工程施工技术规范要求，涵背回填采用砂土、砂砾石或其它透水</w:t>
      </w:r>
    </w:p>
    <w:p>
      <w:pPr>
        <w:pStyle w:val="BodyText"/>
        <w:spacing w:before="2"/>
        <w:ind w:left="1200"/>
      </w:pPr>
      <w:r>
        <w:t>性材料回填，本施工区砂、砾料匮乏，采用级配碎石作填料。回填时在墙背用红</w:t>
      </w:r>
    </w:p>
    <w:p>
      <w:pPr>
        <w:spacing w:after="0"/>
        <w:sectPr>
          <w:pgSz w:w="17860" w:h="25260"/>
          <w:pgMar w:top="1920" w:right="0" w:bottom="280" w:left="1500" w:header="708" w:footer="708"/>
          <w:pgNumType w:start="27"/>
          <w:cols w:space="708"/>
        </w:sectPr>
      </w:pPr>
    </w:p>
    <w:p>
      <w:pPr>
        <w:pStyle w:val="BodyText"/>
        <w:spacing w:before="35" w:line="364" w:lineRule="auto"/>
        <w:ind w:left="1200" w:right="2702"/>
      </w:pPr>
      <w:r>
        <w:rPr>
          <w:spacing w:val="-15"/>
        </w:rPr>
        <w:t xml:space="preserve">油漆每隔 </w:t>
      </w:r>
      <w:r>
        <w:t>20cm</w:t>
      </w:r>
      <w:r>
        <w:rPr>
          <w:spacing w:val="-10"/>
        </w:rPr>
        <w:t xml:space="preserve"> 画一红线，作为摊铺控制准线。采用人工石夯或小型电动夯机夯</w:t>
      </w:r>
      <w:r>
        <w:t>实，大面积时用压路机静压。</w:t>
      </w:r>
    </w:p>
    <w:p>
      <w:pPr>
        <w:pStyle w:val="BodyText"/>
        <w:spacing w:before="3"/>
        <w:ind w:left="1920"/>
      </w:pPr>
      <w:r>
        <w:t>、强夯设计及技术要求</w:t>
      </w:r>
    </w:p>
    <w:p>
      <w:pPr>
        <w:pStyle w:val="BodyText"/>
        <w:tabs>
          <w:tab w:val="left" w:pos="11191"/>
        </w:tabs>
        <w:spacing w:before="39" w:line="702" w:lineRule="exact"/>
        <w:ind w:left="1200" w:right="2518" w:firstLine="719"/>
      </w:pPr>
      <w:r>
        <w:t>1、本工程强夯有效加固深度为</w:t>
      </w:r>
      <w:r>
        <w:rPr>
          <w:spacing w:val="-108"/>
        </w:rPr>
        <w:t xml:space="preserve"> </w:t>
      </w:r>
      <w:r>
        <w:t>7m，填料主要为泥岩碎石，本工程人工湖地基强夯夯点采用梅花形布置，夯点距</w:t>
      </w:r>
      <w:r>
        <w:rPr>
          <w:spacing w:val="54"/>
        </w:rPr>
        <w:t>取</w:t>
      </w:r>
      <w:r>
        <w:t>7m，强夯夯基能取（锤</w:t>
      </w:r>
      <w:r>
        <w:rPr>
          <w:spacing w:val="18"/>
        </w:rPr>
        <w:t>重</w:t>
      </w:r>
      <w:r>
        <w:t>300k</w:t>
      </w:r>
      <w:r>
        <w:rPr>
          <w:spacing w:val="1"/>
        </w:rPr>
        <w:t>N</w:t>
      </w:r>
      <w:r>
        <w:t>，落距</w:t>
      </w:r>
      <w:r>
        <w:rPr>
          <w:spacing w:val="-224"/>
        </w:rPr>
        <w:t>）</w:t>
      </w:r>
      <w:r>
        <w:rPr>
          <w:spacing w:val="-8"/>
        </w:rPr>
        <w:t>，</w:t>
      </w:r>
      <w:r>
        <w:t>夯击</w:t>
      </w:r>
      <w:r>
        <w:rPr>
          <w:spacing w:val="-83"/>
        </w:rPr>
        <w:t xml:space="preserve"> </w:t>
      </w:r>
      <w:r>
        <w:t>3</w:t>
      </w:r>
      <w:r>
        <w:rPr>
          <w:spacing w:val="-83"/>
        </w:rPr>
        <w:t xml:space="preserve"> </w:t>
      </w:r>
      <w:r>
        <w:t>遍，其中</w:t>
      </w:r>
      <w:r>
        <w:rPr>
          <w:spacing w:val="-83"/>
        </w:rPr>
        <w:t xml:space="preserve"> </w:t>
      </w:r>
      <w:r>
        <w:t>1、2</w:t>
      </w:r>
      <w:r>
        <w:rPr>
          <w:spacing w:val="-87"/>
        </w:rPr>
        <w:t xml:space="preserve"> </w:t>
      </w:r>
      <w:r>
        <w:t>遍为跳行夯击全部夯点，第</w:t>
      </w:r>
      <w:r>
        <w:rPr>
          <w:spacing w:val="-83"/>
        </w:rPr>
        <w:t xml:space="preserve"> </w:t>
      </w:r>
      <w:r>
        <w:t>3</w:t>
      </w:r>
      <w:r>
        <w:rPr>
          <w:spacing w:val="-83"/>
        </w:rPr>
        <w:t xml:space="preserve"> </w:t>
      </w:r>
      <w:r>
        <w:t>遍为间夯，即在每个主夯点之间补一夯点。当点夯高程达到设计标高</w:t>
      </w:r>
      <w:r>
        <w:rPr>
          <w:spacing w:val="-90"/>
        </w:rPr>
        <w:t xml:space="preserve"> </w:t>
      </w:r>
      <w:r>
        <w:t>2m</w:t>
      </w:r>
      <w:r>
        <w:rPr>
          <w:spacing w:val="-90"/>
        </w:rPr>
        <w:t xml:space="preserve"> </w:t>
      </w:r>
      <w:r>
        <w:t>以内采用</w:t>
      </w:r>
      <w:r>
        <w:rPr>
          <w:spacing w:val="-91"/>
        </w:rPr>
        <w:t xml:space="preserve"> </w:t>
      </w:r>
      <w:r>
        <w:t>1500KN</w:t>
      </w:r>
      <w:r>
        <w:rPr>
          <w:rFonts w:ascii="微软雅黑" w:eastAsia="微软雅黑" w:hAnsi="微软雅黑" w:hint="eastAsia"/>
        </w:rPr>
        <w:t>•</w:t>
        <w:tab/>
      </w:r>
      <w:r>
        <w:t>m（锤重</w:t>
      </w:r>
      <w:r>
        <w:rPr>
          <w:spacing w:val="-89"/>
        </w:rPr>
        <w:t xml:space="preserve"> </w:t>
      </w:r>
      <w:r>
        <w:t>200kN， 落距）满夯</w:t>
      </w:r>
      <w:r>
        <w:rPr>
          <w:spacing w:val="-91"/>
        </w:rPr>
        <w:t xml:space="preserve"> </w:t>
      </w:r>
      <w:r>
        <w:t>2</w:t>
      </w:r>
      <w:r>
        <w:rPr>
          <w:spacing w:val="-90"/>
        </w:rPr>
        <w:t xml:space="preserve"> </w:t>
      </w:r>
      <w:r>
        <w:t>遍，每点夯</w:t>
      </w:r>
      <w:r>
        <w:rPr>
          <w:spacing w:val="-89"/>
        </w:rPr>
        <w:t xml:space="preserve"> </w:t>
      </w:r>
      <w:r>
        <w:t>5</w:t>
      </w:r>
      <w:r>
        <w:rPr>
          <w:spacing w:val="-90"/>
        </w:rPr>
        <w:t xml:space="preserve"> </w:t>
      </w:r>
      <w:r>
        <w:t>击，锤印搭接</w:t>
      </w:r>
      <w:r>
        <w:rPr>
          <w:spacing w:val="-90"/>
        </w:rPr>
        <w:t xml:space="preserve"> </w:t>
      </w:r>
      <w:r>
        <w:t>1/4。由施工区域内向外进行施工。</w:t>
      </w:r>
    </w:p>
    <w:p>
      <w:pPr>
        <w:pStyle w:val="BodyText"/>
      </w:pPr>
    </w:p>
    <w:p>
      <w:pPr>
        <w:pStyle w:val="BodyText"/>
        <w:spacing w:before="7"/>
        <w:rPr>
          <w:sz w:val="34"/>
        </w:rPr>
      </w:pPr>
    </w:p>
    <w:p>
      <w:pPr>
        <w:pStyle w:val="BodyText"/>
        <w:spacing w:line="364" w:lineRule="auto"/>
        <w:ind w:left="1359" w:right="2756" w:firstLine="539"/>
      </w:pPr>
      <w:r>
        <w:t>2、工程人工湖地基每层强夯完成后，需进行第三方检测，各项检测结果合格后方可进行后续的回填及强夯施工。</w:t>
      </w:r>
    </w:p>
    <w:p>
      <w:pPr>
        <w:pStyle w:val="BodyText"/>
        <w:spacing w:before="2"/>
        <w:ind w:left="1920"/>
      </w:pPr>
      <w:r>
        <w:t>3、强夯区域填方区强夯要求：</w:t>
      </w:r>
    </w:p>
    <w:p>
      <w:pPr>
        <w:pStyle w:val="ListParagraph"/>
        <w:numPr>
          <w:ilvl w:val="8"/>
          <w:numId w:val="23"/>
        </w:numPr>
        <w:tabs>
          <w:tab w:val="left" w:pos="2822"/>
        </w:tabs>
        <w:spacing w:before="241" w:after="0" w:line="240" w:lineRule="auto"/>
        <w:ind w:left="2821" w:right="0" w:hanging="902"/>
        <w:jc w:val="left"/>
        <w:rPr>
          <w:sz w:val="36"/>
        </w:rPr>
      </w:pPr>
      <w:r>
        <w:rPr>
          <w:sz w:val="36"/>
        </w:rPr>
        <w:t>强夯夯基能为；</w:t>
      </w:r>
    </w:p>
    <w:p>
      <w:pPr>
        <w:pStyle w:val="ListParagraph"/>
        <w:numPr>
          <w:ilvl w:val="8"/>
          <w:numId w:val="23"/>
        </w:numPr>
        <w:tabs>
          <w:tab w:val="left" w:pos="2822"/>
        </w:tabs>
        <w:spacing w:before="241" w:after="0" w:line="240" w:lineRule="auto"/>
        <w:ind w:left="2821" w:right="0" w:hanging="902"/>
        <w:jc w:val="left"/>
        <w:rPr>
          <w:sz w:val="36"/>
        </w:rPr>
      </w:pPr>
      <w:r>
        <w:rPr>
          <w:spacing w:val="-13"/>
          <w:sz w:val="36"/>
        </w:rPr>
        <w:t xml:space="preserve">有效加固深度 </w:t>
      </w:r>
      <w:r>
        <w:rPr>
          <w:sz w:val="36"/>
        </w:rPr>
        <w:t>7 m</w:t>
      </w:r>
      <w:r>
        <w:rPr>
          <w:spacing w:val="-13"/>
          <w:sz w:val="36"/>
        </w:rPr>
        <w:t xml:space="preserve"> 以上，压缩模量</w:t>
      </w:r>
      <w:r>
        <w:rPr>
          <w:sz w:val="36"/>
        </w:rPr>
        <w:t>＞15Mpa；</w:t>
      </w:r>
    </w:p>
    <w:p>
      <w:pPr>
        <w:pStyle w:val="ListParagraph"/>
        <w:numPr>
          <w:ilvl w:val="8"/>
          <w:numId w:val="23"/>
        </w:numPr>
        <w:tabs>
          <w:tab w:val="left" w:pos="2822"/>
        </w:tabs>
        <w:spacing w:before="240" w:after="0" w:line="240" w:lineRule="auto"/>
        <w:ind w:left="2821" w:right="0" w:hanging="902"/>
        <w:jc w:val="left"/>
        <w:rPr>
          <w:sz w:val="36"/>
        </w:rPr>
      </w:pPr>
      <w:r>
        <w:rPr>
          <w:sz w:val="36"/>
        </w:rPr>
        <w:t>承载力特征值≥200Kpa，强夯后填土压实系数≥。</w:t>
      </w:r>
    </w:p>
    <w:p>
      <w:pPr>
        <w:pStyle w:val="BodyText"/>
        <w:spacing w:before="241" w:line="364" w:lineRule="auto"/>
        <w:ind w:left="1200" w:right="2522" w:firstLine="719"/>
      </w:pPr>
      <w:r>
        <w:t>4</w:t>
      </w:r>
      <w:r>
        <w:rPr>
          <w:spacing w:val="-14"/>
        </w:rPr>
        <w:t xml:space="preserve">、夯点的夯击次数，应按现场试夯得到的夯击次数和夯沉量关系曲线确定， </w:t>
      </w:r>
      <w:r>
        <w:t>同时满足下列条件：</w:t>
      </w:r>
    </w:p>
    <w:p>
      <w:pPr>
        <w:pStyle w:val="ListParagraph"/>
        <w:numPr>
          <w:ilvl w:val="0"/>
          <w:numId w:val="22"/>
        </w:numPr>
        <w:tabs>
          <w:tab w:val="left" w:pos="2640"/>
          <w:tab w:val="left" w:pos="2822"/>
        </w:tabs>
        <w:spacing w:before="3" w:after="0" w:line="304" w:lineRule="auto"/>
        <w:ind w:left="1200" w:right="2696" w:firstLine="719"/>
        <w:jc w:val="left"/>
        <w:rPr>
          <w:sz w:val="36"/>
        </w:rPr>
      </w:pPr>
      <w:r>
        <w:rPr>
          <w:sz w:val="36"/>
        </w:rPr>
        <w:t xml:space="preserve">、最后三击的累积夯沉量不宜大于下列数值：当单击夯击能为 </w:t>
      </w:r>
      <w:r>
        <w:rPr>
          <w:spacing w:val="-4"/>
          <w:sz w:val="36"/>
        </w:rPr>
        <w:t>4000～</w:t>
      </w:r>
      <w:r>
        <w:rPr>
          <w:spacing w:val="5"/>
          <w:sz w:val="36"/>
        </w:rPr>
        <w:t xml:space="preserve"> </w:t>
      </w:r>
      <w:r>
        <w:rPr>
          <w:sz w:val="36"/>
        </w:rPr>
        <w:t>6000kN</w:t>
      </w:r>
      <w:r>
        <w:rPr>
          <w:rFonts w:ascii="微软雅黑" w:eastAsia="微软雅黑" w:hAnsi="微软雅黑" w:hint="eastAsia"/>
          <w:sz w:val="36"/>
        </w:rPr>
        <w:t>•</w:t>
        <w:tab/>
      </w:r>
      <w:r>
        <w:rPr>
          <w:sz w:val="36"/>
        </w:rPr>
        <w:t>m 时为</w:t>
      </w:r>
      <w:r>
        <w:rPr>
          <w:spacing w:val="-90"/>
          <w:sz w:val="36"/>
        </w:rPr>
        <w:t xml:space="preserve"> </w:t>
      </w:r>
      <w:r>
        <w:rPr>
          <w:sz w:val="36"/>
        </w:rPr>
        <w:t>150mm。</w:t>
      </w:r>
    </w:p>
    <w:p>
      <w:pPr>
        <w:pStyle w:val="ListParagraph"/>
        <w:numPr>
          <w:ilvl w:val="0"/>
          <w:numId w:val="22"/>
        </w:numPr>
        <w:tabs>
          <w:tab w:val="left" w:pos="2822"/>
        </w:tabs>
        <w:spacing w:before="0" w:after="0" w:line="437" w:lineRule="exact"/>
        <w:ind w:left="2821" w:right="0" w:hanging="902"/>
        <w:jc w:val="left"/>
        <w:rPr>
          <w:sz w:val="36"/>
        </w:rPr>
      </w:pPr>
      <w:r>
        <w:rPr>
          <w:sz w:val="36"/>
        </w:rPr>
        <w:t>、夯坑周围地面不应发生过大的隆起。</w:t>
      </w:r>
    </w:p>
    <w:p>
      <w:pPr>
        <w:pStyle w:val="ListParagraph"/>
        <w:numPr>
          <w:ilvl w:val="0"/>
          <w:numId w:val="22"/>
        </w:numPr>
        <w:tabs>
          <w:tab w:val="left" w:pos="2822"/>
        </w:tabs>
        <w:spacing w:before="240" w:after="0" w:line="364" w:lineRule="auto"/>
        <w:ind w:left="1200" w:right="2700" w:firstLine="719"/>
        <w:jc w:val="both"/>
        <w:rPr>
          <w:sz w:val="36"/>
        </w:rPr>
      </w:pPr>
      <w:r>
        <w:rPr>
          <w:spacing w:val="-14"/>
          <w:sz w:val="36"/>
        </w:rPr>
        <w:t>、不因夯坑过深而发生起锤困难，如强夯时周围土体出现隆起现象起</w:t>
      </w:r>
      <w:r>
        <w:rPr>
          <w:spacing w:val="-11"/>
          <w:sz w:val="36"/>
        </w:rPr>
        <w:t>锤困难时应采取夯坑回填碎石再强夯的处理方法，先夯后填，填料至强夯达到收</w:t>
      </w:r>
      <w:r>
        <w:rPr>
          <w:spacing w:val="-5"/>
          <w:sz w:val="36"/>
        </w:rPr>
        <w:t>锤标准。</w:t>
      </w:r>
    </w:p>
    <w:p>
      <w:pPr>
        <w:pStyle w:val="BodyText"/>
        <w:spacing w:before="4"/>
        <w:ind w:left="1920"/>
      </w:pPr>
      <w:r>
        <w:t>5、填方强夯施工的原地面处理</w:t>
      </w:r>
    </w:p>
    <w:p>
      <w:pPr>
        <w:pStyle w:val="BodyText"/>
        <w:spacing w:before="241" w:line="364" w:lineRule="auto"/>
        <w:ind w:left="1200" w:right="2556" w:firstLine="719"/>
      </w:pPr>
      <w:r>
        <w:t>填方区域原地面强夯处理前应先彻底清除人工湖基础范围内草皮，或有机质含量高的土层，以消除填筑体与原地基之间的软弱夹层，保证填筑体整体稳定。填方区域原地面自然坡度陡于 1:3 时，将自然地面开挖成台阶状(岩质边坡开挖坡比不陡于 1:1，土质边坡开挖坡比不陡于 1:2)、台阶宽度不小于 2m，并向内倾斜 2~4%的台阶，并用小型夯实机加以夯实后方可进行分层回填，分层回填到</w:t>
      </w:r>
    </w:p>
    <w:p>
      <w:pPr>
        <w:spacing w:after="0" w:line="364" w:lineRule="auto"/>
        <w:sectPr>
          <w:pgSz w:w="17860" w:h="25260"/>
          <w:pgMar w:top="1920" w:right="0" w:bottom="280" w:left="1500" w:header="708" w:footer="708"/>
          <w:pgNumType w:start="28"/>
          <w:cols w:space="708"/>
        </w:sectPr>
      </w:pPr>
    </w:p>
    <w:p>
      <w:pPr>
        <w:pStyle w:val="BodyText"/>
        <w:spacing w:before="35" w:line="364" w:lineRule="auto"/>
        <w:ind w:left="1920" w:right="10116" w:hanging="720"/>
      </w:pPr>
      <w:r>
        <w:t>强夯标高时，再进行强夯处理。6、填方强夯边坡碾压整修</w:t>
      </w:r>
    </w:p>
    <w:p>
      <w:pPr>
        <w:pStyle w:val="BodyText"/>
        <w:spacing w:before="3" w:line="364" w:lineRule="auto"/>
        <w:ind w:left="1200" w:right="2516" w:firstLine="719"/>
      </w:pPr>
      <w:r>
        <w:rPr>
          <w:spacing w:val="-11"/>
        </w:rPr>
        <w:t>填方斜坡强夯施工时，采用分层碾压与强夯相结合的施工方法。边坡强夯完</w:t>
      </w:r>
      <w:r>
        <w:rPr>
          <w:spacing w:val="-14"/>
        </w:rPr>
        <w:t>毕后，将边坡区域外侧虚土层开挖，挖至强夯加固土层内后，按外侧碾压分层厚</w:t>
      </w:r>
      <w:r>
        <w:rPr>
          <w:spacing w:val="-12"/>
        </w:rPr>
        <w:t xml:space="preserve">度挖台阶，台阶高宽比为 </w:t>
      </w:r>
      <w:r>
        <w:t>1：2，并对外侧区域进行分层碾压施工，与强夯密实</w:t>
      </w:r>
      <w:r>
        <w:rPr>
          <w:spacing w:val="1"/>
        </w:rPr>
        <w:t>体进行搭接。考虑碾压机械的影响深度，碾压边坡的分层填筑厚度不大于</w:t>
      </w:r>
      <w:r>
        <w:t>40cm</w:t>
      </w:r>
      <w:r>
        <w:rPr>
          <w:spacing w:val="-18"/>
        </w:rPr>
        <w:t>。</w:t>
      </w:r>
      <w:r>
        <w:rPr>
          <w:spacing w:val="-10"/>
        </w:rPr>
        <w:t xml:space="preserve">逐层碾压至强夯标高后，碾压区与强夯区域交接处进行搭接强夯施工，强夯布点形式为交接处两侧各布置一排夯点。搭接强夯将碾压区与强夯区进行有效衔接， </w:t>
      </w:r>
      <w:r>
        <w:rPr>
          <w:spacing w:val="-16"/>
        </w:rPr>
        <w:t>使之得到有效加固并使两个区域连为一体。碾压边坡加宽部分的刷坡，可自下而上在每填高至左右时，依次采用挖掘机进行初步刷坡，清除加宽的余土。</w:t>
      </w:r>
    </w:p>
    <w:p>
      <w:pPr>
        <w:pStyle w:val="BodyText"/>
        <w:spacing w:before="8" w:line="364" w:lineRule="auto"/>
        <w:ind w:left="1200" w:right="2738" w:firstLine="719"/>
      </w:pPr>
      <w:r>
        <w:t>7</w:t>
      </w:r>
      <w:r>
        <w:rPr>
          <w:spacing w:val="-1"/>
        </w:rPr>
        <w:t>、强夯处理范围应大于建筑物基础范围。每边超出基础外缘的宽度宜为设</w:t>
      </w:r>
      <w:r>
        <w:rPr>
          <w:spacing w:val="-13"/>
        </w:rPr>
        <w:t xml:space="preserve">计处理深度的 </w:t>
      </w:r>
      <w:r>
        <w:t>1/2</w:t>
      </w:r>
      <w:r>
        <w:rPr>
          <w:spacing w:val="-60"/>
        </w:rPr>
        <w:t xml:space="preserve"> 至 </w:t>
      </w:r>
      <w:r>
        <w:t>2/3，</w:t>
      </w:r>
      <w:r>
        <w:rPr>
          <w:spacing w:val="-18"/>
        </w:rPr>
        <w:t xml:space="preserve">并不小于 </w:t>
      </w:r>
      <w:r>
        <w:t>3m</w:t>
      </w:r>
      <w:r>
        <w:rPr>
          <w:spacing w:val="-7"/>
        </w:rPr>
        <w:t xml:space="preserve">。本次场地强夯处理范围取 </w:t>
      </w:r>
      <w:r>
        <w:t>4m。</w:t>
      </w:r>
    </w:p>
    <w:p>
      <w:pPr>
        <w:pStyle w:val="BodyText"/>
        <w:spacing w:before="1"/>
        <w:ind w:left="1920"/>
      </w:pPr>
      <w:r>
        <w:t>、试夯</w:t>
      </w:r>
    </w:p>
    <w:p>
      <w:pPr>
        <w:pStyle w:val="BodyText"/>
        <w:spacing w:before="241"/>
        <w:ind w:left="1920"/>
      </w:pPr>
      <w:r>
        <w:t>1、试夯目的</w:t>
      </w:r>
    </w:p>
    <w:p>
      <w:pPr>
        <w:pStyle w:val="BodyText"/>
        <w:spacing w:before="1"/>
        <w:rPr>
          <w:sz w:val="26"/>
        </w:rPr>
      </w:pPr>
    </w:p>
    <w:p>
      <w:pPr>
        <w:pStyle w:val="BodyText"/>
        <w:spacing w:line="374" w:lineRule="auto"/>
        <w:ind w:left="1200" w:right="2517" w:firstLine="719"/>
      </w:pPr>
      <w:r>
        <w:rPr>
          <w:spacing w:val="-19"/>
        </w:rPr>
        <w:t xml:space="preserve">在试夯过程中，业主、设计、监理、施工单位相关人员按设计现场监督实施， </w:t>
      </w:r>
      <w:r>
        <w:t>通过试夯获得相应技术参数，从而根据试夯结果指导大面积强夯施工。</w:t>
      </w:r>
    </w:p>
    <w:p>
      <w:pPr>
        <w:pStyle w:val="BodyText"/>
        <w:spacing w:before="2"/>
        <w:ind w:left="1920"/>
      </w:pPr>
      <w:r>
        <w:t>2、夯点布置</w:t>
      </w:r>
    </w:p>
    <w:p>
      <w:pPr>
        <w:pStyle w:val="BodyText"/>
        <w:spacing w:before="259"/>
        <w:ind w:left="1920"/>
      </w:pPr>
      <w:r>
        <w:t>4#地块试夯区试夯点按设计间距布置</w:t>
      </w:r>
    </w:p>
    <w:p>
      <w:pPr>
        <w:pStyle w:val="BodyText"/>
        <w:spacing w:before="258"/>
        <w:ind w:left="1920"/>
      </w:pPr>
      <w:r>
        <w:t>3、试夯机械</w:t>
      </w:r>
    </w:p>
    <w:p>
      <w:pPr>
        <w:pStyle w:val="BodyText"/>
        <w:spacing w:before="259" w:line="374" w:lineRule="auto"/>
        <w:ind w:left="1920" w:right="5615"/>
      </w:pPr>
      <w:r>
        <w:t>试夯机械设备主要有履带吊机一台，铸铁夯锤(D=</w:t>
      </w:r>
      <w:r>
        <w:rPr>
          <w:spacing w:val="-6"/>
        </w:rPr>
        <w:t>一个。</w:t>
      </w:r>
      <w:r>
        <w:t>4、试夯流程</w:t>
      </w:r>
    </w:p>
    <w:p>
      <w:pPr>
        <w:pStyle w:val="ListParagraph"/>
        <w:numPr>
          <w:ilvl w:val="1"/>
          <w:numId w:val="29"/>
        </w:numPr>
        <w:tabs>
          <w:tab w:val="left" w:pos="2649"/>
        </w:tabs>
        <w:spacing w:before="1" w:after="0" w:line="240" w:lineRule="auto"/>
        <w:ind w:left="2648" w:right="0" w:hanging="549"/>
        <w:jc w:val="left"/>
        <w:rPr>
          <w:sz w:val="36"/>
        </w:rPr>
      </w:pPr>
      <w:r>
        <w:rPr>
          <w:spacing w:val="6"/>
          <w:sz w:val="36"/>
        </w:rPr>
        <w:t xml:space="preserve">、在各方现场共同确定在 </w:t>
      </w:r>
      <w:r>
        <w:rPr>
          <w:spacing w:val="3"/>
          <w:sz w:val="36"/>
        </w:rPr>
        <w:t>4</w:t>
      </w:r>
      <w:r>
        <w:rPr>
          <w:sz w:val="36"/>
        </w:rPr>
        <w:t>#地块强夯范围内选择一块有代表性的区域</w:t>
      </w:r>
    </w:p>
    <w:p>
      <w:pPr>
        <w:pStyle w:val="BodyText"/>
        <w:spacing w:before="259"/>
        <w:ind w:left="1200"/>
      </w:pPr>
      <w:r>
        <w:t>（20m×20m）作为试夯区（详见平面布置图）。</w:t>
      </w:r>
    </w:p>
    <w:p>
      <w:pPr>
        <w:pStyle w:val="ListParagraph"/>
        <w:numPr>
          <w:ilvl w:val="1"/>
          <w:numId w:val="29"/>
        </w:numPr>
        <w:tabs>
          <w:tab w:val="left" w:pos="2642"/>
        </w:tabs>
        <w:spacing w:before="260" w:after="0" w:line="374" w:lineRule="auto"/>
        <w:ind w:left="1200" w:right="2738" w:firstLine="899"/>
        <w:jc w:val="left"/>
        <w:rPr>
          <w:sz w:val="36"/>
        </w:rPr>
      </w:pPr>
      <w:r>
        <w:rPr>
          <w:sz w:val="36"/>
        </w:rPr>
        <w:t>、根据设计要求，强夯时每击夯击能为，现场采用锤底直径为，重量</w:t>
      </w:r>
      <w:r>
        <w:rPr>
          <w:spacing w:val="-5"/>
          <w:sz w:val="36"/>
        </w:rPr>
        <w:t>为吨的夯锤，经计算夯锤落距应为。</w:t>
      </w:r>
    </w:p>
    <w:p>
      <w:pPr>
        <w:pStyle w:val="ListParagraph"/>
        <w:numPr>
          <w:ilvl w:val="1"/>
          <w:numId w:val="29"/>
        </w:numPr>
        <w:tabs>
          <w:tab w:val="left" w:pos="2642"/>
        </w:tabs>
        <w:spacing w:before="1" w:after="0" w:line="374" w:lineRule="auto"/>
        <w:ind w:left="1200" w:right="2556" w:firstLine="899"/>
        <w:jc w:val="left"/>
        <w:rPr>
          <w:sz w:val="36"/>
        </w:rPr>
      </w:pPr>
      <w:r>
        <w:rPr>
          <w:sz w:val="36"/>
        </w:rPr>
        <w:t>、履带吊将夯锤吊起，移至已布置好的夯点位置上，调整好夯机，使得夯锤落下后能准确落在夯点上。夯锤就位平面误差控制在±</w:t>
      </w:r>
      <w:r>
        <w:rPr>
          <w:spacing w:val="5"/>
          <w:sz w:val="36"/>
        </w:rPr>
        <w:t>15cm</w:t>
      </w:r>
      <w:r>
        <w:rPr>
          <w:sz w:val="36"/>
        </w:rPr>
        <w:t xml:space="preserve"> 内，而后调整好控制起吊的钢丝绳，使得夯锤能在预定的高度上（）</w:t>
      </w:r>
      <w:r>
        <w:rPr>
          <w:spacing w:val="-2"/>
          <w:sz w:val="36"/>
        </w:rPr>
        <w:t>落下，保证夯击能量达到</w:t>
      </w:r>
      <w:r>
        <w:rPr>
          <w:sz w:val="36"/>
        </w:rPr>
        <w:t>设计要求，接着依次进行强夯施工, 试夯记录见附表。</w:t>
      </w:r>
    </w:p>
    <w:p>
      <w:pPr>
        <w:spacing w:after="0" w:line="374" w:lineRule="auto"/>
        <w:jc w:val="left"/>
        <w:rPr>
          <w:sz w:val="36"/>
        </w:rPr>
        <w:sectPr>
          <w:pgSz w:w="17860" w:h="25260"/>
          <w:pgMar w:top="1920" w:right="0" w:bottom="280" w:left="1500" w:header="708" w:footer="708"/>
          <w:pgNumType w:start="29"/>
          <w:cols w:space="708"/>
        </w:sectPr>
      </w:pPr>
    </w:p>
    <w:p>
      <w:pPr>
        <w:pStyle w:val="BodyText"/>
        <w:spacing w:before="29"/>
        <w:ind w:left="2100"/>
      </w:pPr>
      <w:r>
        <w:t>5、试夯结果</w:t>
      </w:r>
    </w:p>
    <w:p>
      <w:pPr>
        <w:pStyle w:val="BodyText"/>
        <w:spacing w:before="259" w:line="374" w:lineRule="auto"/>
        <w:ind w:left="1200" w:right="2484" w:firstLine="899"/>
      </w:pPr>
      <w:r>
        <w:rPr>
          <w:spacing w:val="-6"/>
        </w:rPr>
        <w:t xml:space="preserve">根据设计要求，在 </w:t>
      </w:r>
      <w:r>
        <w:t>4#</w:t>
      </w:r>
      <w:r>
        <w:rPr>
          <w:spacing w:val="-16"/>
        </w:rPr>
        <w:t xml:space="preserve">地块 </w:t>
      </w:r>
      <w:r>
        <w:t>494m</w:t>
      </w:r>
      <w:r>
        <w:rPr>
          <w:spacing w:val="-7"/>
        </w:rPr>
        <w:t xml:space="preserve"> 高程强夯范围内试夯区进行试夯，在试夯过程中，业主、设计、监理、施工单位相关人员按原设计现场监督实施。现场选</w:t>
      </w:r>
      <w:r>
        <w:rPr>
          <w:spacing w:val="-18"/>
        </w:rPr>
        <w:t xml:space="preserve">取具有代表性的 </w:t>
      </w:r>
      <w:r>
        <w:t>A</w:t>
      </w:r>
      <w:r>
        <w:rPr>
          <w:spacing w:val="-36"/>
        </w:rPr>
        <w:t>、</w:t>
      </w:r>
      <w:r>
        <w:t>B</w:t>
      </w:r>
      <w:r>
        <w:rPr>
          <w:spacing w:val="-36"/>
        </w:rPr>
        <w:t>、</w:t>
      </w:r>
      <w:r>
        <w:t>C</w:t>
      </w:r>
      <w:r>
        <w:rPr>
          <w:spacing w:val="-37"/>
        </w:rPr>
        <w:t>、</w:t>
      </w:r>
      <w:r>
        <w:t>D</w:t>
      </w:r>
      <w:r>
        <w:rPr>
          <w:spacing w:val="-11"/>
        </w:rPr>
        <w:t xml:space="preserve"> 四个试夯点的试夯记录进行分析，试夯记录见附表。</w:t>
      </w:r>
      <w:r>
        <w:rPr>
          <w:spacing w:val="-10"/>
        </w:rPr>
        <w:t xml:space="preserve">因填料为开山泥岩块料，夯击到原设计 </w:t>
      </w:r>
      <w:r>
        <w:t>9</w:t>
      </w:r>
      <w:r>
        <w:rPr>
          <w:spacing w:val="-15"/>
        </w:rPr>
        <w:t xml:space="preserve"> 击参数时，夯沉量仍不稳定，之后继续增加夯击数直至夯沉量趋于稳定。根据试夯成果分析，当单点主夯夯击达到约 13</w:t>
      </w:r>
      <w:r>
        <w:rPr>
          <w:spacing w:val="-27"/>
        </w:rPr>
        <w:t xml:space="preserve"> 击时，夯沉量趋于稳定且最后 </w:t>
      </w:r>
      <w:r>
        <w:t>3</w:t>
      </w:r>
      <w:r>
        <w:rPr>
          <w:spacing w:val="-19"/>
        </w:rPr>
        <w:t xml:space="preserve"> 击的总夯沉量不大于 </w:t>
      </w:r>
      <w:r>
        <w:t>150mm</w:t>
      </w:r>
      <w:r>
        <w:rPr>
          <w:spacing w:val="-19"/>
        </w:rPr>
        <w:t xml:space="preserve">。根据该项目特点， </w:t>
      </w:r>
      <w:r>
        <w:rPr>
          <w:spacing w:val="-22"/>
        </w:rPr>
        <w:t xml:space="preserve">经参建各方代表分析研究，最终确定：主夯为 </w:t>
      </w:r>
      <w:r>
        <w:t>13</w:t>
      </w:r>
      <w:r>
        <w:rPr>
          <w:spacing w:val="-28"/>
        </w:rPr>
        <w:t xml:space="preserve"> 击且最后 </w:t>
      </w:r>
      <w:r>
        <w:t>3</w:t>
      </w:r>
      <w:r>
        <w:rPr>
          <w:spacing w:val="-11"/>
        </w:rPr>
        <w:t xml:space="preserve"> 击的总夯沉量不大</w:t>
      </w:r>
      <w:r>
        <w:rPr>
          <w:spacing w:val="-51"/>
        </w:rPr>
        <w:t xml:space="preserve">于 </w:t>
      </w:r>
      <w:r>
        <w:t>150mm，作为强夯施工的控制参数。</w:t>
      </w:r>
    </w:p>
    <w:p>
      <w:pPr>
        <w:pStyle w:val="BodyText"/>
        <w:spacing w:line="372" w:lineRule="exact"/>
        <w:ind w:left="1920"/>
      </w:pPr>
      <w:r>
        <w:t>、强夯施工</w:t>
      </w:r>
    </w:p>
    <w:p>
      <w:pPr>
        <w:pStyle w:val="BodyText"/>
        <w:spacing w:before="241" w:line="364" w:lineRule="auto"/>
        <w:ind w:left="1920" w:right="9740"/>
      </w:pPr>
      <w:r>
        <w:t>强夯施工可按下列步骤进行： 1、清理并平整施工场地；</w:t>
      </w:r>
    </w:p>
    <w:p>
      <w:pPr>
        <w:pStyle w:val="BodyText"/>
        <w:spacing w:before="2"/>
        <w:ind w:left="1920"/>
      </w:pPr>
      <w:r>
        <w:t>2、标出第一遍夯点位置，并测量场地高程；</w:t>
      </w:r>
    </w:p>
    <w:p>
      <w:pPr>
        <w:pStyle w:val="BodyText"/>
        <w:spacing w:before="241"/>
        <w:ind w:left="1920"/>
      </w:pPr>
      <w:r>
        <w:t>3、起重机就位，使夯锤对准夯点位置；</w:t>
      </w:r>
    </w:p>
    <w:p>
      <w:pPr>
        <w:pStyle w:val="BodyText"/>
        <w:spacing w:before="240"/>
        <w:ind w:left="1920"/>
      </w:pPr>
      <w:r>
        <w:t>4、测量夯前锤顶高程；</w:t>
      </w:r>
    </w:p>
    <w:p>
      <w:pPr>
        <w:pStyle w:val="BodyText"/>
        <w:spacing w:before="241" w:line="364" w:lineRule="auto"/>
        <w:ind w:left="1200" w:right="2738" w:firstLine="719"/>
      </w:pPr>
      <w:r>
        <w:t>5、将夯锤起吊到预定高度，待夯锤脱钩自由下落后，放下吊钩，测量锤顶高程，若发现因坑底倾斜而造成夯锤歪斜时，应及时将坑底整平；</w:t>
      </w:r>
    </w:p>
    <w:p>
      <w:pPr>
        <w:pStyle w:val="BodyText"/>
        <w:spacing w:before="2" w:line="364" w:lineRule="auto"/>
        <w:ind w:left="1200" w:right="2511" w:firstLine="719"/>
      </w:pPr>
      <w:r>
        <w:t>6</w:t>
      </w:r>
      <w:r>
        <w:rPr>
          <w:spacing w:val="-20"/>
        </w:rPr>
        <w:t>、按设计规定的夯击次数及控制标准，完成一个夯点的夯击；重复步骤</w:t>
      </w:r>
      <w:r>
        <w:rPr>
          <w:spacing w:val="-5"/>
        </w:rPr>
        <w:t xml:space="preserve">（3） </w:t>
      </w:r>
      <w:r>
        <w:t>至</w:t>
      </w:r>
      <w:r>
        <w:rPr>
          <w:spacing w:val="-1"/>
        </w:rPr>
        <w:t>（</w:t>
      </w:r>
      <w:r>
        <w:t>6</w:t>
      </w:r>
      <w:r>
        <w:rPr>
          <w:spacing w:val="-180"/>
        </w:rPr>
        <w:t>）</w:t>
      </w:r>
      <w:r>
        <w:t>，完成第一遍全部夯点的夯击；</w:t>
      </w:r>
    </w:p>
    <w:p>
      <w:pPr>
        <w:pStyle w:val="BodyText"/>
        <w:spacing w:before="2"/>
        <w:ind w:left="1920"/>
      </w:pPr>
      <w:r>
        <w:t>7、用推土机将夯坑填平，并测量场地高程；</w:t>
      </w:r>
    </w:p>
    <w:p>
      <w:pPr>
        <w:pStyle w:val="BodyText"/>
        <w:spacing w:before="241" w:line="364" w:lineRule="auto"/>
        <w:ind w:left="1200" w:right="2738" w:firstLine="719"/>
      </w:pPr>
      <w:r>
        <w:t>8、在规定的时间间隔后，按上述步骤逐次完成全部夯击遍数，最后用低能量满夯，将场地表层松土夯实，并测量夯后场地高程。</w:t>
      </w:r>
    </w:p>
    <w:p>
      <w:pPr>
        <w:pStyle w:val="BodyText"/>
        <w:spacing w:before="2" w:line="364" w:lineRule="auto"/>
        <w:ind w:left="1920" w:right="10118"/>
      </w:pPr>
      <w:r>
        <w:t>、8#地块填方边坡处理施工1、边坡区回填强夯</w:t>
      </w:r>
    </w:p>
    <w:p>
      <w:pPr>
        <w:pStyle w:val="BodyText"/>
        <w:spacing w:before="3" w:line="364" w:lineRule="auto"/>
        <w:ind w:left="1200" w:right="2516" w:firstLine="719"/>
      </w:pPr>
      <w:r>
        <w:rPr>
          <w:spacing w:val="-7"/>
        </w:rPr>
        <w:t>根据《总说明》可知各地块的设计高程为：</w:t>
      </w:r>
      <w:r>
        <w:t>1</w:t>
      </w:r>
      <w:r>
        <w:rPr>
          <w:spacing w:val="-74"/>
        </w:rPr>
        <w:t>#：、</w:t>
      </w:r>
      <w:r>
        <w:t>2#</w:t>
      </w:r>
      <w:r>
        <w:rPr>
          <w:spacing w:val="-110"/>
        </w:rPr>
        <w:t>：、</w:t>
      </w:r>
      <w:r>
        <w:t>3#</w:t>
      </w:r>
      <w:r>
        <w:rPr>
          <w:spacing w:val="-110"/>
        </w:rPr>
        <w:t>：、</w:t>
      </w:r>
      <w:r>
        <w:t>4#</w:t>
      </w:r>
      <w:r>
        <w:rPr>
          <w:spacing w:val="-110"/>
        </w:rPr>
        <w:t>：、</w:t>
      </w:r>
      <w:r>
        <w:t>5#</w:t>
      </w:r>
      <w:r>
        <w:rPr>
          <w:spacing w:val="-112"/>
        </w:rPr>
        <w:t>：、</w:t>
      </w:r>
      <w:r>
        <w:t>6#</w:t>
      </w:r>
      <w:r>
        <w:rPr>
          <w:spacing w:val="-97"/>
        </w:rPr>
        <w:t>：、</w:t>
      </w:r>
      <w:r>
        <w:t xml:space="preserve"> 7</w:t>
      </w:r>
      <w:r>
        <w:rPr>
          <w:spacing w:val="-61"/>
        </w:rPr>
        <w:t>#：、</w:t>
      </w:r>
      <w:r>
        <w:t>9</w:t>
      </w:r>
      <w:r>
        <w:rPr>
          <w:spacing w:val="-13"/>
        </w:rPr>
        <w:t xml:space="preserve">#：，依据试夯报告各地块的虚铺完成后高程均比设计高程高 </w:t>
      </w:r>
      <w:r>
        <w:t>1</w:t>
      </w:r>
      <w:r>
        <w:rPr>
          <w:spacing w:val="3"/>
        </w:rPr>
        <w:t>m</w:t>
      </w:r>
      <w:r>
        <w:t>。部分地</w:t>
      </w:r>
      <w:r>
        <w:rPr>
          <w:spacing w:val="-12"/>
        </w:rPr>
        <w:t>块之间的高差较小，若采用分层填筑分层碾压的施工方法存在比较大的施工难度</w:t>
      </w:r>
      <w:r>
        <w:rPr>
          <w:spacing w:val="-17"/>
        </w:rPr>
        <w:t>且不能保证工程质量，所以为保证工程进度及质量，根据相邻地块的不同高差值大小分两种方法进行回填工作。</w:t>
      </w:r>
    </w:p>
    <w:p>
      <w:pPr>
        <w:spacing w:after="0" w:line="364" w:lineRule="auto"/>
        <w:sectPr>
          <w:pgSz w:w="17860" w:h="25260"/>
          <w:pgMar w:top="2020" w:right="0" w:bottom="280" w:left="1500" w:header="708" w:footer="708"/>
          <w:pgNumType w:start="30"/>
          <w:cols w:space="708"/>
        </w:sectPr>
      </w:pPr>
    </w:p>
    <w:p>
      <w:pPr>
        <w:pStyle w:val="ListParagraph"/>
        <w:numPr>
          <w:ilvl w:val="0"/>
          <w:numId w:val="21"/>
        </w:numPr>
        <w:tabs>
          <w:tab w:val="left" w:pos="2462"/>
        </w:tabs>
        <w:spacing w:before="35" w:after="0" w:line="240" w:lineRule="auto"/>
        <w:ind w:left="2461" w:right="0" w:hanging="902"/>
        <w:jc w:val="left"/>
        <w:rPr>
          <w:sz w:val="36"/>
        </w:rPr>
      </w:pPr>
      <w:r>
        <w:rPr>
          <w:sz w:val="36"/>
        </w:rPr>
        <w:t>、相邻地块间高差值≤3m</w:t>
      </w:r>
      <w:r>
        <w:rPr>
          <w:spacing w:val="-30"/>
          <w:sz w:val="36"/>
        </w:rPr>
        <w:t xml:space="preserve"> 区域</w:t>
      </w:r>
    </w:p>
    <w:p>
      <w:pPr>
        <w:pStyle w:val="BodyText"/>
        <w:spacing w:before="242" w:line="364" w:lineRule="auto"/>
        <w:ind w:left="1200" w:right="2681" w:firstLine="539"/>
        <w:jc w:val="both"/>
      </w:pPr>
      <w:r>
        <w:t>相邻地块高差值为：1#—9#</w:t>
      </w:r>
      <w:r>
        <w:rPr>
          <w:spacing w:val="-24"/>
        </w:rPr>
        <w:t xml:space="preserve">为 </w:t>
      </w:r>
      <w:r>
        <w:t>2m、1#—2#</w:t>
      </w:r>
      <w:r>
        <w:rPr>
          <w:spacing w:val="-24"/>
        </w:rPr>
        <w:t xml:space="preserve">为 </w:t>
      </w:r>
      <w:r>
        <w:t>3m、2#—3#</w:t>
      </w:r>
      <w:r>
        <w:rPr>
          <w:spacing w:val="-24"/>
        </w:rPr>
        <w:t xml:space="preserve">为 </w:t>
      </w:r>
      <w:r>
        <w:t>1m、2#—4#为、2#—5#为、2#—6#为、3#—6#为、3#—4#</w:t>
      </w:r>
      <w:r>
        <w:rPr>
          <w:spacing w:val="-9"/>
        </w:rPr>
        <w:t xml:space="preserve">为，高差均小于 </w:t>
      </w:r>
      <w:r>
        <w:t>3m</w:t>
      </w:r>
      <w:r>
        <w:rPr>
          <w:spacing w:val="-10"/>
        </w:rPr>
        <w:t xml:space="preserve"> 而强夯作业也能达到设计效果。所以针对此相邻地块间的斜坡区域（</w:t>
      </w:r>
      <w:r>
        <w:rPr>
          <w:spacing w:val="55"/>
        </w:rPr>
        <w:t>即</w:t>
      </w:r>
      <w:r>
        <w:t>8#地块</w:t>
      </w:r>
      <w:r>
        <w:rPr>
          <w:spacing w:val="-180"/>
        </w:rPr>
        <w:t>）</w:t>
      </w:r>
      <w:r>
        <w:rPr>
          <w:spacing w:val="-3"/>
        </w:rPr>
        <w:t>，按设计边坡坡比</w:t>
      </w:r>
      <w:r>
        <w:rPr>
          <w:spacing w:val="-5"/>
        </w:rPr>
        <w:t>采用分层填筑到相邻两地块间高程较高的地块后进行强夯施工作业，然后再用挖</w:t>
      </w:r>
      <w:r>
        <w:rPr>
          <w:spacing w:val="-19"/>
        </w:rPr>
        <w:t xml:space="preserve">掘机挖出 </w:t>
      </w:r>
      <w:r>
        <w:t>8#</w:t>
      </w:r>
      <w:r>
        <w:rPr>
          <w:spacing w:val="-3"/>
        </w:rPr>
        <w:t xml:space="preserve">地块多余的土方并用机械修整边坡成型，自然坡比为 </w:t>
      </w:r>
      <w:r>
        <w:t>1:左右。根据</w:t>
      </w:r>
    </w:p>
    <w:p>
      <w:pPr>
        <w:pStyle w:val="BodyText"/>
        <w:spacing w:before="4"/>
        <w:ind w:left="1200"/>
        <w:jc w:val="both"/>
      </w:pPr>
      <w:r>
        <w:t>《总说明》第 8 条，本次场地强夯处理范围取 4m。</w:t>
      </w:r>
    </w:p>
    <w:p>
      <w:pPr>
        <w:spacing w:before="241"/>
        <w:ind w:left="1672" w:right="0" w:firstLine="0"/>
        <w:jc w:val="both"/>
        <w:rPr>
          <w:sz w:val="36"/>
        </w:rPr>
      </w:pPr>
      <w:r>
        <w:rPr>
          <w:w w:val="102"/>
          <w:position w:val="-3"/>
          <w:sz w:val="31"/>
        </w:rPr>
        <w:t>H≤3m（</w:t>
      </w:r>
      <w:r>
        <w:rPr>
          <w:spacing w:val="-3"/>
          <w:w w:val="102"/>
          <w:position w:val="-3"/>
          <w:sz w:val="31"/>
        </w:rPr>
        <w:t>单位：</w:t>
      </w:r>
      <w:r>
        <w:rPr>
          <w:w w:val="102"/>
          <w:position w:val="-3"/>
          <w:sz w:val="31"/>
        </w:rPr>
        <w:t>m</w:t>
      </w:r>
      <w:r>
        <w:rPr>
          <w:spacing w:val="-4"/>
          <w:w w:val="102"/>
          <w:position w:val="-3"/>
          <w:sz w:val="31"/>
        </w:rPr>
        <w:t>m</w:t>
      </w:r>
      <w:r>
        <w:rPr>
          <w:w w:val="102"/>
          <w:position w:val="-3"/>
          <w:sz w:val="31"/>
        </w:rPr>
        <w:t>）</w:t>
      </w:r>
      <w:r>
        <w:rPr>
          <w:spacing w:val="2"/>
          <w:position w:val="-3"/>
          <w:sz w:val="31"/>
        </w:rPr>
        <w:t xml:space="preserve">  </w:t>
      </w:r>
      <w:r>
        <w:rPr>
          <w:sz w:val="36"/>
        </w:rPr>
        <w:t>（</w:t>
      </w:r>
      <w:r>
        <w:rPr>
          <w:spacing w:val="-4"/>
          <w:sz w:val="36"/>
        </w:rPr>
        <w:t>2</w:t>
      </w:r>
      <w:r>
        <w:rPr>
          <w:spacing w:val="-180"/>
          <w:sz w:val="36"/>
        </w:rPr>
        <w:t>）</w:t>
      </w:r>
      <w:r>
        <w:rPr>
          <w:sz w:val="36"/>
        </w:rPr>
        <w:t>、相邻地块间高差值&gt;3m</w:t>
      </w:r>
      <w:r>
        <w:rPr>
          <w:spacing w:val="-30"/>
          <w:sz w:val="36"/>
        </w:rPr>
        <w:t xml:space="preserve"> 区域</w:t>
      </w:r>
    </w:p>
    <w:p>
      <w:pPr>
        <w:pStyle w:val="BodyText"/>
        <w:spacing w:before="216" w:line="364" w:lineRule="auto"/>
        <w:ind w:left="1200" w:right="2516" w:firstLine="719"/>
      </w:pPr>
      <w:r>
        <w:rPr>
          <w:spacing w:val="-3"/>
        </w:rPr>
        <w:t>相邻地块间的高差值为：</w:t>
      </w:r>
      <w:r>
        <w:t>1#—4#</w:t>
      </w:r>
      <w:r>
        <w:rPr>
          <w:spacing w:val="-105"/>
        </w:rPr>
        <w:t>：、</w:t>
      </w:r>
      <w:r>
        <w:t>1#—5#</w:t>
      </w:r>
      <w:r>
        <w:rPr>
          <w:spacing w:val="-103"/>
        </w:rPr>
        <w:t>：、</w:t>
      </w:r>
      <w:r>
        <w:t>4#—7#</w:t>
      </w:r>
      <w:r>
        <w:rPr>
          <w:spacing w:val="-105"/>
        </w:rPr>
        <w:t>：、</w:t>
      </w:r>
      <w:r>
        <w:t>3#—7#</w:t>
      </w:r>
      <w:r>
        <w:rPr>
          <w:spacing w:val="-104"/>
        </w:rPr>
        <w:t>：、</w:t>
      </w:r>
      <w:r>
        <w:rPr>
          <w:spacing w:val="-3"/>
        </w:rPr>
        <w:t>6#—7#</w:t>
      </w:r>
      <w:r>
        <w:rPr>
          <w:spacing w:val="-93"/>
        </w:rPr>
        <w:t>：，</w:t>
      </w:r>
      <w:r>
        <w:rPr>
          <w:spacing w:val="-13"/>
        </w:rPr>
        <w:t xml:space="preserve">高差均大于 </w:t>
      </w:r>
      <w:r>
        <w:t>3m，</w:t>
      </w:r>
      <w:r>
        <w:rPr>
          <w:spacing w:val="-24"/>
        </w:rPr>
        <w:t xml:space="preserve">若对 </w:t>
      </w:r>
      <w:r>
        <w:t>8#地块采取强夯作业的方法不能保证作业效果且完成作业</w:t>
      </w:r>
      <w:r>
        <w:rPr>
          <w:spacing w:val="-11"/>
        </w:rPr>
        <w:t xml:space="preserve">后挖出的土方量较大，所以针对此相邻地块间的斜坡区域，按设计边坡坡比采用分层回填分层碾压的施工方法，因为边坡回填区及强夯填方区同时进行回填工 </w:t>
      </w:r>
      <w:r>
        <w:rPr>
          <w:spacing w:val="-10"/>
        </w:rPr>
        <w:t xml:space="preserve">作，根据《总说明》边坡区域的分层填筑厚度不大于 </w:t>
      </w:r>
      <w:r>
        <w:t>40cm，强夯填方区域分层</w:t>
      </w:r>
      <w:r>
        <w:rPr>
          <w:spacing w:val="-16"/>
        </w:rPr>
        <w:t xml:space="preserve">填筑厚度为 </w:t>
      </w:r>
      <w:r>
        <w:t>80cm，所以在回填的时候分两步进行。</w:t>
      </w:r>
    </w:p>
    <w:p>
      <w:pPr>
        <w:pStyle w:val="BodyText"/>
        <w:spacing w:before="5" w:line="360" w:lineRule="auto"/>
        <w:ind w:left="1200" w:right="2694" w:firstLine="629"/>
        <w:jc w:val="both"/>
      </w:pPr>
      <w:r>
        <w:rPr>
          <w:spacing w:val="-12"/>
          <w:position w:val="-3"/>
          <w:sz w:val="31"/>
        </w:rPr>
        <w:t>H＞3m（</w:t>
      </w:r>
      <w:r>
        <w:rPr>
          <w:spacing w:val="-6"/>
          <w:position w:val="-3"/>
          <w:sz w:val="31"/>
        </w:rPr>
        <w:t>单位：</w:t>
      </w:r>
      <w:r>
        <w:rPr>
          <w:spacing w:val="-17"/>
          <w:position w:val="-3"/>
          <w:sz w:val="31"/>
        </w:rPr>
        <w:t xml:space="preserve">mm） </w:t>
      </w:r>
      <w:r>
        <w:rPr>
          <w:spacing w:val="-1"/>
        </w:rPr>
        <w:t>填筑到设计高程后对边坡区域及高程较高的地块进行搭接</w:t>
      </w:r>
      <w:r>
        <w:rPr>
          <w:spacing w:val="1"/>
        </w:rPr>
        <w:t xml:space="preserve">强夯，然后用挖掘机挖出斜坡面多余的土方，考虑到挖掘机在挖出 </w:t>
      </w:r>
      <w:r>
        <w:t>8#地块多余</w:t>
      </w:r>
      <w:r>
        <w:rPr>
          <w:spacing w:val="-14"/>
        </w:rPr>
        <w:t xml:space="preserve">土方时可能对边坡造成的破坏，所以在边坡回填时向坡脚线外偏移 </w:t>
      </w:r>
      <w:r>
        <w:t>1</w:t>
      </w:r>
      <w:r>
        <w:rPr>
          <w:spacing w:val="-19"/>
        </w:rPr>
        <w:t xml:space="preserve"> 米做回填起</w:t>
      </w:r>
      <w:r>
        <w:rPr>
          <w:spacing w:val="-16"/>
        </w:rPr>
        <w:t xml:space="preserve">坡线，宽度 </w:t>
      </w:r>
      <w:r>
        <w:t>1m</w:t>
      </w:r>
      <w:r>
        <w:rPr>
          <w:spacing w:val="-10"/>
        </w:rPr>
        <w:t xml:space="preserve"> 作为压实度保证范围。</w:t>
      </w:r>
    </w:p>
    <w:p>
      <w:pPr>
        <w:pStyle w:val="BodyText"/>
        <w:spacing w:before="15" w:line="364" w:lineRule="auto"/>
        <w:ind w:left="1200" w:right="2696" w:firstLine="719"/>
        <w:jc w:val="both"/>
      </w:pPr>
      <w:r>
        <w:t>A</w:t>
      </w:r>
      <w:r>
        <w:rPr>
          <w:spacing w:val="-8"/>
        </w:rPr>
        <w:t xml:space="preserve">、因为各个 </w:t>
      </w:r>
      <w:r>
        <w:t>8#</w:t>
      </w:r>
      <w:r>
        <w:rPr>
          <w:spacing w:val="-3"/>
        </w:rPr>
        <w:t xml:space="preserve">地块边坡区域的坡度不一样，所以第一层 </w:t>
      </w:r>
      <w:r>
        <w:t>40cm</w:t>
      </w:r>
      <w:r>
        <w:rPr>
          <w:spacing w:val="-11"/>
        </w:rPr>
        <w:t xml:space="preserve"> 填方厚度的</w:t>
      </w:r>
      <w:r>
        <w:t>区域为：1+n*h+4，待此层回填并碾压作业（图中阴影部分）完成并检测合格后开始第二层回填，设计确认压实密度≥92%。</w:t>
      </w:r>
    </w:p>
    <w:p>
      <w:pPr>
        <w:pStyle w:val="BodyText"/>
        <w:spacing w:before="3" w:line="364" w:lineRule="auto"/>
        <w:ind w:left="1200" w:right="2680" w:firstLine="719"/>
        <w:jc w:val="both"/>
      </w:pPr>
      <w:r>
        <w:t>B</w:t>
      </w:r>
      <w:r>
        <w:rPr>
          <w:spacing w:val="-22"/>
        </w:rPr>
        <w:t xml:space="preserve">、在 </w:t>
      </w:r>
      <w:r>
        <w:t>1+n*h+4</w:t>
      </w:r>
      <w:r>
        <w:rPr>
          <w:spacing w:val="-14"/>
        </w:rPr>
        <w:t xml:space="preserve"> 区域的第二层回填也为 </w:t>
      </w:r>
      <w:r>
        <w:t>40cm</w:t>
      </w:r>
      <w:r>
        <w:rPr>
          <w:spacing w:val="-17"/>
        </w:rPr>
        <w:t xml:space="preserve"> 同时碾压，超出 </w:t>
      </w:r>
      <w:r>
        <w:t>8#地块此区域</w:t>
      </w:r>
      <w:r>
        <w:rPr>
          <w:spacing w:val="-13"/>
        </w:rPr>
        <w:t xml:space="preserve">后回填厚度为 </w:t>
      </w:r>
      <w:r>
        <w:t>80cm</w:t>
      </w:r>
      <w:r>
        <w:rPr>
          <w:spacing w:val="-1"/>
        </w:rPr>
        <w:t>，并且回填到整个地块范围内，第二层回填压实度≥</w:t>
      </w:r>
      <w:r>
        <w:rPr>
          <w:spacing w:val="-7"/>
        </w:rPr>
        <w:t>92%，</w:t>
      </w:r>
      <w:r>
        <w:rPr>
          <w:spacing w:val="-16"/>
        </w:rPr>
        <w:t>每</w:t>
      </w:r>
      <w:r>
        <w:rPr>
          <w:spacing w:val="-12"/>
        </w:rPr>
        <w:t xml:space="preserve">层向边坡内延伸 </w:t>
      </w:r>
      <w:r>
        <w:t>2m</w:t>
      </w:r>
      <w:r>
        <w:rPr>
          <w:spacing w:val="-10"/>
        </w:rPr>
        <w:t xml:space="preserve"> 作为碾压搭接的宽度，以此类推。</w:t>
      </w:r>
    </w:p>
    <w:p>
      <w:pPr>
        <w:pStyle w:val="BodyText"/>
        <w:spacing w:before="3"/>
        <w:ind w:left="1920"/>
      </w:pPr>
      <w:r>
        <w:t>C、边坡区强夯</w:t>
      </w:r>
    </w:p>
    <w:p>
      <w:pPr>
        <w:pStyle w:val="BodyText"/>
        <w:spacing w:before="241" w:line="364" w:lineRule="auto"/>
        <w:ind w:left="1200" w:right="2696" w:firstLine="719"/>
        <w:jc w:val="both"/>
      </w:pPr>
      <w:r>
        <w:rPr>
          <w:spacing w:val="-11"/>
        </w:rPr>
        <w:t>逐层碾压至强夯标高后，碾压区与强夯区域交接处进行搭接强夯施工，强夯</w:t>
      </w:r>
      <w:r>
        <w:rPr>
          <w:spacing w:val="-9"/>
        </w:rPr>
        <w:t>布点形式为交接处两侧各布置一排夯点。搭接强夯将碾压区与强夯区进行有效衔</w:t>
      </w:r>
      <w:r>
        <w:rPr>
          <w:spacing w:val="-12"/>
        </w:rPr>
        <w:t>接，使之得到有效加固并使两个区域连为一体。考虑到强夯击力作用范围，所以</w:t>
      </w:r>
      <w:r>
        <w:rPr>
          <w:spacing w:val="-16"/>
        </w:rPr>
        <w:t xml:space="preserve">搭接范围取 </w:t>
      </w:r>
      <w:r>
        <w:t>4m。</w:t>
      </w:r>
    </w:p>
    <w:p>
      <w:pPr>
        <w:spacing w:after="0" w:line="364" w:lineRule="auto"/>
        <w:jc w:val="both"/>
        <w:sectPr>
          <w:pgSz w:w="17860" w:h="25260"/>
          <w:pgMar w:top="1920" w:right="0" w:bottom="280" w:left="1500" w:header="708" w:footer="708"/>
          <w:pgNumType w:start="31"/>
          <w:cols w:space="708"/>
        </w:sectPr>
      </w:pPr>
    </w:p>
    <w:p>
      <w:pPr>
        <w:pStyle w:val="BodyText"/>
        <w:spacing w:before="35"/>
        <w:ind w:left="1920"/>
      </w:pPr>
      <w:r>
        <w:t>D、边坡修整</w:t>
      </w:r>
    </w:p>
    <w:p>
      <w:pPr>
        <w:pStyle w:val="BodyText"/>
        <w:spacing w:before="242" w:line="364" w:lineRule="auto"/>
        <w:ind w:left="1200" w:right="2556" w:firstLine="719"/>
      </w:pPr>
      <w:r>
        <w:t>边坡加宽部分的刷坡，可自下而上在每填高至～左右时，依次采用挖掘机进行初步刷坡，清除加宽的余土。待完成搭接区域强夯施工后，再进行边坡修整。</w:t>
      </w:r>
    </w:p>
    <w:p>
      <w:pPr>
        <w:pStyle w:val="BodyText"/>
        <w:spacing w:before="1"/>
        <w:ind w:left="2100"/>
      </w:pPr>
      <w:r>
        <w:t>2、7#地块的处理</w:t>
      </w:r>
    </w:p>
    <w:p>
      <w:pPr>
        <w:pStyle w:val="BodyText"/>
        <w:spacing w:before="241" w:line="364" w:lineRule="auto"/>
        <w:ind w:left="1200" w:right="2698" w:firstLine="899"/>
        <w:jc w:val="both"/>
      </w:pPr>
      <w:r>
        <w:rPr>
          <w:spacing w:val="1"/>
        </w:rPr>
        <w:t xml:space="preserve">前期施工单位进行施工作业的土方回填区超过了 </w:t>
      </w:r>
      <w:r>
        <w:t>7#</w:t>
      </w:r>
      <w:r>
        <w:rPr>
          <w:spacing w:val="1"/>
        </w:rPr>
        <w:t xml:space="preserve">地块的范围到 </w:t>
      </w:r>
      <w:r>
        <w:t>3#、</w:t>
      </w:r>
      <w:r>
        <w:rPr>
          <w:spacing w:val="-8"/>
        </w:rPr>
        <w:t xml:space="preserve">4# </w:t>
      </w:r>
      <w:r>
        <w:rPr>
          <w:spacing w:val="-33"/>
        </w:rPr>
        <w:t xml:space="preserve">和 </w:t>
      </w:r>
      <w:r>
        <w:t>6#</w:t>
      </w:r>
      <w:r>
        <w:rPr>
          <w:spacing w:val="-11"/>
        </w:rPr>
        <w:t xml:space="preserve">地块，所以 </w:t>
      </w:r>
      <w:r>
        <w:t>3#、4#</w:t>
      </w:r>
      <w:r>
        <w:rPr>
          <w:spacing w:val="-33"/>
        </w:rPr>
        <w:t xml:space="preserve">和 </w:t>
      </w:r>
      <w:r>
        <w:t>6#</w:t>
      </w:r>
      <w:r>
        <w:rPr>
          <w:spacing w:val="-16"/>
        </w:rPr>
        <w:t xml:space="preserve">地块与 </w:t>
      </w:r>
      <w:r>
        <w:t>7#</w:t>
      </w:r>
      <w:r>
        <w:rPr>
          <w:spacing w:val="-13"/>
        </w:rPr>
        <w:t xml:space="preserve">地块间的 </w:t>
      </w:r>
      <w:r>
        <w:t>8#地块已经完成回填。3#、</w:t>
      </w:r>
      <w:r>
        <w:rPr>
          <w:spacing w:val="-8"/>
        </w:rPr>
        <w:t xml:space="preserve">4# </w:t>
      </w:r>
      <w:r>
        <w:rPr>
          <w:spacing w:val="-37"/>
        </w:rPr>
        <w:t xml:space="preserve">和 </w:t>
      </w:r>
      <w:r>
        <w:t>6#</w:t>
      </w:r>
      <w:r>
        <w:rPr>
          <w:spacing w:val="-18"/>
        </w:rPr>
        <w:t xml:space="preserve">地块与 </w:t>
      </w:r>
      <w:r>
        <w:t>7#</w:t>
      </w:r>
      <w:r>
        <w:rPr>
          <w:spacing w:val="-1"/>
        </w:rPr>
        <w:t>地块间高程差分别为、和，一次强夯边坡不能确保坡脚能达到夯</w:t>
      </w:r>
      <w:r>
        <w:t>击效果，所以为确保此区域的 8#地块工程质量和避免重复施工，我部在进行此</w:t>
      </w:r>
      <w:r>
        <w:rPr>
          <w:spacing w:val="-23"/>
        </w:rPr>
        <w:t xml:space="preserve">区域的 </w:t>
      </w:r>
      <w:r>
        <w:t>8#地块作业时分两步进行。</w:t>
      </w:r>
    </w:p>
    <w:p>
      <w:pPr>
        <w:pStyle w:val="BodyText"/>
        <w:spacing w:before="6" w:line="364" w:lineRule="auto"/>
        <w:ind w:left="1200" w:right="2696" w:firstLine="719"/>
        <w:jc w:val="both"/>
      </w:pPr>
      <w:r>
        <w:t>1</w:t>
      </w:r>
      <w:r>
        <w:rPr>
          <w:spacing w:val="-11"/>
        </w:rPr>
        <w:t xml:space="preserve">、根据相对高差值和现场实际超填范围及强夯夯击效果实际情况可沿 </w:t>
      </w:r>
      <w:r>
        <w:t>7#</w:t>
      </w:r>
      <w:r>
        <w:rPr>
          <w:spacing w:val="-17"/>
        </w:rPr>
        <w:t>地</w:t>
      </w:r>
      <w:r>
        <w:t>块外边线偏移一定距离</w:t>
      </w:r>
      <w:r>
        <w:rPr>
          <w:spacing w:val="-3"/>
        </w:rPr>
        <w:t>（17m）</w:t>
      </w:r>
      <w:r>
        <w:t>后（图中阴影部分）</w:t>
      </w:r>
      <w:r>
        <w:rPr>
          <w:spacing w:val="51"/>
        </w:rPr>
        <w:t>与</w:t>
      </w:r>
      <w:r>
        <w:t>7#</w:t>
      </w:r>
      <w:r>
        <w:rPr>
          <w:spacing w:val="-2"/>
        </w:rPr>
        <w:t>地块整体强夯并检测合</w:t>
      </w:r>
      <w:r>
        <w:t>格，然后用挖掘机挖出已夯斜坡面多余的土方。</w:t>
      </w:r>
    </w:p>
    <w:p>
      <w:pPr>
        <w:pStyle w:val="BodyText"/>
      </w:pPr>
    </w:p>
    <w:p>
      <w:pPr>
        <w:pStyle w:val="BodyText"/>
        <w:spacing w:before="243" w:line="364" w:lineRule="auto"/>
        <w:ind w:left="1200" w:right="2678" w:firstLine="719"/>
      </w:pPr>
      <w:r>
        <w:rPr>
          <w:spacing w:val="-2"/>
        </w:rPr>
        <w:t>单位：</w:t>
      </w:r>
      <w:r>
        <w:rPr>
          <w:spacing w:val="-6"/>
        </w:rPr>
        <w:t>mm</w:t>
      </w:r>
      <w:r>
        <w:rPr>
          <w:spacing w:val="-12"/>
        </w:rPr>
        <w:t xml:space="preserve"> 、完成上半部分 </w:t>
      </w:r>
      <w:r>
        <w:t>8#</w:t>
      </w:r>
      <w:r>
        <w:rPr>
          <w:spacing w:val="-1"/>
        </w:rPr>
        <w:t>地块处理后，对下层未夯部分再进行强夯施工</w:t>
      </w:r>
      <w:r>
        <w:t>作业（图中阴影部分</w:t>
      </w:r>
      <w:r>
        <w:rPr>
          <w:spacing w:val="-180"/>
        </w:rPr>
        <w:t>）</w:t>
      </w:r>
      <w:r>
        <w:t>，检测合格后用挖掘机挖出已夯斜坡面多余的土方。</w:t>
      </w:r>
    </w:p>
    <w:p>
      <w:pPr>
        <w:pStyle w:val="BodyText"/>
        <w:tabs>
          <w:tab w:val="left" w:pos="3900"/>
        </w:tabs>
        <w:spacing w:before="2"/>
        <w:ind w:left="1920"/>
      </w:pPr>
      <w:r>
        <w:t>单位：mm</w:t>
        <w:tab/>
        <w:t>、强夯质量检验</w:t>
      </w:r>
    </w:p>
    <w:p>
      <w:pPr>
        <w:pStyle w:val="BodyText"/>
        <w:spacing w:before="241" w:line="364" w:lineRule="auto"/>
        <w:ind w:left="1200" w:right="2738" w:firstLine="719"/>
      </w:pPr>
      <w:r>
        <w:t>1、检查强夯施工过程中的各项测试数据和施工记录，不符合设计要求时应补夯和采取其它有效措施。</w:t>
      </w:r>
    </w:p>
    <w:p>
      <w:pPr>
        <w:pStyle w:val="BodyText"/>
        <w:spacing w:before="2"/>
        <w:ind w:left="1920"/>
      </w:pPr>
      <w:r>
        <w:t>2、本工程强夯施工结束后应间隔 7 天后方能对地基质量进行检验。</w:t>
      </w:r>
    </w:p>
    <w:p>
      <w:pPr>
        <w:pStyle w:val="BodyText"/>
        <w:spacing w:before="241" w:line="364" w:lineRule="auto"/>
        <w:ind w:left="1200" w:right="2696" w:firstLine="719"/>
        <w:jc w:val="both"/>
      </w:pPr>
      <w:r>
        <w:t>3、本工程强夯质量检验方法宜采用原位测试和室内土工试验。为了检验强</w:t>
      </w:r>
      <w:r>
        <w:rPr>
          <w:spacing w:val="-17"/>
        </w:rPr>
        <w:t xml:space="preserve">夯的加固及处理液化效果，强夯后 </w:t>
      </w:r>
      <w:r>
        <w:t>7</w:t>
      </w:r>
      <w:r>
        <w:rPr>
          <w:spacing w:val="-11"/>
        </w:rPr>
        <w:t xml:space="preserve"> 天应选择有资质的检测单位对强夯区域进行</w:t>
      </w:r>
      <w:r>
        <w:t>平板载荷试验、土工取样试验、标准贯入实验、重型（Ⅱ）动力触探实验。</w:t>
      </w:r>
    </w:p>
    <w:p>
      <w:pPr>
        <w:pStyle w:val="BodyText"/>
        <w:spacing w:before="2"/>
        <w:ind w:left="1920"/>
      </w:pPr>
      <w:r>
        <w:t>4、本工程质量检验的数量，每个地块不应少于 3 点；1000m2 以上地块，每</w:t>
      </w:r>
    </w:p>
    <w:p>
      <w:pPr>
        <w:pStyle w:val="BodyText"/>
        <w:spacing w:before="242"/>
        <w:ind w:left="1200"/>
      </w:pPr>
      <w:r>
        <w:t>100m2 至少应有 1 点；3000 m2 以上工程，每 300m2 至少应有 1 点。</w:t>
      </w:r>
    </w:p>
    <w:p>
      <w:pPr>
        <w:pStyle w:val="BodyText"/>
        <w:spacing w:before="5"/>
        <w:rPr>
          <w:sz w:val="42"/>
        </w:rPr>
      </w:pPr>
    </w:p>
    <w:p>
      <w:pPr>
        <w:pStyle w:val="BodyText"/>
        <w:ind w:left="5449"/>
      </w:pPr>
      <w:r>
        <w:drawing>
          <wp:anchor distT="0" distB="0" distL="0" distR="0" simplePos="0" relativeHeight="251675648" behindDoc="1" locked="0" layoutInCell="1" allowOverlap="1">
            <wp:simplePos x="0" y="0"/>
            <wp:positionH relativeFrom="page">
              <wp:posOffset>1066800</wp:posOffset>
            </wp:positionH>
            <wp:positionV relativeFrom="paragraph">
              <wp:posOffset>402208</wp:posOffset>
            </wp:positionV>
            <wp:extent cx="9220200" cy="1866900"/>
            <wp:effectExtent l="0" t="0" r="0" b="0"/>
            <wp:wrapNone/>
            <wp:docPr id="2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1.png"/>
                    <pic:cNvPicPr/>
                  </pic:nvPicPr>
                  <pic:blipFill>
                    <a:blip xmlns:r="http://schemas.openxmlformats.org/officeDocument/2006/relationships" r:embed="rId24" cstate="print"/>
                    <a:stretch>
                      <a:fillRect/>
                    </a:stretch>
                  </pic:blipFill>
                  <pic:spPr>
                    <a:xfrm>
                      <a:off x="0" y="0"/>
                      <a:ext cx="9220200" cy="1866900"/>
                    </a:xfrm>
                    <a:prstGeom prst="rect">
                      <a:avLst/>
                    </a:prstGeom>
                  </pic:spPr>
                </pic:pic>
              </a:graphicData>
            </a:graphic>
          </wp:anchor>
        </w:drawing>
      </w:r>
      <w:r>
        <w:t>人工湖强夯地基验收标准</w:t>
      </w:r>
    </w:p>
    <w:p>
      <w:pPr>
        <w:pStyle w:val="BodyText"/>
        <w:rPr>
          <w:sz w:val="21"/>
        </w:rPr>
      </w:pPr>
    </w:p>
    <w:p>
      <w:pPr>
        <w:spacing w:after="0"/>
        <w:rPr>
          <w:sz w:val="21"/>
        </w:rPr>
        <w:sectPr>
          <w:pgSz w:w="17860" w:h="25260"/>
          <w:pgMar w:top="1920" w:right="0" w:bottom="280" w:left="1500" w:header="708" w:footer="708"/>
          <w:pgNumType w:start="32"/>
          <w:cols w:space="708"/>
        </w:sectPr>
      </w:pPr>
    </w:p>
    <w:p>
      <w:pPr>
        <w:pStyle w:val="BodyText"/>
        <w:spacing w:before="9"/>
        <w:rPr>
          <w:sz w:val="28"/>
        </w:rPr>
      </w:pPr>
    </w:p>
    <w:p>
      <w:pPr>
        <w:tabs>
          <w:tab w:val="left" w:pos="1902"/>
          <w:tab w:val="left" w:pos="4163"/>
        </w:tabs>
        <w:spacing w:before="1"/>
        <w:ind w:left="574" w:right="0" w:firstLine="0"/>
        <w:jc w:val="left"/>
        <w:rPr>
          <w:sz w:val="31"/>
        </w:rPr>
      </w:pPr>
      <w:r>
        <w:rPr>
          <w:sz w:val="31"/>
        </w:rPr>
        <w:t>项目</w:t>
        <w:tab/>
        <w:t>序号</w:t>
        <w:tab/>
        <w:t>检查项目</w:t>
      </w:r>
    </w:p>
    <w:p>
      <w:pPr>
        <w:tabs>
          <w:tab w:val="left" w:pos="2479"/>
        </w:tabs>
        <w:spacing w:before="62" w:line="367" w:lineRule="auto"/>
        <w:ind w:left="574" w:right="38" w:firstLine="237"/>
        <w:jc w:val="left"/>
        <w:rPr>
          <w:sz w:val="31"/>
        </w:rPr>
      </w:pPr>
      <w:r>
        <w:br w:type="column"/>
      </w:r>
      <w:r>
        <w:rPr>
          <w:sz w:val="31"/>
        </w:rPr>
        <w:t>允许偏差或允许</w:t>
      </w:r>
      <w:r>
        <w:rPr>
          <w:spacing w:val="-18"/>
          <w:sz w:val="31"/>
        </w:rPr>
        <w:t>值</w:t>
      </w:r>
      <w:r>
        <w:rPr>
          <w:sz w:val="31"/>
        </w:rPr>
        <w:t>单位</w:t>
        <w:tab/>
        <w:t>数值</w:t>
      </w:r>
    </w:p>
    <w:p>
      <w:pPr>
        <w:pStyle w:val="BodyText"/>
        <w:spacing w:before="9"/>
        <w:rPr>
          <w:sz w:val="28"/>
        </w:rPr>
      </w:pPr>
      <w:r>
        <w:br w:type="column"/>
      </w:r>
    </w:p>
    <w:p>
      <w:pPr>
        <w:spacing w:before="1"/>
        <w:ind w:left="574" w:right="0" w:firstLine="0"/>
        <w:jc w:val="left"/>
        <w:rPr>
          <w:sz w:val="31"/>
        </w:rPr>
      </w:pPr>
      <w:r>
        <w:rPr>
          <w:sz w:val="31"/>
        </w:rPr>
        <w:t>检查方法</w:t>
      </w:r>
    </w:p>
    <w:p>
      <w:pPr>
        <w:spacing w:after="0"/>
        <w:jc w:val="left"/>
        <w:rPr>
          <w:sz w:val="31"/>
        </w:rPr>
        <w:sectPr>
          <w:type w:val="continuous"/>
          <w:pgSz w:w="17860" w:h="25260"/>
          <w:pgMar w:top="1560" w:right="0" w:bottom="280" w:left="1500" w:header="708" w:footer="708"/>
          <w:pgNumType w:start="33"/>
          <w:cols w:num="3" w:space="708" w:equalWidth="0">
            <w:col w:w="5471" w:space="1096"/>
            <w:col w:w="3387" w:space="1446"/>
            <w:col w:w="4960" w:space="0"/>
          </w:cols>
        </w:sectPr>
      </w:pPr>
    </w:p>
    <w:p>
      <w:pPr>
        <w:tabs>
          <w:tab w:val="right" w:pos="2294"/>
        </w:tabs>
        <w:spacing w:before="298"/>
        <w:ind w:left="574" w:right="0" w:firstLine="0"/>
        <w:jc w:val="left"/>
        <w:rPr>
          <w:sz w:val="31"/>
        </w:rPr>
      </w:pPr>
      <w:r>
        <w:rPr>
          <w:sz w:val="31"/>
        </w:rPr>
        <w:t>主控</w:t>
        <w:tab/>
      </w:r>
      <w:r>
        <w:rPr>
          <w:position w:val="1"/>
          <w:sz w:val="31"/>
        </w:rPr>
        <w:t>1</w:t>
      </w:r>
    </w:p>
    <w:p>
      <w:pPr>
        <w:spacing w:before="71" w:line="380" w:lineRule="exact"/>
        <w:ind w:left="574" w:right="0" w:firstLine="0"/>
        <w:jc w:val="left"/>
        <w:rPr>
          <w:sz w:val="31"/>
        </w:rPr>
      </w:pPr>
      <w:r>
        <w:rPr>
          <w:sz w:val="31"/>
        </w:rPr>
        <w:t>项目</w:t>
      </w:r>
    </w:p>
    <w:p>
      <w:pPr>
        <w:spacing w:before="0" w:line="380" w:lineRule="exact"/>
        <w:ind w:left="2136" w:right="0" w:firstLine="0"/>
        <w:jc w:val="left"/>
        <w:rPr>
          <w:sz w:val="31"/>
        </w:rPr>
      </w:pPr>
      <w:r>
        <w:rPr>
          <w:w w:val="102"/>
          <w:sz w:val="31"/>
        </w:rPr>
        <w:t>2</w:t>
      </w:r>
    </w:p>
    <w:p>
      <w:pPr>
        <w:spacing w:before="63" w:line="283" w:lineRule="auto"/>
        <w:ind w:left="574" w:right="38" w:firstLine="0"/>
        <w:jc w:val="left"/>
        <w:rPr>
          <w:sz w:val="31"/>
        </w:rPr>
      </w:pPr>
      <w:r>
        <w:br w:type="column"/>
      </w:r>
      <w:r>
        <w:rPr>
          <w:sz w:val="31"/>
        </w:rPr>
        <w:t>夯锤重、尺寸、落距及夯点布置</w:t>
      </w:r>
    </w:p>
    <w:p>
      <w:pPr>
        <w:spacing w:before="139"/>
        <w:ind w:left="574" w:right="0" w:firstLine="0"/>
        <w:jc w:val="left"/>
        <w:rPr>
          <w:sz w:val="31"/>
        </w:rPr>
      </w:pPr>
      <w:r>
        <w:rPr>
          <w:sz w:val="31"/>
        </w:rPr>
        <w:t>地基承载力</w:t>
      </w:r>
    </w:p>
    <w:p>
      <w:pPr>
        <w:spacing w:before="297"/>
        <w:ind w:left="574" w:right="0" w:firstLine="0"/>
        <w:jc w:val="left"/>
        <w:rPr>
          <w:sz w:val="31"/>
        </w:rPr>
      </w:pPr>
      <w:r>
        <w:br w:type="column"/>
      </w:r>
      <w:r>
        <w:rPr>
          <w:sz w:val="31"/>
        </w:rPr>
        <w:t>设计要求</w:t>
      </w:r>
    </w:p>
    <w:p>
      <w:pPr>
        <w:spacing w:before="445"/>
        <w:ind w:left="574" w:right="0" w:firstLine="0"/>
        <w:jc w:val="left"/>
        <w:rPr>
          <w:sz w:val="31"/>
        </w:rPr>
      </w:pPr>
      <w:r>
        <w:rPr>
          <w:sz w:val="31"/>
        </w:rPr>
        <w:t>≥200Mpa</w:t>
      </w:r>
    </w:p>
    <w:p>
      <w:pPr>
        <w:spacing w:before="63" w:line="283" w:lineRule="auto"/>
        <w:ind w:left="891" w:right="2796" w:firstLine="0"/>
        <w:jc w:val="center"/>
        <w:rPr>
          <w:sz w:val="31"/>
        </w:rPr>
      </w:pPr>
      <w:r>
        <w:br w:type="column"/>
      </w:r>
      <w:r>
        <w:rPr>
          <w:sz w:val="31"/>
        </w:rPr>
        <w:t>检查施工记录并观察检查</w:t>
      </w:r>
    </w:p>
    <w:p>
      <w:pPr>
        <w:spacing w:before="139"/>
        <w:ind w:left="583" w:right="2488" w:firstLine="0"/>
        <w:jc w:val="center"/>
        <w:rPr>
          <w:sz w:val="31"/>
        </w:rPr>
      </w:pPr>
      <w:r>
        <w:rPr>
          <w:sz w:val="31"/>
        </w:rPr>
        <w:t>检查地基检测报告</w:t>
      </w:r>
    </w:p>
    <w:p>
      <w:pPr>
        <w:spacing w:after="0"/>
        <w:jc w:val="center"/>
        <w:rPr>
          <w:sz w:val="31"/>
        </w:rPr>
        <w:sectPr>
          <w:type w:val="continuous"/>
          <w:pgSz w:w="17860" w:h="25260"/>
          <w:pgMar w:top="1560" w:right="0" w:bottom="280" w:left="1500" w:header="708" w:footer="708"/>
          <w:pgNumType w:start="34"/>
          <w:cols w:num="4" w:space="708" w:equalWidth="0">
            <w:col w:w="2336" w:space="109"/>
            <w:col w:w="4100" w:space="890"/>
            <w:col w:w="1882" w:space="1451"/>
            <w:col w:w="5592" w:space="0"/>
          </w:cols>
        </w:sectPr>
      </w:pPr>
    </w:p>
    <w:p>
      <w:pPr>
        <w:pStyle w:val="BodyText"/>
        <w:ind w:left="180"/>
        <w:rPr>
          <w:sz w:val="20"/>
        </w:rPr>
      </w:pPr>
      <w:r>
        <w:rPr>
          <w:sz w:val="20"/>
        </w:rPr>
        <w:pict>
          <v:group id="_x0000_i1134" style="width:726pt;height:171pt;mso-position-horizontal-relative:char;mso-position-vertical-relative:line" coordorigin="0,0" coordsize="14520,3420">
            <v:shape id="_x0000_s1135" type="#_x0000_t75" style="width:14520;height:3420;position:absolute" stroked="f">
              <v:imagedata r:id="rId25" o:title=""/>
            </v:shape>
            <v:shape id="_x0000_s1136" type="#_x0000_t202" style="width:179;height:317;left:1956;position:absolute;top:189" filled="f" stroked="f">
              <v:textbox inset="0,0,0,0">
                <w:txbxContent>
                  <w:p>
                    <w:pPr>
                      <w:spacing w:before="0" w:line="317" w:lineRule="exact"/>
                      <w:ind w:left="0" w:right="0" w:firstLine="0"/>
                      <w:jc w:val="left"/>
                      <w:rPr>
                        <w:sz w:val="31"/>
                      </w:rPr>
                    </w:pPr>
                    <w:r>
                      <w:rPr>
                        <w:w w:val="102"/>
                        <w:sz w:val="31"/>
                      </w:rPr>
                      <w:t>1</w:t>
                    </w:r>
                  </w:p>
                </w:txbxContent>
              </v:textbox>
            </v:shape>
            <v:shape id="_x0000_s1137" type="#_x0000_t202" style="width:1921;height:317;left:2838;position:absolute;top:189" filled="f" stroked="f">
              <v:textbox inset="0,0,0,0">
                <w:txbxContent>
                  <w:p>
                    <w:pPr>
                      <w:spacing w:before="0" w:line="317" w:lineRule="exact"/>
                      <w:ind w:left="0" w:right="0" w:firstLine="0"/>
                      <w:jc w:val="left"/>
                      <w:rPr>
                        <w:sz w:val="31"/>
                      </w:rPr>
                    </w:pPr>
                    <w:r>
                      <w:rPr>
                        <w:sz w:val="31"/>
                      </w:rPr>
                      <w:t>夯后整平标高</w:t>
                    </w:r>
                  </w:p>
                </w:txbxContent>
              </v:textbox>
            </v:shape>
            <v:shape id="_x0000_s1138" type="#_x0000_t202" style="width:337;height:317;left:7116;position:absolute;top:189" filled="f" stroked="f">
              <v:textbox inset="0,0,0,0">
                <w:txbxContent>
                  <w:p>
                    <w:pPr>
                      <w:spacing w:before="0" w:line="317" w:lineRule="exact"/>
                      <w:ind w:left="0" w:right="0" w:firstLine="0"/>
                      <w:jc w:val="left"/>
                      <w:rPr>
                        <w:sz w:val="31"/>
                      </w:rPr>
                    </w:pPr>
                    <w:r>
                      <w:rPr>
                        <w:sz w:val="31"/>
                      </w:rPr>
                      <w:t>mm</w:t>
                    </w:r>
                  </w:p>
                </w:txbxContent>
              </v:textbox>
            </v:shape>
            <v:shape id="_x0000_s1139" type="#_x0000_t202" style="width:1284;height:317;left:8632;position:absolute;top:189" filled="f" stroked="f">
              <v:textbox inset="0,0,0,0">
                <w:txbxContent>
                  <w:p>
                    <w:pPr>
                      <w:spacing w:before="0" w:line="317" w:lineRule="exact"/>
                      <w:ind w:left="0" w:right="0" w:firstLine="0"/>
                      <w:jc w:val="left"/>
                      <w:rPr>
                        <w:sz w:val="31"/>
                      </w:rPr>
                    </w:pPr>
                    <w:r>
                      <w:rPr>
                        <w:sz w:val="31"/>
                      </w:rPr>
                      <w:t>+20，-50</w:t>
                    </w:r>
                  </w:p>
                </w:txbxContent>
              </v:textbox>
            </v:shape>
            <v:shape id="_x0000_s1140" type="#_x0000_t202" style="width:1288;height:317;left:11794;position:absolute;top:189" filled="f" stroked="f">
              <v:textbox inset="0,0,0,0">
                <w:txbxContent>
                  <w:p>
                    <w:pPr>
                      <w:spacing w:before="0" w:line="317" w:lineRule="exact"/>
                      <w:ind w:left="0" w:right="0" w:firstLine="0"/>
                      <w:jc w:val="left"/>
                      <w:rPr>
                        <w:sz w:val="31"/>
                      </w:rPr>
                    </w:pPr>
                    <w:r>
                      <w:rPr>
                        <w:sz w:val="31"/>
                      </w:rPr>
                      <w:t>水准仪测</w:t>
                    </w:r>
                  </w:p>
                </w:txbxContent>
              </v:textbox>
            </v:shape>
            <v:shape id="_x0000_s1141" type="#_x0000_t202" style="width:179;height:317;left:1956;position:absolute;top:798" filled="f" stroked="f">
              <v:textbox inset="0,0,0,0">
                <w:txbxContent>
                  <w:p>
                    <w:pPr>
                      <w:spacing w:before="0" w:line="317" w:lineRule="exact"/>
                      <w:ind w:left="0" w:right="0" w:firstLine="0"/>
                      <w:jc w:val="left"/>
                      <w:rPr>
                        <w:sz w:val="31"/>
                      </w:rPr>
                    </w:pPr>
                    <w:r>
                      <w:rPr>
                        <w:w w:val="102"/>
                        <w:sz w:val="31"/>
                      </w:rPr>
                      <w:t>2</w:t>
                    </w:r>
                  </w:p>
                </w:txbxContent>
              </v:textbox>
            </v:shape>
            <v:shape id="_x0000_s1142" type="#_x0000_t202" style="width:2238;height:317;left:2838;position:absolute;top:798" filled="f" stroked="f">
              <v:textbox inset="0,0,0,0">
                <w:txbxContent>
                  <w:p>
                    <w:pPr>
                      <w:spacing w:before="0" w:line="317" w:lineRule="exact"/>
                      <w:ind w:left="0" w:right="0" w:firstLine="0"/>
                      <w:jc w:val="left"/>
                      <w:rPr>
                        <w:sz w:val="31"/>
                      </w:rPr>
                    </w:pPr>
                    <w:r>
                      <w:rPr>
                        <w:sz w:val="31"/>
                      </w:rPr>
                      <w:t>夯击遍数及顺序</w:t>
                    </w:r>
                  </w:p>
                </w:txbxContent>
              </v:textbox>
            </v:shape>
            <v:shape id="_x0000_s1143" type="#_x0000_t202" style="width:1288;height:317;left:7829;position:absolute;top:798" filled="f" stroked="f">
              <v:textbox inset="0,0,0,0">
                <w:txbxContent>
                  <w:p>
                    <w:pPr>
                      <w:spacing w:before="0" w:line="317" w:lineRule="exact"/>
                      <w:ind w:left="0" w:right="0" w:firstLine="0"/>
                      <w:jc w:val="left"/>
                      <w:rPr>
                        <w:sz w:val="31"/>
                      </w:rPr>
                    </w:pPr>
                    <w:r>
                      <w:rPr>
                        <w:sz w:val="31"/>
                      </w:rPr>
                      <w:t>设计要求</w:t>
                    </w:r>
                  </w:p>
                </w:txbxContent>
              </v:textbox>
            </v:shape>
            <v:shape id="_x0000_s1144" type="#_x0000_t202" style="width:654;height:785;left:394;position:absolute;top:1345" filled="f" stroked="f">
              <v:textbox inset="0,0,0,0">
                <w:txbxContent>
                  <w:p>
                    <w:pPr>
                      <w:spacing w:before="0" w:line="359" w:lineRule="exact"/>
                      <w:ind w:left="0" w:right="0" w:firstLine="0"/>
                      <w:jc w:val="left"/>
                      <w:rPr>
                        <w:sz w:val="31"/>
                      </w:rPr>
                    </w:pPr>
                    <w:r>
                      <w:rPr>
                        <w:sz w:val="31"/>
                      </w:rPr>
                      <w:t>一般</w:t>
                    </w:r>
                  </w:p>
                  <w:p>
                    <w:pPr>
                      <w:spacing w:before="71" w:line="355" w:lineRule="exact"/>
                      <w:ind w:left="0" w:right="0" w:firstLine="0"/>
                      <w:jc w:val="left"/>
                      <w:rPr>
                        <w:sz w:val="31"/>
                      </w:rPr>
                    </w:pPr>
                    <w:r>
                      <w:rPr>
                        <w:sz w:val="31"/>
                      </w:rPr>
                      <w:t>项目</w:t>
                    </w:r>
                  </w:p>
                </w:txbxContent>
              </v:textbox>
            </v:shape>
            <v:shape id="_x0000_s1145" type="#_x0000_t202" style="width:179;height:317;left:1956;position:absolute;top:1579" filled="f" stroked="f">
              <v:textbox inset="0,0,0,0">
                <w:txbxContent>
                  <w:p>
                    <w:pPr>
                      <w:spacing w:before="0" w:line="317" w:lineRule="exact"/>
                      <w:ind w:left="0" w:right="0" w:firstLine="0"/>
                      <w:jc w:val="left"/>
                      <w:rPr>
                        <w:sz w:val="31"/>
                      </w:rPr>
                    </w:pPr>
                    <w:r>
                      <w:rPr>
                        <w:w w:val="102"/>
                        <w:sz w:val="31"/>
                      </w:rPr>
                      <w:t>3</w:t>
                    </w:r>
                  </w:p>
                </w:txbxContent>
              </v:textbox>
            </v:shape>
            <v:shape id="_x0000_s1146" type="#_x0000_t202" style="width:1288;height:317;left:2838;position:absolute;top:1579" filled="f" stroked="f">
              <v:textbox inset="0,0,0,0">
                <w:txbxContent>
                  <w:p>
                    <w:pPr>
                      <w:spacing w:before="0" w:line="317" w:lineRule="exact"/>
                      <w:ind w:left="0" w:right="0" w:firstLine="0"/>
                      <w:jc w:val="left"/>
                      <w:rPr>
                        <w:sz w:val="31"/>
                      </w:rPr>
                    </w:pPr>
                    <w:r>
                      <w:rPr>
                        <w:sz w:val="31"/>
                      </w:rPr>
                      <w:t>夯点位置</w:t>
                    </w:r>
                  </w:p>
                </w:txbxContent>
              </v:textbox>
            </v:shape>
            <v:shape id="_x0000_s1147" type="#_x0000_t202" style="width:337;height:317;left:7116;position:absolute;top:1579" filled="f" stroked="f">
              <v:textbox inset="0,0,0,0">
                <w:txbxContent>
                  <w:p>
                    <w:pPr>
                      <w:spacing w:before="0" w:line="317" w:lineRule="exact"/>
                      <w:ind w:left="0" w:right="0" w:firstLine="0"/>
                      <w:jc w:val="left"/>
                      <w:rPr>
                        <w:sz w:val="31"/>
                      </w:rPr>
                    </w:pPr>
                    <w:r>
                      <w:rPr>
                        <w:sz w:val="31"/>
                      </w:rPr>
                      <w:t>mm</w:t>
                    </w:r>
                  </w:p>
                </w:txbxContent>
              </v:textbox>
            </v:shape>
            <v:shape id="_x0000_s1148" type="#_x0000_t202" style="width:496;height:317;left:8945;position:absolute;top:1579" filled="f" stroked="f">
              <v:textbox inset="0,0,0,0">
                <w:txbxContent>
                  <w:p>
                    <w:pPr>
                      <w:spacing w:before="0" w:line="317" w:lineRule="exact"/>
                      <w:ind w:left="0" w:right="0" w:firstLine="0"/>
                      <w:jc w:val="left"/>
                      <w:rPr>
                        <w:sz w:val="31"/>
                      </w:rPr>
                    </w:pPr>
                    <w:r>
                      <w:rPr>
                        <w:sz w:val="31"/>
                      </w:rPr>
                      <w:t>150</w:t>
                    </w:r>
                  </w:p>
                </w:txbxContent>
              </v:textbox>
            </v:shape>
            <v:shape id="_x0000_s1149" type="#_x0000_t202" style="width:179;height:317;left:1956;position:absolute;top:2360" filled="f" stroked="f">
              <v:textbox inset="0,0,0,0">
                <w:txbxContent>
                  <w:p>
                    <w:pPr>
                      <w:spacing w:before="0" w:line="317" w:lineRule="exact"/>
                      <w:ind w:left="0" w:right="0" w:firstLine="0"/>
                      <w:jc w:val="left"/>
                      <w:rPr>
                        <w:sz w:val="31"/>
                      </w:rPr>
                    </w:pPr>
                    <w:r>
                      <w:rPr>
                        <w:w w:val="102"/>
                        <w:sz w:val="31"/>
                      </w:rPr>
                      <w:t>4</w:t>
                    </w:r>
                  </w:p>
                </w:txbxContent>
              </v:textbox>
            </v:shape>
            <v:shape id="_x0000_s1150" type="#_x0000_t202" style="width:1288;height:317;left:2838;position:absolute;top:2360" filled="f" stroked="f">
              <v:textbox inset="0,0,0,0">
                <w:txbxContent>
                  <w:p>
                    <w:pPr>
                      <w:spacing w:before="0" w:line="317" w:lineRule="exact"/>
                      <w:ind w:left="0" w:right="0" w:firstLine="0"/>
                      <w:jc w:val="left"/>
                      <w:rPr>
                        <w:sz w:val="31"/>
                      </w:rPr>
                    </w:pPr>
                    <w:r>
                      <w:rPr>
                        <w:sz w:val="31"/>
                      </w:rPr>
                      <w:t>夯击范围</w:t>
                    </w:r>
                  </w:p>
                </w:txbxContent>
              </v:textbox>
            </v:shape>
            <v:shape id="_x0000_s1151" type="#_x0000_t202" style="width:1288;height:317;left:7829;position:absolute;top:2360" filled="f" stroked="f">
              <v:textbox inset="0,0,0,0">
                <w:txbxContent>
                  <w:p>
                    <w:pPr>
                      <w:spacing w:before="0" w:line="317" w:lineRule="exact"/>
                      <w:ind w:left="0" w:right="0" w:firstLine="0"/>
                      <w:jc w:val="left"/>
                      <w:rPr>
                        <w:sz w:val="31"/>
                      </w:rPr>
                    </w:pPr>
                    <w:r>
                      <w:rPr>
                        <w:sz w:val="31"/>
                      </w:rPr>
                      <w:t>设计要求</w:t>
                    </w:r>
                  </w:p>
                </w:txbxContent>
              </v:textbox>
            </v:shape>
            <v:shape id="_x0000_s1152" type="#_x0000_t202" style="width:3822;height:1880;left:10533;position:absolute;top:798" filled="f" stroked="f">
              <v:textbox inset="0,0,0,0">
                <w:txbxContent>
                  <w:p>
                    <w:pPr>
                      <w:spacing w:before="0" w:line="359" w:lineRule="exact"/>
                      <w:ind w:left="0" w:right="30" w:firstLine="0"/>
                      <w:jc w:val="center"/>
                      <w:rPr>
                        <w:sz w:val="31"/>
                      </w:rPr>
                    </w:pPr>
                    <w:r>
                      <w:rPr>
                        <w:sz w:val="31"/>
                      </w:rPr>
                      <w:t>计数法</w:t>
                    </w:r>
                  </w:p>
                  <w:p>
                    <w:pPr>
                      <w:spacing w:before="150" w:line="283" w:lineRule="auto"/>
                      <w:ind w:left="0" w:right="18" w:firstLine="0"/>
                      <w:jc w:val="center"/>
                      <w:rPr>
                        <w:sz w:val="31"/>
                      </w:rPr>
                    </w:pPr>
                    <w:r>
                      <w:rPr>
                        <w:sz w:val="31"/>
                      </w:rPr>
                      <w:t>用经纬仪或拉线和钢尺测量纵横两个方向</w:t>
                    </w:r>
                  </w:p>
                  <w:p>
                    <w:pPr>
                      <w:spacing w:before="78" w:line="355" w:lineRule="exact"/>
                      <w:ind w:left="0" w:right="30" w:firstLine="0"/>
                      <w:jc w:val="center"/>
                      <w:rPr>
                        <w:sz w:val="31"/>
                      </w:rPr>
                    </w:pPr>
                    <w:r>
                      <w:rPr>
                        <w:sz w:val="31"/>
                      </w:rPr>
                      <w:t>用钢尺量</w:t>
                    </w:r>
                  </w:p>
                </w:txbxContent>
              </v:textbox>
            </v:shape>
            <v:shape id="_x0000_s1153" type="#_x0000_t202" style="width:179;height:317;left:1956;position:absolute;top:2972" filled="f" stroked="f">
              <v:textbox inset="0,0,0,0">
                <w:txbxContent>
                  <w:p>
                    <w:pPr>
                      <w:spacing w:before="0" w:line="317" w:lineRule="exact"/>
                      <w:ind w:left="0" w:right="0" w:firstLine="0"/>
                      <w:jc w:val="left"/>
                      <w:rPr>
                        <w:sz w:val="31"/>
                      </w:rPr>
                    </w:pPr>
                    <w:r>
                      <w:rPr>
                        <w:w w:val="102"/>
                        <w:sz w:val="31"/>
                      </w:rPr>
                      <w:t>5</w:t>
                    </w:r>
                  </w:p>
                </w:txbxContent>
              </v:textbox>
            </v:shape>
            <v:shape id="_x0000_s1154" type="#_x0000_t202" style="width:2555;height:317;left:2838;position:absolute;top:2972" filled="f" stroked="f">
              <v:textbox inset="0,0,0,0">
                <w:txbxContent>
                  <w:p>
                    <w:pPr>
                      <w:spacing w:before="0" w:line="317" w:lineRule="exact"/>
                      <w:ind w:left="0" w:right="0" w:firstLine="0"/>
                      <w:jc w:val="left"/>
                      <w:rPr>
                        <w:sz w:val="31"/>
                      </w:rPr>
                    </w:pPr>
                    <w:r>
                      <w:rPr>
                        <w:sz w:val="31"/>
                      </w:rPr>
                      <w:t>前后两遍间隔时间</w:t>
                    </w:r>
                  </w:p>
                </w:txbxContent>
              </v:textbox>
            </v:shape>
            <v:shape id="_x0000_s1155" type="#_x0000_t202" style="width:1288;height:317;left:7829;position:absolute;top:2972" filled="f" stroked="f">
              <v:textbox inset="0,0,0,0">
                <w:txbxContent>
                  <w:p>
                    <w:pPr>
                      <w:spacing w:before="0" w:line="317" w:lineRule="exact"/>
                      <w:ind w:left="0" w:right="0" w:firstLine="0"/>
                      <w:jc w:val="left"/>
                      <w:rPr>
                        <w:sz w:val="31"/>
                      </w:rPr>
                    </w:pPr>
                    <w:r>
                      <w:rPr>
                        <w:sz w:val="31"/>
                      </w:rPr>
                      <w:t>设计要求</w:t>
                    </w:r>
                  </w:p>
                </w:txbxContent>
              </v:textbox>
            </v:shape>
            <w10:wrap type="none"/>
          </v:group>
        </w:pict>
      </w:r>
    </w:p>
    <w:p>
      <w:pPr>
        <w:pStyle w:val="BodyText"/>
        <w:spacing w:before="101" w:line="362" w:lineRule="auto"/>
        <w:ind w:left="1380" w:right="11558" w:hanging="180"/>
      </w:pPr>
      <w:r>
        <w:t>、排洪箱涵基础施工  1</w:t>
      </w:r>
      <w:r>
        <w:rPr>
          <w:spacing w:val="-2"/>
        </w:rPr>
        <w:t>、排洪箱涵基础开挖</w:t>
      </w:r>
    </w:p>
    <w:p>
      <w:pPr>
        <w:pStyle w:val="BodyText"/>
        <w:spacing w:before="7" w:line="364" w:lineRule="auto"/>
        <w:ind w:left="1200" w:right="2696" w:firstLine="719"/>
        <w:jc w:val="both"/>
      </w:pPr>
      <w:r>
        <w:rPr>
          <w:spacing w:val="1"/>
        </w:rPr>
        <w:t xml:space="preserve">根据人工湖设计要求 </w:t>
      </w:r>
      <w:r>
        <w:t>4#地块完成强夯作业后要达到如下指标：承载力特征值≥200Kpa，</w:t>
      </w:r>
      <w:r>
        <w:rPr>
          <w:spacing w:val="-5"/>
        </w:rPr>
        <w:t xml:space="preserve">强夯后回填土压实系数≥，排洪箱涵 </w:t>
      </w:r>
      <w:r>
        <w:t>K0+010~ K0+060</w:t>
      </w:r>
      <w:r>
        <w:rPr>
          <w:spacing w:val="-16"/>
        </w:rPr>
        <w:t xml:space="preserve"> 段在人工湖</w:t>
      </w:r>
    </w:p>
    <w:p>
      <w:pPr>
        <w:pStyle w:val="BodyText"/>
        <w:spacing w:before="3" w:line="364" w:lineRule="auto"/>
        <w:ind w:left="1200" w:right="2692"/>
        <w:jc w:val="both"/>
      </w:pPr>
      <w:r>
        <w:t>（人工湖</w:t>
      </w:r>
      <w:r>
        <w:rPr>
          <w:spacing w:val="-166"/>
        </w:rPr>
        <w:t>）</w:t>
      </w:r>
      <w:r>
        <w:rPr>
          <w:spacing w:val="-18"/>
        </w:rPr>
        <w:t xml:space="preserve">基础工程 </w:t>
      </w:r>
      <w:r>
        <w:t>4#</w:t>
      </w:r>
      <w:r>
        <w:rPr>
          <w:spacing w:val="-22"/>
        </w:rPr>
        <w:t>地块范围内。根据排洪箱涵的设计放坡比，</w:t>
      </w:r>
      <w:r>
        <w:t>K0+010~</w:t>
      </w:r>
      <w:r>
        <w:rPr>
          <w:spacing w:val="-90"/>
        </w:rPr>
        <w:t xml:space="preserve"> </w:t>
      </w:r>
      <w:r>
        <w:rPr>
          <w:spacing w:val="-3"/>
        </w:rPr>
        <w:t>K0+060</w:t>
      </w:r>
      <w:r>
        <w:t>段排洪箱涵基础开挖深度为 5~7m，根据《土方与爆破工程施工及验收规范</w:t>
      </w:r>
      <w:r>
        <w:rPr>
          <w:spacing w:val="7"/>
        </w:rPr>
        <w:t xml:space="preserve">（GB </w:t>
      </w:r>
      <w:r>
        <w:t>5020</w:t>
      </w:r>
      <w:r>
        <w:rPr>
          <w:spacing w:val="-1"/>
        </w:rPr>
        <w:t>1</w:t>
      </w:r>
      <w:r>
        <w:t>—2012</w:t>
      </w:r>
      <w:r>
        <w:rPr>
          <w:spacing w:val="-180"/>
        </w:rPr>
        <w:t>）</w:t>
      </w:r>
      <w:r>
        <w:rPr>
          <w:spacing w:val="-6"/>
        </w:rPr>
        <w:t xml:space="preserve">》第相关规定本工程开挖沟槽采用 </w:t>
      </w:r>
      <w:r>
        <w:t>1:1</w:t>
      </w:r>
      <w:r>
        <w:rPr>
          <w:spacing w:val="-10"/>
        </w:rPr>
        <w:t xml:space="preserve"> 的边坡坡度及开挖台阶。</w:t>
      </w:r>
    </w:p>
    <w:p>
      <w:pPr>
        <w:pStyle w:val="BodyText"/>
      </w:pPr>
    </w:p>
    <w:p>
      <w:pPr>
        <w:pStyle w:val="BodyText"/>
      </w:pPr>
    </w:p>
    <w:p>
      <w:pPr>
        <w:pStyle w:val="BodyText"/>
        <w:spacing w:before="10"/>
        <w:rPr>
          <w:sz w:val="37"/>
        </w:rPr>
      </w:pPr>
    </w:p>
    <w:p>
      <w:pPr>
        <w:pStyle w:val="BodyText"/>
        <w:spacing w:line="357" w:lineRule="auto"/>
        <w:ind w:left="1200" w:right="2685" w:firstLine="629"/>
        <w:jc w:val="both"/>
      </w:pPr>
      <w:r>
        <w:rPr>
          <w:position w:val="-3"/>
          <w:sz w:val="31"/>
        </w:rPr>
        <w:t>开挖剖面图</w:t>
      </w:r>
      <w:r>
        <w:rPr>
          <w:spacing w:val="-3"/>
          <w:position w:val="-3"/>
          <w:sz w:val="31"/>
        </w:rPr>
        <w:t>（mm）</w:t>
      </w:r>
      <w:r>
        <w:rPr>
          <w:spacing w:val="61"/>
          <w:position w:val="-3"/>
          <w:sz w:val="31"/>
        </w:rPr>
        <w:t xml:space="preserve"> </w:t>
      </w:r>
      <w:r>
        <w:rPr>
          <w:spacing w:val="-1"/>
        </w:rPr>
        <w:t>、排洪箱涵完成结构施工后需进行台背回填，根据《人工</w:t>
      </w:r>
      <w:r>
        <w:rPr>
          <w:spacing w:val="-12"/>
        </w:rPr>
        <w:t>湖设计施工说明》第条要求，回填压实密度应≥，所以在排洪箱涵基础两侧各预</w:t>
      </w:r>
      <w:r>
        <w:rPr>
          <w:spacing w:val="-39"/>
        </w:rPr>
        <w:t xml:space="preserve">留约 </w:t>
      </w:r>
      <w:r>
        <w:t>3m</w:t>
      </w:r>
      <w:r>
        <w:rPr>
          <w:spacing w:val="-10"/>
        </w:rPr>
        <w:t xml:space="preserve"> 的宽度以便机械摊铺及碾压作业。</w:t>
      </w:r>
    </w:p>
    <w:p>
      <w:pPr>
        <w:pStyle w:val="BodyText"/>
        <w:spacing w:before="19" w:line="364" w:lineRule="auto"/>
        <w:ind w:left="1200" w:right="2511" w:firstLine="719"/>
      </w:pPr>
      <w:r>
        <w:t>3</w:t>
      </w:r>
      <w:r>
        <w:rPr>
          <w:spacing w:val="-18"/>
        </w:rPr>
        <w:t>、排洪箱涵完成结构施工后的台背回填工作需分层填筑分层碾压，根据《人</w:t>
      </w:r>
      <w:r>
        <w:rPr>
          <w:spacing w:val="-30"/>
        </w:rPr>
        <w:t xml:space="preserve">工湖设计施工说明》条要求，分层填筑厚度不大于 </w:t>
      </w:r>
      <w:r>
        <w:t>40cm</w:t>
      </w:r>
      <w:r>
        <w:rPr>
          <w:spacing w:val="-27"/>
        </w:rPr>
        <w:t xml:space="preserve">，回填料粒径不大于 </w:t>
      </w:r>
      <w:r>
        <w:rPr>
          <w:spacing w:val="-3"/>
        </w:rPr>
        <w:t>30cm，</w:t>
      </w:r>
      <w:r>
        <w:rPr>
          <w:spacing w:val="-10"/>
        </w:rPr>
        <w:t xml:space="preserve">每层回填完成后用 </w:t>
      </w:r>
      <w:r>
        <w:t>20T</w:t>
      </w:r>
      <w:r>
        <w:rPr>
          <w:spacing w:val="-10"/>
        </w:rPr>
        <w:t xml:space="preserve"> 压路机碾压以达到压实度≥的要求。</w:t>
      </w:r>
    </w:p>
    <w:p>
      <w:pPr>
        <w:pStyle w:val="BodyText"/>
        <w:spacing w:before="2"/>
        <w:ind w:left="1740"/>
      </w:pPr>
      <w:r>
        <w:t>4、雨季及安全施工措施</w:t>
      </w:r>
    </w:p>
    <w:p>
      <w:pPr>
        <w:pStyle w:val="BodyText"/>
        <w:spacing w:before="241" w:line="364" w:lineRule="auto"/>
        <w:ind w:left="1200" w:right="2736"/>
      </w:pPr>
      <w:r>
        <w:t>1、作好施工区内的排水沟、引水沟，保证强夯范围内特别是填方边坡区不受水雨侵蚀，冲刷。</w:t>
      </w:r>
    </w:p>
    <w:p>
      <w:pPr>
        <w:pStyle w:val="BodyText"/>
        <w:spacing w:before="2" w:line="364" w:lineRule="auto"/>
        <w:ind w:left="1200" w:right="2738" w:firstLine="719"/>
      </w:pPr>
      <w:r>
        <w:t>2、因强夯施工的特殊性，避免因在阴雨天施工作业造成质量隐患及安全事故所以强夯施工时选在晴天，雨天严禁施工作业。</w:t>
      </w:r>
    </w:p>
    <w:p>
      <w:pPr>
        <w:pStyle w:val="BodyText"/>
        <w:spacing w:before="3" w:line="364" w:lineRule="auto"/>
        <w:ind w:left="1200" w:right="2556" w:firstLine="719"/>
      </w:pPr>
      <w:r>
        <w:t>3、人工湖范围内大部分区域都是填方且部分地块之间高差还很大，需切实</w:t>
      </w:r>
      <w:r>
        <w:rPr>
          <w:spacing w:val="-11"/>
        </w:rPr>
        <w:t>做好安全警示防护，在人工湖内便道出入口应设置醒目的警示标志，在边坡区应</w:t>
      </w:r>
      <w:r>
        <w:rPr>
          <w:spacing w:val="-14"/>
        </w:rPr>
        <w:t>拉设警示带。同时避免连续阴雨天气造成边坡坍塌，安排专职人员定期检查，做</w:t>
      </w:r>
      <w:r>
        <w:rPr>
          <w:spacing w:val="-15"/>
        </w:rPr>
        <w:t xml:space="preserve">好沉降观测，在施工中如发现局部边坡位移较大或塌方现象，须立即停止施工， </w:t>
      </w:r>
      <w:r>
        <w:t>根据现场情况适当调整坡率。</w:t>
      </w:r>
    </w:p>
    <w:p>
      <w:pPr>
        <w:spacing w:after="0" w:line="364" w:lineRule="auto"/>
        <w:sectPr>
          <w:pgSz w:w="17860" w:h="25260"/>
          <w:pgMar w:top="1820" w:right="0" w:bottom="280" w:left="1500" w:header="708" w:footer="708"/>
          <w:pgNumType w:start="35"/>
          <w:cols w:space="708"/>
        </w:sectPr>
      </w:pPr>
    </w:p>
    <w:p>
      <w:pPr>
        <w:pStyle w:val="BodyText"/>
        <w:spacing w:before="35" w:line="364" w:lineRule="auto"/>
        <w:ind w:left="1200" w:right="2700" w:firstLine="719"/>
        <w:jc w:val="both"/>
      </w:pPr>
      <w:r>
        <w:t xml:space="preserve">4、施工期间加强滑坡的监测监控，对点位有变化需立即停止现场的施工， </w:t>
      </w:r>
      <w:r>
        <w:rPr>
          <w:spacing w:val="-14"/>
        </w:rPr>
        <w:t>加密观测次数，仔细分析点位的变动原因，确定具体处理方法施工前必须做好截</w:t>
      </w:r>
      <w:r>
        <w:t>水沟和排水沟。如施工过程中发现水量过大，及时增设井点处理。</w:t>
      </w:r>
    </w:p>
    <w:p>
      <w:pPr>
        <w:pStyle w:val="BodyText"/>
        <w:spacing w:before="4" w:line="364" w:lineRule="auto"/>
        <w:ind w:left="1200" w:right="2697" w:firstLine="719"/>
        <w:jc w:val="both"/>
      </w:pPr>
      <w:r>
        <w:t>5、在强夯施工过程中，为避免强夯溅射飞石造成人员伤害，应在强夯作业</w:t>
      </w:r>
      <w:r>
        <w:rPr>
          <w:spacing w:val="-23"/>
        </w:rPr>
        <w:t xml:space="preserve">区域外 </w:t>
      </w:r>
      <w:r>
        <w:t>10m</w:t>
      </w:r>
      <w:r>
        <w:rPr>
          <w:spacing w:val="-17"/>
        </w:rPr>
        <w:t xml:space="preserve"> 拉设警示带并安排专职人员值守，如有人员及车辆确实要通过强夯作</w:t>
      </w:r>
      <w:r>
        <w:rPr>
          <w:spacing w:val="-14"/>
        </w:rPr>
        <w:t>业区，强夯机应暂停强夯作业，待人员或车辆通过作业区域一定范围后再进行施</w:t>
      </w:r>
      <w:r>
        <w:t>工作业。</w:t>
      </w:r>
    </w:p>
    <w:p>
      <w:pPr>
        <w:pStyle w:val="BodyText"/>
        <w:spacing w:before="5"/>
        <w:rPr>
          <w:sz w:val="29"/>
        </w:rPr>
      </w:pPr>
    </w:p>
    <w:p>
      <w:pPr>
        <w:pStyle w:val="Heading2"/>
      </w:pPr>
      <w:r>
        <w:t>、景观处理工程</w:t>
      </w:r>
    </w:p>
    <w:p>
      <w:pPr>
        <w:pStyle w:val="BodyText"/>
        <w:spacing w:before="12"/>
        <w:rPr>
          <w:b/>
          <w:sz w:val="59"/>
        </w:rPr>
      </w:pPr>
    </w:p>
    <w:p>
      <w:pPr>
        <w:pStyle w:val="BodyText"/>
        <w:spacing w:line="364" w:lineRule="auto"/>
        <w:ind w:left="1200" w:right="2691" w:firstLine="719"/>
        <w:jc w:val="both"/>
      </w:pPr>
      <w:r>
        <w:rPr>
          <w:spacing w:val="-11"/>
        </w:rPr>
        <w:t>根据人工湖景观设计，人工湖西湖主湖区水体较深，湖岸采用斜坡护岸的结</w:t>
      </w:r>
      <w:r>
        <w:rPr>
          <w:spacing w:val="-14"/>
        </w:rPr>
        <w:t xml:space="preserve">构型式，岸坡基底设置砂卵石减压层，湖底及湖岸采用 </w:t>
      </w:r>
      <w:r>
        <w:t>HDPE</w:t>
      </w:r>
      <w:r>
        <w:rPr>
          <w:spacing w:val="-10"/>
        </w:rPr>
        <w:t xml:space="preserve"> 复合土工膜防渗， </w:t>
      </w:r>
      <w:r>
        <w:rPr>
          <w:spacing w:val="-21"/>
        </w:rPr>
        <w:t xml:space="preserve">土工膜下铺设 </w:t>
      </w:r>
      <w:r>
        <w:t>30cm</w:t>
      </w:r>
      <w:r>
        <w:rPr>
          <w:spacing w:val="-15"/>
        </w:rPr>
        <w:t xml:space="preserve"> 厚砂卵石垫层，土工膜上设置 </w:t>
      </w:r>
      <w:r>
        <w:t>20cm</w:t>
      </w:r>
      <w:r>
        <w:rPr>
          <w:spacing w:val="-20"/>
        </w:rPr>
        <w:t xml:space="preserve"> 厚粘土保护层和 </w:t>
      </w:r>
      <w:r>
        <w:t>30cm</w:t>
      </w:r>
      <w:r>
        <w:rPr>
          <w:spacing w:val="-50"/>
        </w:rPr>
        <w:t xml:space="preserve"> 厚</w:t>
      </w:r>
      <w:r>
        <w:t>干铺卵石（块石或景石</w:t>
      </w:r>
      <w:r>
        <w:rPr>
          <w:spacing w:val="-180"/>
        </w:rPr>
        <w:t>）</w:t>
      </w:r>
      <w:r>
        <w:t>。</w:t>
      </w:r>
    </w:p>
    <w:p>
      <w:pPr>
        <w:pStyle w:val="BodyText"/>
        <w:spacing w:before="4" w:line="364" w:lineRule="auto"/>
        <w:ind w:left="1200" w:right="2699" w:firstLine="719"/>
        <w:jc w:val="both"/>
      </w:pPr>
      <w:r>
        <w:rPr>
          <w:spacing w:val="-9"/>
        </w:rPr>
        <w:t xml:space="preserve">西区跌水区和东湖跌水区水深较浅，边墙及跌坎采用 </w:t>
      </w:r>
      <w:r>
        <w:t>C20</w:t>
      </w:r>
      <w:r>
        <w:rPr>
          <w:spacing w:val="-21"/>
        </w:rPr>
        <w:t xml:space="preserve"> 砼挡墙，池底采用</w:t>
      </w:r>
      <w:r>
        <w:t>HDPE</w:t>
      </w:r>
      <w:r>
        <w:rPr>
          <w:spacing w:val="-13"/>
        </w:rPr>
        <w:t xml:space="preserve"> 复合土工膜防渗。</w:t>
      </w:r>
    </w:p>
    <w:p>
      <w:pPr>
        <w:pStyle w:val="BodyText"/>
        <w:spacing w:before="2"/>
        <w:ind w:left="1920"/>
      </w:pPr>
      <w:r>
        <w:t>、砂卵石层</w:t>
      </w:r>
    </w:p>
    <w:p>
      <w:pPr>
        <w:pStyle w:val="BodyText"/>
        <w:spacing w:before="241" w:line="364" w:lineRule="auto"/>
        <w:ind w:left="1200" w:right="2511" w:firstLine="719"/>
      </w:pPr>
      <w:r>
        <w:t>1</w:t>
      </w:r>
      <w:r>
        <w:rPr>
          <w:spacing w:val="1"/>
        </w:rPr>
        <w:t>、砂卵石层采用人工级配砂卵石，其配比关系宜为</w:t>
      </w:r>
      <w:r>
        <w:t>5:2:3，</w:t>
      </w:r>
      <w:r>
        <w:rPr>
          <w:spacing w:val="8"/>
        </w:rPr>
        <w:t>即：卵石</w:t>
      </w:r>
      <w:r>
        <w:rPr>
          <w:spacing w:val="-15"/>
        </w:rPr>
        <w:t>5（</w:t>
      </w:r>
      <w:r>
        <w:t>粒</w:t>
      </w:r>
      <w:r>
        <w:rPr>
          <w:spacing w:val="-46"/>
        </w:rPr>
        <w:t xml:space="preserve">径 </w:t>
      </w:r>
      <w:r>
        <w:t>50mm≥d＞20mm</w:t>
      </w:r>
      <w:r>
        <w:rPr>
          <w:spacing w:val="-180"/>
        </w:rPr>
        <w:t>）</w:t>
      </w:r>
      <w:r>
        <w:rPr>
          <w:spacing w:val="-25"/>
        </w:rPr>
        <w:t xml:space="preserve">：圆砾 </w:t>
      </w:r>
      <w:r>
        <w:rPr>
          <w:spacing w:val="-15"/>
        </w:rPr>
        <w:t>3</w:t>
      </w:r>
      <w:r>
        <w:t>（</w:t>
      </w:r>
      <w:r>
        <w:rPr>
          <w:spacing w:val="-30"/>
        </w:rPr>
        <w:t xml:space="preserve">粒径 </w:t>
      </w:r>
      <w:r>
        <w:t>20mm≥d＞2m</w:t>
      </w:r>
      <w:r>
        <w:rPr>
          <w:spacing w:val="3"/>
        </w:rPr>
        <w:t>m</w:t>
      </w:r>
      <w:r>
        <w:rPr>
          <w:spacing w:val="-180"/>
        </w:rPr>
        <w:t>）</w:t>
      </w:r>
      <w:r>
        <w:rPr>
          <w:spacing w:val="-21"/>
        </w:rPr>
        <w:t xml:space="preserve">：中粗砂 </w:t>
      </w:r>
      <w:r>
        <w:rPr>
          <w:spacing w:val="-15"/>
        </w:rPr>
        <w:t>3</w:t>
      </w:r>
      <w:r>
        <w:t>（</w:t>
      </w:r>
      <w:r>
        <w:rPr>
          <w:spacing w:val="-30"/>
        </w:rPr>
        <w:t xml:space="preserve">粒径 </w:t>
      </w:r>
      <w:r>
        <w:t>2m</w:t>
      </w:r>
      <w:r>
        <w:rPr>
          <w:spacing w:val="3"/>
        </w:rPr>
        <w:t>m</w:t>
      </w:r>
      <w:r>
        <w:t>≥d＞</w:t>
      </w:r>
      <w:r>
        <w:rPr>
          <w:spacing w:val="-180"/>
        </w:rPr>
        <w:t>）</w:t>
      </w:r>
      <w:r>
        <w:rPr>
          <w:spacing w:val="-12"/>
        </w:rPr>
        <w:t>。</w:t>
      </w:r>
      <w:r>
        <w:rPr>
          <w:spacing w:val="-10"/>
        </w:rPr>
        <w:t xml:space="preserve">最大粒径不超过 </w:t>
      </w:r>
      <w:r>
        <w:t>50mm，含泥量（＜颗粒含量）</w:t>
      </w:r>
      <w:r>
        <w:rPr>
          <w:spacing w:val="-18"/>
        </w:rPr>
        <w:t xml:space="preserve">不超过 </w:t>
      </w:r>
      <w:r>
        <w:t>3%。砂卵石填料中，不得含有草根、垃圾等有机杂物。砂中有机质含量不超过 5%，不得含有植物残体、</w:t>
      </w:r>
      <w:r>
        <w:rPr>
          <w:spacing w:val="-6"/>
        </w:rPr>
        <w:t xml:space="preserve">垃圾等杂物，石子含泥量应小于 </w:t>
      </w:r>
      <w:r>
        <w:t>5%。</w:t>
      </w:r>
    </w:p>
    <w:p>
      <w:pPr>
        <w:pStyle w:val="BodyText"/>
        <w:spacing w:before="4" w:line="364" w:lineRule="auto"/>
        <w:ind w:left="1200" w:right="2556" w:firstLine="719"/>
        <w:jc w:val="both"/>
      </w:pPr>
      <w:r>
        <w:t>2</w:t>
      </w:r>
      <w:r>
        <w:rPr>
          <w:spacing w:val="-5"/>
        </w:rPr>
        <w:t xml:space="preserve">、砂卵石回填前适当洒水以保持砂石的最佳含水量 </w:t>
      </w:r>
      <w:r>
        <w:t>8%~12%，回填采用推土机分层摊铺，人工拉线整平（</w:t>
      </w:r>
      <w:r>
        <w:rPr>
          <w:spacing w:val="3"/>
        </w:rPr>
        <w:t>挂线间距小于</w:t>
      </w:r>
      <w:r>
        <w:t>20m</w:t>
      </w:r>
      <w:r>
        <w:rPr>
          <w:spacing w:val="-180"/>
        </w:rPr>
        <w:t>）</w:t>
      </w:r>
      <w:r>
        <w:rPr>
          <w:spacing w:val="7"/>
        </w:rPr>
        <w:t>，每层摊铺厚度</w:t>
      </w:r>
      <w:r>
        <w:t>300~350m</w:t>
      </w:r>
      <w:r>
        <w:rPr>
          <w:spacing w:val="1"/>
        </w:rPr>
        <w:t>m</w:t>
      </w:r>
      <w:r>
        <w:t>，摊</w:t>
      </w:r>
      <w:r>
        <w:rPr>
          <w:spacing w:val="-1"/>
        </w:rPr>
        <w:t>铺后将粒径较大的石块分开，避免集中堆放，随之耙平。边角处，机械摊铺不到</w:t>
      </w:r>
      <w:r>
        <w:t>位的，要进行扔摊铺，必须达到设计边线，保证摊铺级配均匀。</w:t>
      </w:r>
    </w:p>
    <w:p>
      <w:pPr>
        <w:pStyle w:val="BodyText"/>
        <w:spacing w:before="5" w:line="364" w:lineRule="auto"/>
        <w:ind w:left="1200" w:right="2691" w:firstLine="719"/>
        <w:jc w:val="both"/>
      </w:pPr>
      <w:r>
        <w:t>3</w:t>
      </w:r>
      <w:r>
        <w:rPr>
          <w:spacing w:val="-4"/>
        </w:rPr>
        <w:t xml:space="preserve">、砂卵石碾压采用震动压路机往复碾压，一般碾压 </w:t>
      </w:r>
      <w:r>
        <w:t>6</w:t>
      </w:r>
      <w:r>
        <w:rPr>
          <w:spacing w:val="-28"/>
        </w:rPr>
        <w:t xml:space="preserve"> 遍，静压 </w:t>
      </w:r>
      <w:r>
        <w:t>2</w:t>
      </w:r>
      <w:r>
        <w:rPr>
          <w:spacing w:val="-20"/>
        </w:rPr>
        <w:t xml:space="preserve"> 遍，震动</w:t>
      </w:r>
      <w:r>
        <w:rPr>
          <w:spacing w:val="-46"/>
        </w:rPr>
        <w:t xml:space="preserve">压 </w:t>
      </w:r>
      <w:r>
        <w:t>4</w:t>
      </w:r>
      <w:r>
        <w:rPr>
          <w:spacing w:val="-19"/>
        </w:rPr>
        <w:t xml:space="preserve"> 遍，其轮距搭接不小于 </w:t>
      </w:r>
      <w:r>
        <w:t>50cm，</w:t>
      </w:r>
      <w:r>
        <w:rPr>
          <w:spacing w:val="-5"/>
        </w:rPr>
        <w:t>压实系数不小于.边缘和转角处应用人工补夯</w:t>
      </w:r>
      <w:r>
        <w:t>密实。</w:t>
      </w:r>
    </w:p>
    <w:p>
      <w:pPr>
        <w:pStyle w:val="BodyText"/>
        <w:spacing w:before="2"/>
        <w:ind w:left="1920"/>
      </w:pPr>
      <w:r>
        <w:t>4、砂卵石填筑标准：相对密度应不低于，承载能力不低于250kpa，基地摩</w:t>
      </w:r>
    </w:p>
    <w:p>
      <w:pPr>
        <w:spacing w:after="0"/>
        <w:sectPr>
          <w:pgSz w:w="17860" w:h="25260"/>
          <w:pgMar w:top="1920" w:right="0" w:bottom="280" w:left="1500" w:header="708" w:footer="708"/>
          <w:pgNumType w:start="36"/>
          <w:cols w:space="708"/>
        </w:sectPr>
      </w:pPr>
    </w:p>
    <w:p>
      <w:pPr>
        <w:pStyle w:val="BodyText"/>
        <w:spacing w:before="35"/>
        <w:ind w:left="1200"/>
      </w:pPr>
      <w:r>
        <w:t>擦系数μ≥。</w:t>
      </w:r>
    </w:p>
    <w:p>
      <w:pPr>
        <w:pStyle w:val="BodyText"/>
        <w:spacing w:before="242"/>
        <w:ind w:left="1898"/>
      </w:pPr>
      <w:r>
        <w:t>、砂砾石垫层</w:t>
      </w:r>
    </w:p>
    <w:p>
      <w:pPr>
        <w:pStyle w:val="BodyText"/>
        <w:spacing w:before="240" w:line="364" w:lineRule="auto"/>
        <w:ind w:left="1200" w:right="2511" w:firstLine="698"/>
      </w:pPr>
      <w:r>
        <w:rPr>
          <w:spacing w:val="-8"/>
        </w:rPr>
        <w:t xml:space="preserve">砂砾石垫层孔隙率控制在 </w:t>
      </w:r>
      <w:r>
        <w:rPr>
          <w:spacing w:val="-15"/>
        </w:rPr>
        <w:t>20%</w:t>
      </w:r>
      <w:r>
        <w:rPr>
          <w:spacing w:val="-16"/>
        </w:rPr>
        <w:t xml:space="preserve">，最大粒径为 </w:t>
      </w:r>
      <w:r>
        <w:rPr>
          <w:spacing w:val="-8"/>
        </w:rPr>
        <w:t>20mm，5mm</w:t>
      </w:r>
      <w:r>
        <w:rPr>
          <w:spacing w:val="-22"/>
        </w:rPr>
        <w:t xml:space="preserve"> 以下含量不大于 </w:t>
      </w:r>
      <w:r>
        <w:rPr>
          <w:spacing w:val="-4"/>
        </w:rPr>
        <w:t xml:space="preserve">20%， </w:t>
      </w:r>
      <w:r>
        <w:rPr>
          <w:spacing w:val="-10"/>
        </w:rPr>
        <w:t xml:space="preserve">不下雨含量不大于 </w:t>
      </w:r>
      <w:r>
        <w:t>5%。</w:t>
      </w:r>
    </w:p>
    <w:p>
      <w:pPr>
        <w:pStyle w:val="BodyText"/>
        <w:spacing w:before="2"/>
        <w:ind w:left="1898"/>
      </w:pPr>
      <w:r>
        <w:t>、干铺卵石（块石或景石）</w:t>
      </w:r>
    </w:p>
    <w:p>
      <w:pPr>
        <w:pStyle w:val="BodyText"/>
        <w:spacing w:before="241" w:line="364" w:lineRule="auto"/>
        <w:ind w:left="1200" w:right="2715" w:firstLine="698"/>
      </w:pPr>
      <w:r>
        <w:t>干铺卵石（块石或景石）其强度等级不小于 MU30，抗风化，不水解，最小粒径不小于 200mm。</w:t>
      </w:r>
    </w:p>
    <w:p>
      <w:pPr>
        <w:pStyle w:val="BodyText"/>
        <w:spacing w:before="2"/>
        <w:ind w:left="1898"/>
      </w:pPr>
      <w:r>
        <w:t>、HDPE 复合土工膜</w:t>
      </w:r>
    </w:p>
    <w:p>
      <w:pPr>
        <w:pStyle w:val="BodyText"/>
        <w:spacing w:before="241"/>
        <w:ind w:left="2100"/>
      </w:pPr>
      <w:r>
        <w:t>1、HDPE 防渗土工膜的铺设</w:t>
      </w:r>
    </w:p>
    <w:p>
      <w:pPr>
        <w:pStyle w:val="ListParagraph"/>
        <w:numPr>
          <w:ilvl w:val="1"/>
          <w:numId w:val="21"/>
        </w:numPr>
        <w:tabs>
          <w:tab w:val="left" w:pos="2800"/>
        </w:tabs>
        <w:spacing w:before="241" w:after="0" w:line="240" w:lineRule="auto"/>
        <w:ind w:left="2800" w:right="0" w:hanging="902"/>
        <w:jc w:val="left"/>
        <w:rPr>
          <w:sz w:val="36"/>
        </w:rPr>
      </w:pPr>
      <w:r>
        <w:rPr>
          <w:sz w:val="36"/>
        </w:rPr>
        <w:t>、HDPE</w:t>
      </w:r>
      <w:r>
        <w:rPr>
          <w:spacing w:val="-14"/>
          <w:sz w:val="36"/>
        </w:rPr>
        <w:t xml:space="preserve"> 土工膜的剪裁</w:t>
      </w:r>
    </w:p>
    <w:p>
      <w:pPr>
        <w:pStyle w:val="BodyText"/>
        <w:spacing w:before="241" w:line="364" w:lineRule="auto"/>
        <w:ind w:left="1200" w:right="2517" w:firstLine="878"/>
      </w:pPr>
      <w:r>
        <w:t>HDPE</w:t>
      </w:r>
      <w:r>
        <w:rPr>
          <w:spacing w:val="-19"/>
        </w:rPr>
        <w:t xml:space="preserve"> 土工膜长度视现场需要，由生产厂家在厂内剪裁好适宜的长度卷成卷。</w:t>
      </w:r>
      <w:r>
        <w:rPr>
          <w:spacing w:val="-7"/>
        </w:rPr>
        <w:t xml:space="preserve">除锚固端外，其余三边预留 </w:t>
      </w:r>
      <w:r>
        <w:t>10cm</w:t>
      </w:r>
      <w:r>
        <w:rPr>
          <w:spacing w:val="-10"/>
        </w:rPr>
        <w:t xml:space="preserve"> 宽拼缝带，以便施工时膜与膜的拼接。</w:t>
      </w:r>
    </w:p>
    <w:p>
      <w:pPr>
        <w:pStyle w:val="ListParagraph"/>
        <w:numPr>
          <w:ilvl w:val="1"/>
          <w:numId w:val="21"/>
        </w:numPr>
        <w:tabs>
          <w:tab w:val="left" w:pos="2800"/>
        </w:tabs>
        <w:spacing w:before="2" w:after="0" w:line="240" w:lineRule="auto"/>
        <w:ind w:left="2800" w:right="0" w:hanging="902"/>
        <w:jc w:val="left"/>
        <w:rPr>
          <w:sz w:val="36"/>
        </w:rPr>
      </w:pPr>
      <w:r>
        <w:rPr>
          <w:sz w:val="36"/>
        </w:rPr>
        <w:t>、HDPE</w:t>
      </w:r>
      <w:r>
        <w:rPr>
          <w:spacing w:val="-16"/>
          <w:sz w:val="36"/>
        </w:rPr>
        <w:t xml:space="preserve"> 土工膜铺设</w:t>
      </w:r>
    </w:p>
    <w:p>
      <w:pPr>
        <w:pStyle w:val="BodyText"/>
        <w:spacing w:before="240" w:line="364" w:lineRule="auto"/>
        <w:ind w:left="2079" w:right="2921"/>
      </w:pPr>
      <w:r>
        <w:t>A、土工膜的储运应符合安全规定，运至现场的土工膜应当在当日用完； B、土工膜铺设前应做下列准备工作：</w:t>
      </w:r>
    </w:p>
    <w:p>
      <w:pPr>
        <w:pStyle w:val="BodyText"/>
        <w:spacing w:before="2" w:line="364" w:lineRule="auto"/>
        <w:ind w:left="1200" w:right="2556" w:firstLine="878"/>
      </w:pPr>
      <w:r>
        <w:rPr>
          <w:spacing w:val="-13"/>
        </w:rPr>
        <w:t xml:space="preserve">①、检查并确认基础支持层已具备铺设 </w:t>
      </w:r>
      <w:r>
        <w:t>HDPE</w:t>
      </w:r>
      <w:r>
        <w:rPr>
          <w:spacing w:val="-22"/>
        </w:rPr>
        <w:t xml:space="preserve"> 土工膜的条件</w:t>
      </w:r>
      <w:r>
        <w:t>（土工膜支持层</w:t>
      </w:r>
      <w:r>
        <w:rPr>
          <w:spacing w:val="-1"/>
        </w:rPr>
        <w:t>应密实，层面应平整，支持层上有阴、阳角时，应修圆，其半径宜不小于，并应</w:t>
      </w:r>
      <w:r>
        <w:rPr>
          <w:spacing w:val="-23"/>
        </w:rPr>
        <w:t xml:space="preserve">在紧贴 </w:t>
      </w:r>
      <w:r>
        <w:t>HDPE</w:t>
      </w:r>
      <w:r>
        <w:rPr>
          <w:spacing w:val="-10"/>
        </w:rPr>
        <w:t xml:space="preserve"> 土工膜下面加设土工织物垫层</w:t>
      </w:r>
      <w:r>
        <w:rPr>
          <w:spacing w:val="-180"/>
        </w:rPr>
        <w:t>）</w:t>
      </w:r>
      <w:r>
        <w:t>；</w:t>
      </w:r>
    </w:p>
    <w:p>
      <w:pPr>
        <w:pStyle w:val="BodyText"/>
        <w:spacing w:before="3"/>
        <w:ind w:left="2078"/>
      </w:pPr>
      <w:r>
        <w:t>②、做下料分析画出 HDPE 土工膜铺设顺序和裁剪图；</w:t>
      </w:r>
    </w:p>
    <w:p>
      <w:pPr>
        <w:pStyle w:val="BodyText"/>
        <w:spacing w:before="241" w:line="364" w:lineRule="auto"/>
        <w:ind w:left="1200" w:right="2696" w:firstLine="899"/>
      </w:pPr>
      <w:r>
        <w:rPr>
          <w:spacing w:val="-47"/>
        </w:rPr>
        <w:t xml:space="preserve">③、检查 </w:t>
      </w:r>
      <w:r>
        <w:t>HDPE</w:t>
      </w:r>
      <w:r>
        <w:rPr>
          <w:spacing w:val="-11"/>
        </w:rPr>
        <w:t xml:space="preserve"> 土工膜的外观质量记录并修补已发现的机械损伤和生产伤孔</w:t>
      </w:r>
      <w:r>
        <w:t>洞折损等缺陷；</w:t>
      </w:r>
    </w:p>
    <w:p>
      <w:pPr>
        <w:pStyle w:val="BodyText"/>
        <w:spacing w:before="2" w:line="364" w:lineRule="auto"/>
        <w:ind w:left="1200" w:right="2758" w:firstLine="878"/>
      </w:pPr>
      <w:r>
        <w:t>④、每个区块旁边应按设计要求的规格和数量备足过筛土料或其它过渡保护层用料并在各区块之间留出运输通道；</w:t>
      </w:r>
    </w:p>
    <w:p>
      <w:pPr>
        <w:pStyle w:val="BodyText"/>
        <w:spacing w:before="3"/>
        <w:ind w:left="2078"/>
      </w:pPr>
      <w:r>
        <w:t>⑤、进行现场铺设试验确定焊接温度速度等施工工艺参数。</w:t>
      </w:r>
    </w:p>
    <w:p>
      <w:pPr>
        <w:pStyle w:val="ListParagraph"/>
        <w:numPr>
          <w:ilvl w:val="1"/>
          <w:numId w:val="21"/>
        </w:numPr>
        <w:tabs>
          <w:tab w:val="left" w:pos="2642"/>
        </w:tabs>
        <w:spacing w:before="241" w:after="0" w:line="240" w:lineRule="auto"/>
        <w:ind w:left="2641" w:right="0" w:hanging="902"/>
        <w:jc w:val="left"/>
        <w:rPr>
          <w:sz w:val="36"/>
        </w:rPr>
      </w:pPr>
      <w:r>
        <w:rPr>
          <w:sz w:val="36"/>
        </w:rPr>
        <w:t>、土工膜的铺设施工应符合以下技术要求：</w:t>
      </w:r>
    </w:p>
    <w:p>
      <w:pPr>
        <w:pStyle w:val="BodyText"/>
        <w:spacing w:before="240"/>
        <w:ind w:left="2079"/>
      </w:pPr>
      <w:r>
        <w:t>A、按规定顺序和方向分区分块进行土工膜的铺设；</w:t>
      </w:r>
    </w:p>
    <w:p>
      <w:pPr>
        <w:pStyle w:val="BodyText"/>
        <w:spacing w:before="241"/>
        <w:ind w:left="2079"/>
      </w:pPr>
      <w:r>
        <w:t>B、铺设土工膜时应适当放松并避免人为硬折和损伤；</w:t>
      </w:r>
    </w:p>
    <w:p>
      <w:pPr>
        <w:pStyle w:val="BodyText"/>
        <w:spacing w:before="241"/>
        <w:ind w:left="2079"/>
      </w:pPr>
      <w:r>
        <w:t>C、铺设土工膜时膜块间形成的结点应为 T 字型，不得做成十字型；</w:t>
      </w:r>
    </w:p>
    <w:p>
      <w:pPr>
        <w:pStyle w:val="BodyText"/>
        <w:spacing w:before="240"/>
        <w:ind w:left="2057"/>
      </w:pPr>
      <w:r>
        <w:t>D、土工膜焊缝搭接面不得有污垢砂土积水（包括露水）等影响焊接质量的</w:t>
      </w:r>
    </w:p>
    <w:p>
      <w:pPr>
        <w:spacing w:after="0"/>
        <w:sectPr>
          <w:pgSz w:w="17860" w:h="25260"/>
          <w:pgMar w:top="1920" w:right="0" w:bottom="280" w:left="1500" w:header="708" w:footer="708"/>
          <w:pgNumType w:start="37"/>
          <w:cols w:space="708"/>
        </w:sectPr>
      </w:pPr>
    </w:p>
    <w:p>
      <w:pPr>
        <w:pStyle w:val="BodyText"/>
        <w:spacing w:before="35"/>
        <w:ind w:left="1517"/>
      </w:pPr>
      <w:r>
        <w:t>杂质存在；</w:t>
      </w:r>
    </w:p>
    <w:p>
      <w:pPr>
        <w:pStyle w:val="BodyText"/>
        <w:spacing w:before="242" w:line="364" w:lineRule="auto"/>
        <w:ind w:left="1200" w:right="2697" w:firstLine="899"/>
      </w:pPr>
      <w:r>
        <w:t>E</w:t>
      </w:r>
      <w:r>
        <w:rPr>
          <w:spacing w:val="-14"/>
        </w:rPr>
        <w:t>、铺设土工膜时应根据当地气温变化幅度和工厂产品说明书要求预留出温</w:t>
      </w:r>
      <w:r>
        <w:t>度变化引起的伸缩变形量；</w:t>
      </w:r>
    </w:p>
    <w:p>
      <w:pPr>
        <w:pStyle w:val="BodyText"/>
        <w:spacing w:before="1" w:line="364" w:lineRule="auto"/>
        <w:ind w:left="1200" w:right="2697" w:firstLine="878"/>
        <w:jc w:val="both"/>
      </w:pPr>
      <w:r>
        <w:t>F</w:t>
      </w:r>
      <w:r>
        <w:rPr>
          <w:spacing w:val="-13"/>
        </w:rPr>
        <w:t>、坡面上土工膜的铺设其接缝排列方向应平行或垂直最大坡度线且应按由</w:t>
      </w:r>
      <w:r>
        <w:t xml:space="preserve">下而上的顺序铺设；相邻两幅的纵向接头不应在一条水平线上，应相互错开 </w:t>
      </w:r>
      <w:r>
        <w:rPr>
          <w:spacing w:val="-6"/>
        </w:rPr>
        <w:t xml:space="preserve">1m </w:t>
      </w:r>
      <w:r>
        <w:t>以上；纵向接头应距坡脚、弯脚处以上，应设在平面上；</w:t>
      </w:r>
    </w:p>
    <w:p>
      <w:pPr>
        <w:pStyle w:val="BodyText"/>
        <w:spacing w:before="3"/>
        <w:ind w:left="2079"/>
      </w:pPr>
      <w:r>
        <w:t>G、坡面弯曲处应使膜和接缝妥贴坡面；</w:t>
      </w:r>
    </w:p>
    <w:p>
      <w:pPr>
        <w:pStyle w:val="BodyText"/>
        <w:tabs>
          <w:tab w:val="left" w:pos="11454"/>
        </w:tabs>
        <w:spacing w:before="241" w:line="364" w:lineRule="auto"/>
        <w:ind w:left="1200" w:right="2696" w:firstLine="878"/>
      </w:pPr>
      <w:r>
        <w:rPr>
          <w:spacing w:val="14"/>
        </w:rPr>
        <w:t>H</w:t>
      </w:r>
      <w:r>
        <w:t>、土工膜欧尚完毕未覆盖保护层前应在膜的边角处每隔</w:t>
        <w:tab/>
        <w:t>2~5m 放 1</w:t>
      </w:r>
      <w:r>
        <w:rPr>
          <w:spacing w:val="47"/>
        </w:rPr>
        <w:t xml:space="preserve"> </w:t>
      </w:r>
      <w:r>
        <w:rPr>
          <w:spacing w:val="-18"/>
        </w:rPr>
        <w:t>个</w:t>
      </w:r>
      <w:r>
        <w:t>20~40kg</w:t>
      </w:r>
      <w:r>
        <w:rPr>
          <w:spacing w:val="-91"/>
        </w:rPr>
        <w:t xml:space="preserve"> </w:t>
      </w:r>
      <w:r>
        <w:t>重的砂带；</w:t>
      </w:r>
    </w:p>
    <w:p>
      <w:pPr>
        <w:pStyle w:val="BodyText"/>
        <w:spacing w:before="3" w:line="364" w:lineRule="auto"/>
        <w:ind w:left="1200" w:right="2693" w:firstLine="878"/>
      </w:pPr>
      <w:r>
        <w:t>I</w:t>
      </w:r>
      <w:r>
        <w:rPr>
          <w:spacing w:val="-12"/>
        </w:rPr>
        <w:t>、土工膜应自然松弛与支持层贴实不宜折褶悬空，特殊情况需要褶皱布置</w:t>
      </w:r>
      <w:r>
        <w:t>时应另作特殊处理。</w:t>
      </w:r>
    </w:p>
    <w:p>
      <w:pPr>
        <w:pStyle w:val="ListParagraph"/>
        <w:numPr>
          <w:ilvl w:val="1"/>
          <w:numId w:val="21"/>
        </w:numPr>
        <w:tabs>
          <w:tab w:val="left" w:pos="2642"/>
        </w:tabs>
        <w:spacing w:before="1" w:after="0" w:line="240" w:lineRule="auto"/>
        <w:ind w:left="2641" w:right="0" w:hanging="902"/>
        <w:jc w:val="left"/>
        <w:rPr>
          <w:sz w:val="36"/>
        </w:rPr>
      </w:pPr>
      <w:r>
        <w:rPr>
          <w:sz w:val="36"/>
        </w:rPr>
        <w:t>、土工膜的铺设应注意下列事项：</w:t>
      </w:r>
    </w:p>
    <w:p>
      <w:pPr>
        <w:pStyle w:val="BodyText"/>
        <w:spacing w:before="241"/>
        <w:ind w:left="2079"/>
      </w:pPr>
      <w:r>
        <w:t>A、铺膜过程中应随时检查膜的外观有无破损麻点孔眼等缺陷；</w:t>
      </w:r>
    </w:p>
    <w:p>
      <w:pPr>
        <w:pStyle w:val="BodyText"/>
        <w:spacing w:before="241" w:line="364" w:lineRule="auto"/>
        <w:ind w:left="1200" w:right="2578" w:firstLine="878"/>
      </w:pPr>
      <w:r>
        <w:t>B、发现膜面有孔眼等缺陷或损伤，应及时用新鲜母材修补，补疤每边应超过破损部位 10~20cm；</w:t>
      </w:r>
    </w:p>
    <w:p>
      <w:pPr>
        <w:pStyle w:val="BodyText"/>
        <w:spacing w:before="2" w:line="364" w:lineRule="auto"/>
        <w:ind w:left="1200" w:right="2681" w:firstLine="878"/>
      </w:pPr>
      <w:r>
        <w:t>C</w:t>
      </w:r>
      <w:r>
        <w:rPr>
          <w:spacing w:val="-5"/>
        </w:rPr>
        <w:t xml:space="preserve">、在膜铺设中膜与膜之间接缝的搭接宽度不小于 </w:t>
      </w:r>
      <w:r>
        <w:t>100mm，</w:t>
      </w:r>
      <w:r>
        <w:rPr>
          <w:spacing w:val="-3"/>
        </w:rPr>
        <w:t>使接缝排列方向</w:t>
      </w:r>
      <w:r>
        <w:t>平行于最大坡脚线，即沿坡度方向排列；</w:t>
      </w:r>
    </w:p>
    <w:p>
      <w:pPr>
        <w:pStyle w:val="BodyText"/>
        <w:spacing w:before="2" w:line="364" w:lineRule="auto"/>
        <w:ind w:left="1200" w:right="2694" w:firstLine="878"/>
      </w:pPr>
      <w:r>
        <w:t>D</w:t>
      </w:r>
      <w:r>
        <w:rPr>
          <w:spacing w:val="-15"/>
        </w:rPr>
        <w:t xml:space="preserve">、铺设 </w:t>
      </w:r>
      <w:r>
        <w:t>HDPE</w:t>
      </w:r>
      <w:r>
        <w:rPr>
          <w:spacing w:val="-9"/>
        </w:rPr>
        <w:t xml:space="preserve"> 防渗膜时应力求焊缝最少，在保证质量的前提下，尽量节约</w:t>
      </w:r>
      <w:r>
        <w:t>原材料；</w:t>
      </w:r>
    </w:p>
    <w:p>
      <w:pPr>
        <w:pStyle w:val="BodyText"/>
        <w:spacing w:before="2" w:line="364" w:lineRule="auto"/>
        <w:ind w:left="1200" w:right="2558" w:firstLine="899"/>
      </w:pPr>
      <w:r>
        <w:t>E、通常在拐角及畸形地段，应使接缝长度尽量减短。除特殊要求外，在坡脚大于 1:6 的斜坡上距顶坡或应力集中区域范围内，尽量不设焊缝；</w:t>
      </w:r>
    </w:p>
    <w:p>
      <w:pPr>
        <w:pStyle w:val="BodyText"/>
        <w:spacing w:before="2" w:line="364" w:lineRule="auto"/>
        <w:ind w:left="1200" w:right="2751" w:firstLine="878"/>
      </w:pPr>
      <w:r>
        <w:t>F、HDPE 防渗膜在铺设中，应避免产生认为褶皱，温度较低时，应尽量拉紧、铺平；</w:t>
      </w:r>
    </w:p>
    <w:p>
      <w:pPr>
        <w:pStyle w:val="BodyText"/>
        <w:spacing w:before="2" w:line="364" w:lineRule="auto"/>
        <w:ind w:left="1200" w:right="2702" w:firstLine="878"/>
        <w:jc w:val="both"/>
      </w:pPr>
      <w:r>
        <w:rPr>
          <w:spacing w:val="3"/>
        </w:rPr>
        <w:t>G、</w:t>
      </w:r>
      <w:r>
        <w:t>HDPE 防渗膜铺设完成后，应尽量减少在膜面上行走，搬动工具等，凡</w:t>
      </w:r>
      <w:r>
        <w:rPr>
          <w:spacing w:val="-25"/>
        </w:rPr>
        <w:t xml:space="preserve">能对 </w:t>
      </w:r>
      <w:r>
        <w:t>HDPE</w:t>
      </w:r>
      <w:r>
        <w:rPr>
          <w:spacing w:val="-10"/>
        </w:rPr>
        <w:t xml:space="preserve"> 膜造成危害的物件，均不应放在膜上或携带在膜上行走，以免对膜造</w:t>
      </w:r>
      <w:r>
        <w:t>成意外损伤。</w:t>
      </w:r>
    </w:p>
    <w:p>
      <w:pPr>
        <w:pStyle w:val="BodyText"/>
        <w:spacing w:before="3"/>
        <w:ind w:left="2100"/>
      </w:pPr>
      <w:r>
        <w:t>2、HDPE 防渗土工膜的焊接</w:t>
      </w:r>
    </w:p>
    <w:p>
      <w:pPr>
        <w:pStyle w:val="BodyText"/>
        <w:spacing w:before="241" w:line="364" w:lineRule="auto"/>
        <w:ind w:left="1200" w:right="2648" w:firstLine="899"/>
      </w:pPr>
      <w:r>
        <w:t>HDPE</w:t>
      </w:r>
      <w:r>
        <w:rPr>
          <w:spacing w:val="-11"/>
        </w:rPr>
        <w:t xml:space="preserve"> 防渗膜的焊接使用楔焊机，采用双轨热熔焊接。楔焊机无法焊接的部</w:t>
      </w:r>
      <w:r>
        <w:t>位，应采用挤出式热熔焊机，配以与原材料同质的焊条，形成堆焊的单焊缝。</w:t>
      </w:r>
    </w:p>
    <w:p>
      <w:pPr>
        <w:spacing w:after="0" w:line="364" w:lineRule="auto"/>
        <w:sectPr>
          <w:pgSz w:w="17860" w:h="25260"/>
          <w:pgMar w:top="1920" w:right="0" w:bottom="280" w:left="1500" w:header="708" w:footer="708"/>
          <w:pgNumType w:start="38"/>
          <w:cols w:space="708"/>
        </w:sectPr>
      </w:pPr>
    </w:p>
    <w:p>
      <w:pPr>
        <w:pStyle w:val="ListParagraph"/>
        <w:numPr>
          <w:ilvl w:val="2"/>
          <w:numId w:val="21"/>
        </w:numPr>
        <w:tabs>
          <w:tab w:val="left" w:pos="2822"/>
        </w:tabs>
        <w:spacing w:before="35" w:after="0" w:line="364" w:lineRule="auto"/>
        <w:ind w:left="1200" w:right="2558" w:firstLine="719"/>
        <w:jc w:val="left"/>
        <w:rPr>
          <w:sz w:val="36"/>
        </w:rPr>
      </w:pPr>
      <w:r>
        <w:rPr>
          <w:sz w:val="36"/>
        </w:rPr>
        <w:t>、热锲焊机焊接工序分为：调节压力、设定温度、设定速度、焊缝搭</w:t>
      </w:r>
      <w:r>
        <w:rPr>
          <w:spacing w:val="-5"/>
          <w:sz w:val="36"/>
        </w:rPr>
        <w:t>接检查、装膜入机、启动马达。</w:t>
      </w:r>
    </w:p>
    <w:p>
      <w:pPr>
        <w:pStyle w:val="ListParagraph"/>
        <w:numPr>
          <w:ilvl w:val="2"/>
          <w:numId w:val="21"/>
        </w:numPr>
        <w:tabs>
          <w:tab w:val="left" w:pos="2822"/>
        </w:tabs>
        <w:spacing w:before="3" w:after="0" w:line="364" w:lineRule="auto"/>
        <w:ind w:left="1200" w:right="2715" w:firstLine="719"/>
        <w:jc w:val="left"/>
        <w:rPr>
          <w:sz w:val="36"/>
        </w:rPr>
      </w:pPr>
      <w:r>
        <w:rPr>
          <w:sz w:val="36"/>
        </w:rPr>
        <w:t>、接缝处不得有油污、灰尘，</w:t>
      </w:r>
      <w:r>
        <w:rPr>
          <w:spacing w:val="3"/>
          <w:sz w:val="36"/>
        </w:rPr>
        <w:t>HDPE</w:t>
      </w:r>
      <w:r>
        <w:rPr>
          <w:sz w:val="36"/>
        </w:rPr>
        <w:t xml:space="preserve"> 防渗膜的搭接段面不应有泥沙、</w:t>
      </w:r>
      <w:r>
        <w:rPr>
          <w:spacing w:val="-5"/>
          <w:sz w:val="36"/>
        </w:rPr>
        <w:t>结露、潮湿等杂物，当有杂物时必须在焊接前清理干净。</w:t>
      </w:r>
    </w:p>
    <w:p>
      <w:pPr>
        <w:pStyle w:val="ListParagraph"/>
        <w:numPr>
          <w:ilvl w:val="2"/>
          <w:numId w:val="21"/>
        </w:numPr>
        <w:tabs>
          <w:tab w:val="left" w:pos="2822"/>
        </w:tabs>
        <w:spacing w:before="2" w:after="0" w:line="364" w:lineRule="auto"/>
        <w:ind w:left="1200" w:right="2521" w:firstLine="719"/>
        <w:jc w:val="left"/>
        <w:rPr>
          <w:sz w:val="36"/>
        </w:rPr>
      </w:pPr>
      <w:r>
        <w:rPr>
          <w:sz w:val="36"/>
        </w:rPr>
        <w:t>、每天焊接开始时，通常应在现场先试焊一条×的试样,搭接宽度不小</w:t>
      </w:r>
      <w:r>
        <w:rPr>
          <w:spacing w:val="-46"/>
          <w:sz w:val="36"/>
        </w:rPr>
        <w:t xml:space="preserve">于 </w:t>
      </w:r>
      <w:r>
        <w:rPr>
          <w:sz w:val="36"/>
        </w:rPr>
        <w:t>10cm,并在现场进行剥离和剪切试验,试样合格后,便可用当时调整好的速度、</w:t>
      </w:r>
      <w:r>
        <w:rPr>
          <w:spacing w:val="-20"/>
          <w:sz w:val="36"/>
        </w:rPr>
        <w:t xml:space="preserve">压力、温度进行正式焊接。热锲焊机在焊接过程中，需随时注意焊机的运行情况， </w:t>
      </w:r>
      <w:r>
        <w:rPr>
          <w:sz w:val="36"/>
        </w:rPr>
        <w:t>要根据现场的实际情况对速度和温度进行微调。</w:t>
      </w:r>
    </w:p>
    <w:p>
      <w:pPr>
        <w:pStyle w:val="ListParagraph"/>
        <w:numPr>
          <w:ilvl w:val="2"/>
          <w:numId w:val="21"/>
        </w:numPr>
        <w:tabs>
          <w:tab w:val="left" w:pos="2822"/>
        </w:tabs>
        <w:spacing w:before="4" w:after="0" w:line="240" w:lineRule="auto"/>
        <w:ind w:left="2821" w:right="0" w:hanging="902"/>
        <w:jc w:val="left"/>
        <w:rPr>
          <w:sz w:val="36"/>
        </w:rPr>
      </w:pPr>
      <w:r>
        <w:rPr>
          <w:sz w:val="36"/>
        </w:rPr>
        <w:t>、焊缝要求整齐、美观、不得有滑焊、跳走现象。</w:t>
      </w:r>
    </w:p>
    <w:p>
      <w:pPr>
        <w:pStyle w:val="ListParagraph"/>
        <w:numPr>
          <w:ilvl w:val="2"/>
          <w:numId w:val="21"/>
        </w:numPr>
        <w:tabs>
          <w:tab w:val="left" w:pos="2822"/>
        </w:tabs>
        <w:spacing w:before="241" w:after="0" w:line="364" w:lineRule="auto"/>
        <w:ind w:left="1200" w:right="2558" w:firstLine="719"/>
        <w:jc w:val="left"/>
        <w:rPr>
          <w:sz w:val="36"/>
        </w:rPr>
      </w:pPr>
      <w:r>
        <w:rPr>
          <w:sz w:val="36"/>
        </w:rPr>
        <w:t xml:space="preserve">、在遇上土工膜长度不够时，需要长向拼接，应先把横向焊缝焊好， </w:t>
      </w:r>
      <w:r>
        <w:rPr>
          <w:spacing w:val="-12"/>
          <w:sz w:val="36"/>
        </w:rPr>
        <w:t xml:space="preserve">再焊纵缝，横向焊缝相距大于 </w:t>
      </w:r>
      <w:r>
        <w:rPr>
          <w:sz w:val="36"/>
        </w:rPr>
        <w:t>50cm</w:t>
      </w:r>
      <w:r>
        <w:rPr>
          <w:spacing w:val="-45"/>
          <w:sz w:val="36"/>
        </w:rPr>
        <w:t xml:space="preserve"> 应成 </w:t>
      </w:r>
      <w:r>
        <w:rPr>
          <w:sz w:val="36"/>
        </w:rPr>
        <w:t>T</w:t>
      </w:r>
      <w:r>
        <w:rPr>
          <w:spacing w:val="-10"/>
          <w:sz w:val="36"/>
        </w:rPr>
        <w:t xml:space="preserve"> 字型，不得十字交叉。</w:t>
      </w:r>
    </w:p>
    <w:p>
      <w:pPr>
        <w:pStyle w:val="ListParagraph"/>
        <w:numPr>
          <w:ilvl w:val="2"/>
          <w:numId w:val="21"/>
        </w:numPr>
        <w:tabs>
          <w:tab w:val="left" w:pos="2822"/>
        </w:tabs>
        <w:spacing w:before="1" w:after="0" w:line="364" w:lineRule="auto"/>
        <w:ind w:left="1200" w:right="2699" w:firstLine="719"/>
        <w:jc w:val="left"/>
        <w:rPr>
          <w:sz w:val="36"/>
        </w:rPr>
      </w:pPr>
      <w:r>
        <w:rPr>
          <w:spacing w:val="-6"/>
          <w:sz w:val="36"/>
        </w:rPr>
        <w:t xml:space="preserve">、焊膜时不许压出死折，铺设 </w:t>
      </w:r>
      <w:r>
        <w:rPr>
          <w:sz w:val="36"/>
        </w:rPr>
        <w:t>HDPE</w:t>
      </w:r>
      <w:r>
        <w:rPr>
          <w:spacing w:val="-9"/>
          <w:sz w:val="36"/>
        </w:rPr>
        <w:t xml:space="preserve"> 土工膜时，根据当地气温变化幅</w:t>
      </w:r>
      <w:r>
        <w:rPr>
          <w:spacing w:val="-36"/>
          <w:sz w:val="36"/>
        </w:rPr>
        <w:t xml:space="preserve">度和 </w:t>
      </w:r>
      <w:r>
        <w:rPr>
          <w:sz w:val="36"/>
        </w:rPr>
        <w:t>HDPE</w:t>
      </w:r>
      <w:r>
        <w:rPr>
          <w:spacing w:val="-10"/>
          <w:sz w:val="36"/>
        </w:rPr>
        <w:t xml:space="preserve"> 土工膜性能要求，预留出温度变化引起的伸缩变形量。</w:t>
      </w:r>
    </w:p>
    <w:p>
      <w:pPr>
        <w:pStyle w:val="ListParagraph"/>
        <w:numPr>
          <w:ilvl w:val="2"/>
          <w:numId w:val="21"/>
        </w:numPr>
        <w:tabs>
          <w:tab w:val="left" w:pos="2822"/>
        </w:tabs>
        <w:spacing w:before="2" w:after="0" w:line="364" w:lineRule="auto"/>
        <w:ind w:left="1200" w:right="2558" w:firstLine="719"/>
        <w:jc w:val="left"/>
        <w:rPr>
          <w:sz w:val="36"/>
        </w:rPr>
      </w:pPr>
      <w:r>
        <w:rPr>
          <w:sz w:val="36"/>
        </w:rPr>
        <w:t>、在下雨期间或接缝有潮气、露水、或者大沙的情况下不能进行焊接</w:t>
      </w:r>
      <w:r>
        <w:rPr>
          <w:spacing w:val="-5"/>
          <w:sz w:val="36"/>
        </w:rPr>
        <w:t>，但采取防护措施是除外。</w:t>
      </w:r>
    </w:p>
    <w:p>
      <w:pPr>
        <w:pStyle w:val="ListParagraph"/>
        <w:numPr>
          <w:ilvl w:val="2"/>
          <w:numId w:val="21"/>
        </w:numPr>
        <w:tabs>
          <w:tab w:val="left" w:pos="2822"/>
        </w:tabs>
        <w:spacing w:before="2" w:after="0" w:line="364" w:lineRule="auto"/>
        <w:ind w:left="1200" w:right="2658" w:firstLine="719"/>
        <w:jc w:val="left"/>
        <w:rPr>
          <w:sz w:val="36"/>
        </w:rPr>
      </w:pPr>
      <w:r>
        <w:rPr>
          <w:spacing w:val="-18"/>
          <w:sz w:val="36"/>
        </w:rPr>
        <w:t xml:space="preserve">、温度低于 </w:t>
      </w:r>
      <w:r>
        <w:rPr>
          <w:sz w:val="36"/>
        </w:rPr>
        <w:t>5℃时，按照规范要求不应施工，如果必须施工的话，焊</w:t>
      </w:r>
      <w:r>
        <w:rPr>
          <w:spacing w:val="-4"/>
          <w:sz w:val="36"/>
        </w:rPr>
        <w:t>接前应对焊机进行预热处理。</w:t>
      </w:r>
    </w:p>
    <w:p>
      <w:pPr>
        <w:pStyle w:val="ListParagraph"/>
        <w:numPr>
          <w:ilvl w:val="2"/>
          <w:numId w:val="21"/>
        </w:numPr>
        <w:tabs>
          <w:tab w:val="left" w:pos="2822"/>
        </w:tabs>
        <w:spacing w:before="2" w:after="0" w:line="364" w:lineRule="auto"/>
        <w:ind w:left="1200" w:right="2733" w:firstLine="719"/>
        <w:jc w:val="left"/>
        <w:rPr>
          <w:sz w:val="36"/>
        </w:rPr>
      </w:pPr>
      <w:r>
        <w:rPr>
          <w:sz w:val="36"/>
        </w:rPr>
        <w:t>、HDPE 防渗土工膜在焊接时应该采用稳压性能好的发电机供电，在</w:t>
      </w:r>
      <w:r>
        <w:rPr>
          <w:spacing w:val="-4"/>
          <w:sz w:val="36"/>
        </w:rPr>
        <w:t>特殊情况下采用当地用电时，必须使用稳压器。</w:t>
      </w:r>
    </w:p>
    <w:p>
      <w:pPr>
        <w:pStyle w:val="BodyText"/>
        <w:spacing w:before="2"/>
        <w:ind w:left="2100"/>
      </w:pPr>
      <w:r>
        <w:t>3、HDPE 防渗土工膜的锚固</w:t>
      </w:r>
    </w:p>
    <w:p>
      <w:pPr>
        <w:pStyle w:val="ListParagraph"/>
        <w:numPr>
          <w:ilvl w:val="3"/>
          <w:numId w:val="21"/>
        </w:numPr>
        <w:tabs>
          <w:tab w:val="left" w:pos="3002"/>
        </w:tabs>
        <w:spacing w:before="241" w:after="0" w:line="364" w:lineRule="auto"/>
        <w:ind w:left="1200" w:right="2696" w:firstLine="899"/>
        <w:jc w:val="both"/>
        <w:rPr>
          <w:sz w:val="36"/>
        </w:rPr>
      </w:pPr>
      <w:r>
        <w:rPr>
          <w:spacing w:val="-26"/>
          <w:sz w:val="36"/>
        </w:rPr>
        <w:t xml:space="preserve">、人工湖主湖区湖岸 </w:t>
      </w:r>
      <w:r>
        <w:rPr>
          <w:sz w:val="36"/>
        </w:rPr>
        <w:t>HDPE</w:t>
      </w:r>
      <w:r>
        <w:rPr>
          <w:spacing w:val="-10"/>
          <w:sz w:val="36"/>
        </w:rPr>
        <w:t xml:space="preserve"> 防渗土工膜采用开挖锚固沟回填大块石进</w:t>
      </w:r>
      <w:r>
        <w:rPr>
          <w:spacing w:val="-4"/>
          <w:sz w:val="36"/>
        </w:rPr>
        <w:t>行锚固，锚固沟尺寸</w:t>
      </w:r>
      <w:r>
        <w:rPr>
          <w:spacing w:val="1"/>
          <w:sz w:val="36"/>
        </w:rPr>
        <w:t>*</w:t>
      </w:r>
      <w:r>
        <w:rPr>
          <w:sz w:val="36"/>
        </w:rPr>
        <w:t>（宽*深</w:t>
      </w:r>
      <w:r>
        <w:rPr>
          <w:spacing w:val="-180"/>
          <w:sz w:val="36"/>
        </w:rPr>
        <w:t>）</w:t>
      </w:r>
      <w:r>
        <w:rPr>
          <w:sz w:val="36"/>
        </w:rPr>
        <w:t>；</w:t>
      </w:r>
    </w:p>
    <w:p>
      <w:pPr>
        <w:pStyle w:val="ListParagraph"/>
        <w:numPr>
          <w:ilvl w:val="3"/>
          <w:numId w:val="21"/>
        </w:numPr>
        <w:tabs>
          <w:tab w:val="left" w:pos="3002"/>
        </w:tabs>
        <w:spacing w:before="2" w:after="0" w:line="364" w:lineRule="auto"/>
        <w:ind w:left="1200" w:right="2691" w:firstLine="899"/>
        <w:jc w:val="both"/>
        <w:rPr>
          <w:sz w:val="36"/>
        </w:rPr>
      </w:pPr>
      <w:r>
        <w:rPr>
          <w:spacing w:val="-33"/>
          <w:sz w:val="36"/>
        </w:rPr>
        <w:t xml:space="preserve">、跌水区 </w:t>
      </w:r>
      <w:r>
        <w:rPr>
          <w:sz w:val="36"/>
        </w:rPr>
        <w:t>HDPE</w:t>
      </w:r>
      <w:r>
        <w:rPr>
          <w:spacing w:val="-24"/>
          <w:sz w:val="36"/>
        </w:rPr>
        <w:t xml:space="preserve"> 土工膜锚固在 </w:t>
      </w:r>
      <w:r>
        <w:rPr>
          <w:sz w:val="36"/>
        </w:rPr>
        <w:t>C20</w:t>
      </w:r>
      <w:r>
        <w:rPr>
          <w:spacing w:val="-14"/>
          <w:sz w:val="36"/>
        </w:rPr>
        <w:t xml:space="preserve"> 砼挡墙上，施工时应先将连接处混</w:t>
      </w:r>
      <w:r>
        <w:rPr>
          <w:spacing w:val="-31"/>
          <w:sz w:val="36"/>
        </w:rPr>
        <w:t xml:space="preserve">凝土表面清理干净，涂上一层 </w:t>
      </w:r>
      <w:r>
        <w:rPr>
          <w:sz w:val="36"/>
        </w:rPr>
        <w:t>SR-2</w:t>
      </w:r>
      <w:r>
        <w:rPr>
          <w:spacing w:val="-99"/>
          <w:sz w:val="36"/>
        </w:rPr>
        <w:t xml:space="preserve"> 填料</w:t>
      </w:r>
      <w:r>
        <w:rPr>
          <w:sz w:val="36"/>
        </w:rPr>
        <w:t>（</w:t>
      </w:r>
      <w:r>
        <w:rPr>
          <w:spacing w:val="-58"/>
          <w:sz w:val="36"/>
        </w:rPr>
        <w:t xml:space="preserve">宽 </w:t>
      </w:r>
      <w:r>
        <w:rPr>
          <w:sz w:val="36"/>
        </w:rPr>
        <w:t>100mm</w:t>
      </w:r>
      <w:r>
        <w:rPr>
          <w:spacing w:val="-76"/>
          <w:sz w:val="36"/>
        </w:rPr>
        <w:t xml:space="preserve"> 厚 </w:t>
      </w:r>
      <w:r>
        <w:rPr>
          <w:sz w:val="36"/>
        </w:rPr>
        <w:t>3mm</w:t>
      </w:r>
      <w:r>
        <w:rPr>
          <w:spacing w:val="-180"/>
          <w:sz w:val="36"/>
        </w:rPr>
        <w:t>），</w:t>
      </w:r>
      <w:r>
        <w:rPr>
          <w:spacing w:val="-30"/>
          <w:sz w:val="36"/>
        </w:rPr>
        <w:t>贴上橡胶薄膜</w:t>
      </w:r>
      <w:r>
        <w:rPr>
          <w:sz w:val="36"/>
        </w:rPr>
        <w:t>（宽</w:t>
      </w:r>
      <w:r>
        <w:rPr>
          <w:spacing w:val="-114"/>
          <w:sz w:val="36"/>
        </w:rPr>
        <w:t xml:space="preserve"> </w:t>
      </w:r>
      <w:r>
        <w:rPr>
          <w:sz w:val="36"/>
        </w:rPr>
        <w:t>1000mm</w:t>
      </w:r>
      <w:r>
        <w:rPr>
          <w:spacing w:val="-40"/>
          <w:sz w:val="36"/>
        </w:rPr>
        <w:t xml:space="preserve">厚 </w:t>
      </w:r>
      <w:r>
        <w:rPr>
          <w:sz w:val="36"/>
        </w:rPr>
        <w:t>8mm）后再铺膜，并用型号为-50*5</w:t>
      </w:r>
      <w:r>
        <w:rPr>
          <w:spacing w:val="-10"/>
          <w:sz w:val="36"/>
        </w:rPr>
        <w:t xml:space="preserve"> 的镀锌扁钢压平，然后每隔用M10*100</w:t>
      </w:r>
      <w:r>
        <w:rPr>
          <w:spacing w:val="-11"/>
          <w:sz w:val="36"/>
        </w:rPr>
        <w:t xml:space="preserve"> 的膨胀螺栓将土工膜固定在混凝土挡墙上，最后刷沥青油膏覆盖封闭；</w:t>
      </w:r>
    </w:p>
    <w:p>
      <w:pPr>
        <w:pStyle w:val="ListParagraph"/>
        <w:numPr>
          <w:ilvl w:val="3"/>
          <w:numId w:val="21"/>
        </w:numPr>
        <w:tabs>
          <w:tab w:val="left" w:pos="3002"/>
        </w:tabs>
        <w:spacing w:before="4" w:after="0" w:line="364" w:lineRule="auto"/>
        <w:ind w:left="1200" w:right="2696" w:firstLine="899"/>
        <w:jc w:val="both"/>
        <w:rPr>
          <w:sz w:val="36"/>
        </w:rPr>
      </w:pPr>
      <w:r>
        <w:rPr>
          <w:spacing w:val="-23"/>
          <w:sz w:val="36"/>
        </w:rPr>
        <w:t>、施工时，先用备好的沙袋将摆好位置的膜临时固定，防止大风将</w:t>
      </w:r>
      <w:r>
        <w:rPr>
          <w:spacing w:val="-5"/>
          <w:sz w:val="36"/>
        </w:rPr>
        <w:t>HDPE</w:t>
      </w:r>
      <w:r>
        <w:rPr>
          <w:sz w:val="36"/>
        </w:rPr>
        <w:t>膜吹动移位，然后再进行膨胀螺栓锚固。</w:t>
      </w:r>
    </w:p>
    <w:p>
      <w:pPr>
        <w:pStyle w:val="BodyText"/>
        <w:spacing w:before="2"/>
        <w:ind w:left="2100"/>
      </w:pPr>
      <w:r>
        <w:t>4、HDPE 防渗土工膜施工注意事项</w:t>
      </w:r>
    </w:p>
    <w:p>
      <w:pPr>
        <w:spacing w:after="0"/>
        <w:sectPr>
          <w:pgSz w:w="17860" w:h="25260"/>
          <w:pgMar w:top="1920" w:right="0" w:bottom="280" w:left="1500" w:header="708" w:footer="708"/>
          <w:pgNumType w:start="39"/>
          <w:cols w:space="708"/>
        </w:sectPr>
      </w:pPr>
    </w:p>
    <w:p>
      <w:pPr>
        <w:pStyle w:val="ListParagraph"/>
        <w:numPr>
          <w:ilvl w:val="0"/>
          <w:numId w:val="20"/>
        </w:numPr>
        <w:tabs>
          <w:tab w:val="left" w:pos="3002"/>
        </w:tabs>
        <w:spacing w:before="35" w:after="0" w:line="240" w:lineRule="auto"/>
        <w:ind w:left="3001" w:right="0" w:hanging="902"/>
        <w:jc w:val="left"/>
        <w:rPr>
          <w:sz w:val="36"/>
        </w:rPr>
      </w:pPr>
      <w:r>
        <w:rPr>
          <w:sz w:val="36"/>
        </w:rPr>
        <w:t>、土工膜铺设前，必须彻底清除一切尖角硬物；</w:t>
      </w:r>
    </w:p>
    <w:p>
      <w:pPr>
        <w:pStyle w:val="ListParagraph"/>
        <w:numPr>
          <w:ilvl w:val="0"/>
          <w:numId w:val="20"/>
        </w:numPr>
        <w:tabs>
          <w:tab w:val="left" w:pos="3002"/>
        </w:tabs>
        <w:spacing w:before="242" w:after="0" w:line="364" w:lineRule="auto"/>
        <w:ind w:left="1200" w:right="2738" w:firstLine="899"/>
        <w:jc w:val="left"/>
        <w:rPr>
          <w:sz w:val="36"/>
        </w:rPr>
      </w:pPr>
      <w:r>
        <w:rPr>
          <w:sz w:val="36"/>
        </w:rPr>
        <w:t>、为保证土工膜的焊接质量，要将土工膜的焊缝面清理干净；施焊</w:t>
      </w:r>
      <w:r>
        <w:rPr>
          <w:spacing w:val="-5"/>
          <w:sz w:val="36"/>
        </w:rPr>
        <w:t>时基底一定要平整坚硬，拼缝搭接面一定要找平顺，防止焊缝褶皱不平；</w:t>
      </w:r>
    </w:p>
    <w:p>
      <w:pPr>
        <w:pStyle w:val="ListParagraph"/>
        <w:numPr>
          <w:ilvl w:val="0"/>
          <w:numId w:val="20"/>
        </w:numPr>
        <w:tabs>
          <w:tab w:val="left" w:pos="3002"/>
        </w:tabs>
        <w:spacing w:before="1" w:after="0" w:line="364" w:lineRule="auto"/>
        <w:ind w:left="1200" w:right="2738" w:firstLine="899"/>
        <w:jc w:val="left"/>
        <w:rPr>
          <w:sz w:val="36"/>
        </w:rPr>
      </w:pPr>
      <w:r>
        <w:rPr>
          <w:sz w:val="36"/>
        </w:rPr>
        <w:t>、热风枪，砂轮机和焊机拖带的电源线在使用过程中，必须最大限</w:t>
      </w:r>
      <w:r>
        <w:rPr>
          <w:spacing w:val="-5"/>
          <w:sz w:val="36"/>
        </w:rPr>
        <w:t>度的远离其工作部位，以免损伤电线发生漏电；</w:t>
      </w:r>
    </w:p>
    <w:p>
      <w:pPr>
        <w:pStyle w:val="ListParagraph"/>
        <w:numPr>
          <w:ilvl w:val="0"/>
          <w:numId w:val="20"/>
        </w:numPr>
        <w:tabs>
          <w:tab w:val="left" w:pos="3002"/>
        </w:tabs>
        <w:spacing w:before="2" w:after="0" w:line="364" w:lineRule="auto"/>
        <w:ind w:left="1200" w:right="2518" w:firstLine="899"/>
        <w:jc w:val="left"/>
        <w:rPr>
          <w:sz w:val="36"/>
        </w:rPr>
      </w:pPr>
      <w:r>
        <w:rPr>
          <w:spacing w:val="-23"/>
          <w:sz w:val="36"/>
        </w:rPr>
        <w:t xml:space="preserve">、除热风焊接外，热风枪的嘴部在任何情况下都不得与 </w:t>
      </w:r>
      <w:r>
        <w:rPr>
          <w:sz w:val="36"/>
        </w:rPr>
        <w:t>HDPE</w:t>
      </w:r>
      <w:r>
        <w:rPr>
          <w:spacing w:val="-19"/>
          <w:sz w:val="36"/>
        </w:rPr>
        <w:t xml:space="preserve"> 膜面接触</w:t>
      </w:r>
      <w:r>
        <w:rPr>
          <w:spacing w:val="-4"/>
          <w:sz w:val="36"/>
        </w:rPr>
        <w:t>，并且尽可能的远离膜面、人体、机械等物体，焊机不使用时，不得放置在 HDPE膜上面，应放置在支架或沙袋上；</w:t>
      </w:r>
    </w:p>
    <w:p>
      <w:pPr>
        <w:pStyle w:val="ListParagraph"/>
        <w:numPr>
          <w:ilvl w:val="0"/>
          <w:numId w:val="20"/>
        </w:numPr>
        <w:tabs>
          <w:tab w:val="left" w:pos="3002"/>
        </w:tabs>
        <w:spacing w:before="4" w:after="0" w:line="240" w:lineRule="auto"/>
        <w:ind w:left="3001" w:right="0" w:hanging="902"/>
        <w:jc w:val="left"/>
        <w:rPr>
          <w:sz w:val="36"/>
        </w:rPr>
      </w:pPr>
      <w:r>
        <w:rPr>
          <w:sz w:val="36"/>
        </w:rPr>
        <w:t>、每道工序完成后必须经现场监理工程师的验收认可方能进行下道工</w:t>
      </w:r>
    </w:p>
    <w:p>
      <w:pPr>
        <w:pStyle w:val="BodyText"/>
        <w:spacing w:before="12"/>
        <w:rPr>
          <w:sz w:val="14"/>
        </w:rPr>
      </w:pPr>
    </w:p>
    <w:p>
      <w:pPr>
        <w:pStyle w:val="BodyText"/>
        <w:spacing w:before="49"/>
        <w:ind w:left="1200"/>
      </w:pPr>
      <w:r>
        <w:t>序。</w:t>
      </w:r>
    </w:p>
    <w:p>
      <w:pPr>
        <w:pStyle w:val="BodyText"/>
        <w:spacing w:before="241"/>
        <w:ind w:left="2100"/>
      </w:pPr>
      <w:r>
        <w:t>5、HDPE 膜质量标准和性能要求</w:t>
      </w:r>
    </w:p>
    <w:p>
      <w:pPr>
        <w:pStyle w:val="BodyText"/>
        <w:spacing w:before="241"/>
        <w:ind w:left="2100"/>
      </w:pPr>
      <w:r>
        <w:rPr>
          <w:spacing w:val="48"/>
        </w:rPr>
        <w:t xml:space="preserve">本工程防渗膜采用的 </w:t>
      </w:r>
      <w:r>
        <w:t>HDPE</w:t>
      </w:r>
      <w:r>
        <w:rPr>
          <w:spacing w:val="45"/>
        </w:rPr>
        <w:t xml:space="preserve"> 膜应符合 </w:t>
      </w:r>
      <w:r>
        <w:t>GB17643/1988</w:t>
      </w:r>
      <w:r>
        <w:rPr>
          <w:spacing w:val="-36"/>
        </w:rPr>
        <w:t xml:space="preserve"> 、</w:t>
      </w:r>
      <w:r>
        <w:t>SL/T225-98</w:t>
      </w:r>
      <w:r>
        <w:rPr>
          <w:spacing w:val="-61"/>
        </w:rPr>
        <w:t xml:space="preserve"> 、</w:t>
      </w:r>
    </w:p>
    <w:p>
      <w:pPr>
        <w:pStyle w:val="BodyText"/>
        <w:spacing w:before="11"/>
        <w:rPr>
          <w:sz w:val="14"/>
        </w:rPr>
      </w:pPr>
    </w:p>
    <w:p>
      <w:pPr>
        <w:pStyle w:val="BodyText"/>
        <w:spacing w:before="50" w:after="53" w:line="364" w:lineRule="auto"/>
        <w:ind w:left="1200" w:right="2698"/>
      </w:pPr>
      <w:r>
        <w:drawing>
          <wp:anchor distT="0" distB="0" distL="0" distR="0" simplePos="0" relativeHeight="251676672" behindDoc="1" locked="0" layoutInCell="1" allowOverlap="1">
            <wp:simplePos x="0" y="0"/>
            <wp:positionH relativeFrom="page">
              <wp:posOffset>1435100</wp:posOffset>
            </wp:positionH>
            <wp:positionV relativeFrom="paragraph">
              <wp:posOffset>1289939</wp:posOffset>
            </wp:positionV>
            <wp:extent cx="8525732" cy="6372129"/>
            <wp:effectExtent l="0" t="0" r="0" b="0"/>
            <wp:wrapNone/>
            <wp:docPr id="2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3.png"/>
                    <pic:cNvPicPr/>
                  </pic:nvPicPr>
                  <pic:blipFill>
                    <a:blip xmlns:r="http://schemas.openxmlformats.org/officeDocument/2006/relationships" r:embed="rId26" cstate="print"/>
                    <a:stretch>
                      <a:fillRect/>
                    </a:stretch>
                  </pic:blipFill>
                  <pic:spPr>
                    <a:xfrm>
                      <a:off x="0" y="0"/>
                      <a:ext cx="8525732" cy="6372129"/>
                    </a:xfrm>
                    <a:prstGeom prst="rect">
                      <a:avLst/>
                    </a:prstGeom>
                  </pic:spPr>
                </pic:pic>
              </a:graphicData>
            </a:graphic>
          </wp:anchor>
        </w:drawing>
      </w:r>
      <w:r>
        <w:t>GB50290-98</w:t>
      </w:r>
      <w:r>
        <w:rPr>
          <w:spacing w:val="-18"/>
        </w:rPr>
        <w:t>、</w:t>
      </w:r>
      <w:r>
        <w:t>SL/T231-98</w:t>
      </w:r>
      <w:r>
        <w:rPr>
          <w:spacing w:val="-8"/>
        </w:rPr>
        <w:t xml:space="preserve"> 所规定要求，并满足设计规定，本工程采用的</w:t>
      </w:r>
      <w:r>
        <w:t>HDPE</w:t>
      </w:r>
      <w:r>
        <w:rPr>
          <w:spacing w:val="-53"/>
        </w:rPr>
        <w:t xml:space="preserve"> 膜</w:t>
      </w:r>
      <w:r>
        <w:t>技术性能指标应符合下表要求。</w:t>
      </w:r>
    </w:p>
    <w:tbl>
      <w:tblPr>
        <w:tblStyle w:val="TableNormal4"/>
        <w:tblW w:w="0" w:type="auto"/>
        <w:jc w:val="left"/>
        <w:tblInd w:w="10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90"/>
        <w:gridCol w:w="7709"/>
        <w:gridCol w:w="1369"/>
        <w:gridCol w:w="1529"/>
        <w:gridCol w:w="816"/>
      </w:tblGrid>
      <w:tr>
        <w:tblPrEx>
          <w:tblW w:w="0" w:type="auto"/>
          <w:jc w:val="left"/>
          <w:tblInd w:w="10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990" w:type="dxa"/>
          </w:tcPr>
          <w:p>
            <w:pPr>
              <w:pStyle w:val="TableParagraph"/>
              <w:jc w:val="left"/>
              <w:rPr>
                <w:rFonts w:ascii="Times New Roman"/>
                <w:sz w:val="36"/>
              </w:rPr>
            </w:pPr>
          </w:p>
        </w:tc>
        <w:tc>
          <w:tcPr>
            <w:tcW w:w="7709" w:type="dxa"/>
          </w:tcPr>
          <w:p>
            <w:pPr>
              <w:pStyle w:val="TableParagraph"/>
              <w:spacing w:line="411" w:lineRule="exact"/>
              <w:ind w:left="3773"/>
              <w:jc w:val="left"/>
              <w:rPr>
                <w:sz w:val="36"/>
              </w:rPr>
            </w:pPr>
            <w:r>
              <w:rPr>
                <w:sz w:val="36"/>
              </w:rPr>
              <w:t>HDPE 膜技术性能指标</w:t>
            </w:r>
          </w:p>
        </w:tc>
        <w:tc>
          <w:tcPr>
            <w:tcW w:w="3714" w:type="dxa"/>
            <w:gridSpan w:val="3"/>
          </w:tcPr>
          <w:p>
            <w:pPr>
              <w:pStyle w:val="TableParagraph"/>
              <w:jc w:val="left"/>
              <w:rPr>
                <w:rFonts w:ascii="Times New Roman"/>
                <w:sz w:val="36"/>
              </w:rPr>
            </w:pPr>
          </w:p>
        </w:tc>
      </w:tr>
      <w:tr>
        <w:tblPrEx>
          <w:tblW w:w="0" w:type="auto"/>
          <w:jc w:val="left"/>
          <w:tblInd w:w="1010" w:type="dxa"/>
          <w:tblLayout w:type="fixed"/>
          <w:tblCellMar>
            <w:top w:w="0" w:type="dxa"/>
            <w:left w:w="0" w:type="dxa"/>
            <w:bottom w:w="0" w:type="dxa"/>
            <w:right w:w="0" w:type="dxa"/>
          </w:tblCellMar>
          <w:tblLook w:val="01E0"/>
        </w:tblPrEx>
        <w:trPr>
          <w:trHeight w:val="1433"/>
          <w:jc w:val="left"/>
        </w:trPr>
        <w:tc>
          <w:tcPr>
            <w:tcW w:w="990" w:type="dxa"/>
          </w:tcPr>
          <w:p>
            <w:pPr>
              <w:pStyle w:val="TableParagraph"/>
              <w:spacing w:before="1"/>
              <w:jc w:val="left"/>
              <w:rPr>
                <w:sz w:val="38"/>
              </w:rPr>
            </w:pPr>
          </w:p>
          <w:p>
            <w:pPr>
              <w:pStyle w:val="TableParagraph"/>
              <w:ind w:left="30" w:right="199"/>
              <w:rPr>
                <w:sz w:val="36"/>
              </w:rPr>
            </w:pPr>
            <w:r>
              <w:rPr>
                <w:sz w:val="36"/>
              </w:rPr>
              <w:t>序号</w:t>
            </w:r>
          </w:p>
        </w:tc>
        <w:tc>
          <w:tcPr>
            <w:tcW w:w="7709" w:type="dxa"/>
          </w:tcPr>
          <w:p>
            <w:pPr>
              <w:pStyle w:val="TableParagraph"/>
              <w:spacing w:before="1"/>
              <w:jc w:val="left"/>
              <w:rPr>
                <w:sz w:val="38"/>
              </w:rPr>
            </w:pPr>
          </w:p>
          <w:p>
            <w:pPr>
              <w:pStyle w:val="TableParagraph"/>
              <w:ind w:left="3401" w:right="3547"/>
              <w:rPr>
                <w:sz w:val="36"/>
              </w:rPr>
            </w:pPr>
            <w:r>
              <w:rPr>
                <w:sz w:val="36"/>
              </w:rPr>
              <w:t>指标</w:t>
            </w:r>
          </w:p>
        </w:tc>
        <w:tc>
          <w:tcPr>
            <w:tcW w:w="1369" w:type="dxa"/>
          </w:tcPr>
          <w:p>
            <w:pPr>
              <w:pStyle w:val="TableParagraph"/>
              <w:jc w:val="left"/>
              <w:rPr>
                <w:sz w:val="36"/>
              </w:rPr>
            </w:pPr>
          </w:p>
          <w:p>
            <w:pPr>
              <w:pStyle w:val="TableParagraph"/>
              <w:spacing w:before="11"/>
              <w:jc w:val="left"/>
              <w:rPr>
                <w:sz w:val="29"/>
              </w:rPr>
            </w:pPr>
          </w:p>
          <w:p>
            <w:pPr>
              <w:pStyle w:val="TableParagraph"/>
              <w:ind w:left="584" w:right="25"/>
              <w:rPr>
                <w:sz w:val="36"/>
              </w:rPr>
            </w:pPr>
            <w:r>
              <w:rPr>
                <w:sz w:val="36"/>
              </w:rPr>
              <w:t>光面</w:t>
            </w:r>
          </w:p>
        </w:tc>
        <w:tc>
          <w:tcPr>
            <w:tcW w:w="1529" w:type="dxa"/>
          </w:tcPr>
          <w:p>
            <w:pPr>
              <w:pStyle w:val="TableParagraph"/>
              <w:spacing w:before="127"/>
              <w:ind w:left="41"/>
              <w:jc w:val="left"/>
              <w:rPr>
                <w:sz w:val="36"/>
              </w:rPr>
            </w:pPr>
            <w:r>
              <w:rPr>
                <w:sz w:val="36"/>
              </w:rPr>
              <w:t>膜测试值</w:t>
            </w:r>
          </w:p>
        </w:tc>
        <w:tc>
          <w:tcPr>
            <w:tcW w:w="816" w:type="dxa"/>
          </w:tcPr>
          <w:p>
            <w:pPr>
              <w:pStyle w:val="TableParagraph"/>
              <w:jc w:val="left"/>
              <w:rPr>
                <w:sz w:val="36"/>
              </w:rPr>
            </w:pPr>
          </w:p>
          <w:p>
            <w:pPr>
              <w:pStyle w:val="TableParagraph"/>
              <w:spacing w:before="11"/>
              <w:jc w:val="left"/>
              <w:rPr>
                <w:sz w:val="29"/>
              </w:rPr>
            </w:pPr>
          </w:p>
          <w:p>
            <w:pPr>
              <w:pStyle w:val="TableParagraph"/>
              <w:ind w:left="25" w:right="31"/>
              <w:rPr>
                <w:sz w:val="36"/>
              </w:rPr>
            </w:pPr>
            <w:r>
              <w:rPr>
                <w:sz w:val="36"/>
              </w:rPr>
              <w:t>糙面</w:t>
            </w:r>
          </w:p>
        </w:tc>
      </w:tr>
      <w:tr>
        <w:tblPrEx>
          <w:tblW w:w="0" w:type="auto"/>
          <w:jc w:val="left"/>
          <w:tblInd w:w="1010" w:type="dxa"/>
          <w:tblLayout w:type="fixed"/>
          <w:tblCellMar>
            <w:top w:w="0" w:type="dxa"/>
            <w:left w:w="0" w:type="dxa"/>
            <w:bottom w:w="0" w:type="dxa"/>
            <w:right w:w="0" w:type="dxa"/>
          </w:tblCellMar>
          <w:tblLook w:val="01E0"/>
        </w:tblPrEx>
        <w:trPr>
          <w:trHeight w:val="718"/>
          <w:jc w:val="left"/>
        </w:trPr>
        <w:tc>
          <w:tcPr>
            <w:tcW w:w="990" w:type="dxa"/>
          </w:tcPr>
          <w:p>
            <w:pPr>
              <w:pStyle w:val="TableParagraph"/>
              <w:spacing w:before="127"/>
              <w:ind w:right="169"/>
              <w:rPr>
                <w:sz w:val="36"/>
              </w:rPr>
            </w:pPr>
            <w:r>
              <w:rPr>
                <w:sz w:val="36"/>
              </w:rPr>
              <w:t>1</w:t>
            </w:r>
          </w:p>
        </w:tc>
        <w:tc>
          <w:tcPr>
            <w:tcW w:w="7709" w:type="dxa"/>
          </w:tcPr>
          <w:p>
            <w:pPr>
              <w:pStyle w:val="TableParagraph"/>
              <w:spacing w:before="127"/>
              <w:ind w:left="219"/>
              <w:jc w:val="left"/>
              <w:rPr>
                <w:sz w:val="36"/>
              </w:rPr>
            </w:pPr>
            <w:r>
              <w:rPr>
                <w:sz w:val="36"/>
              </w:rPr>
              <w:t>毛糙高度 mm</w:t>
            </w:r>
          </w:p>
        </w:tc>
        <w:tc>
          <w:tcPr>
            <w:tcW w:w="1369" w:type="dxa"/>
          </w:tcPr>
          <w:p>
            <w:pPr>
              <w:pStyle w:val="TableParagraph"/>
              <w:jc w:val="left"/>
              <w:rPr>
                <w:rFonts w:ascii="Times New Roman"/>
                <w:sz w:val="36"/>
              </w:rPr>
            </w:pPr>
          </w:p>
        </w:tc>
        <w:tc>
          <w:tcPr>
            <w:tcW w:w="1529" w:type="dxa"/>
          </w:tcPr>
          <w:p>
            <w:pPr>
              <w:pStyle w:val="TableParagraph"/>
              <w:jc w:val="left"/>
              <w:rPr>
                <w:rFonts w:ascii="Times New Roman"/>
                <w:sz w:val="36"/>
              </w:rPr>
            </w:pPr>
          </w:p>
        </w:tc>
        <w:tc>
          <w:tcPr>
            <w:tcW w:w="816" w:type="dxa"/>
          </w:tcPr>
          <w:p>
            <w:pPr>
              <w:pStyle w:val="TableParagraph"/>
              <w:jc w:val="left"/>
              <w:rPr>
                <w:rFonts w:ascii="Times New Roman"/>
                <w:sz w:val="36"/>
              </w:rPr>
            </w:pPr>
          </w:p>
        </w:tc>
      </w:tr>
      <w:tr>
        <w:tblPrEx>
          <w:tblW w:w="0" w:type="auto"/>
          <w:jc w:val="left"/>
          <w:tblInd w:w="1010" w:type="dxa"/>
          <w:tblLayout w:type="fixed"/>
          <w:tblCellMar>
            <w:top w:w="0" w:type="dxa"/>
            <w:left w:w="0" w:type="dxa"/>
            <w:bottom w:w="0" w:type="dxa"/>
            <w:right w:w="0" w:type="dxa"/>
          </w:tblCellMar>
          <w:tblLook w:val="01E0"/>
        </w:tblPrEx>
        <w:trPr>
          <w:trHeight w:val="718"/>
          <w:jc w:val="left"/>
        </w:trPr>
        <w:tc>
          <w:tcPr>
            <w:tcW w:w="990" w:type="dxa"/>
          </w:tcPr>
          <w:p>
            <w:pPr>
              <w:pStyle w:val="TableParagraph"/>
              <w:spacing w:before="129"/>
              <w:ind w:right="169"/>
              <w:rPr>
                <w:sz w:val="36"/>
              </w:rPr>
            </w:pPr>
            <w:r>
              <w:rPr>
                <w:sz w:val="36"/>
              </w:rPr>
              <w:t>2</w:t>
            </w:r>
          </w:p>
        </w:tc>
        <w:tc>
          <w:tcPr>
            <w:tcW w:w="7709" w:type="dxa"/>
          </w:tcPr>
          <w:p>
            <w:pPr>
              <w:pStyle w:val="TableParagraph"/>
              <w:spacing w:before="129"/>
              <w:ind w:left="219"/>
              <w:jc w:val="left"/>
              <w:rPr>
                <w:sz w:val="36"/>
              </w:rPr>
            </w:pPr>
            <w:r>
              <w:rPr>
                <w:sz w:val="36"/>
              </w:rPr>
              <w:t>最小密度 g/cm</w:t>
            </w:r>
          </w:p>
        </w:tc>
        <w:tc>
          <w:tcPr>
            <w:tcW w:w="1369" w:type="dxa"/>
          </w:tcPr>
          <w:p>
            <w:pPr>
              <w:pStyle w:val="TableParagraph"/>
              <w:jc w:val="left"/>
              <w:rPr>
                <w:rFonts w:ascii="Times New Roman"/>
                <w:sz w:val="36"/>
              </w:rPr>
            </w:pPr>
          </w:p>
        </w:tc>
        <w:tc>
          <w:tcPr>
            <w:tcW w:w="1529" w:type="dxa"/>
          </w:tcPr>
          <w:p>
            <w:pPr>
              <w:pStyle w:val="TableParagraph"/>
              <w:jc w:val="left"/>
              <w:rPr>
                <w:rFonts w:ascii="Times New Roman"/>
                <w:sz w:val="36"/>
              </w:rPr>
            </w:pPr>
          </w:p>
        </w:tc>
        <w:tc>
          <w:tcPr>
            <w:tcW w:w="816" w:type="dxa"/>
          </w:tcPr>
          <w:p>
            <w:pPr>
              <w:pStyle w:val="TableParagraph"/>
              <w:jc w:val="left"/>
              <w:rPr>
                <w:rFonts w:ascii="Times New Roman"/>
                <w:sz w:val="36"/>
              </w:rPr>
            </w:pPr>
          </w:p>
        </w:tc>
      </w:tr>
      <w:tr>
        <w:tblPrEx>
          <w:tblW w:w="0" w:type="auto"/>
          <w:jc w:val="left"/>
          <w:tblInd w:w="1010" w:type="dxa"/>
          <w:tblLayout w:type="fixed"/>
          <w:tblCellMar>
            <w:top w:w="0" w:type="dxa"/>
            <w:left w:w="0" w:type="dxa"/>
            <w:bottom w:w="0" w:type="dxa"/>
            <w:right w:w="0" w:type="dxa"/>
          </w:tblCellMar>
          <w:tblLook w:val="01E0"/>
        </w:tblPrEx>
        <w:trPr>
          <w:trHeight w:val="716"/>
          <w:jc w:val="left"/>
        </w:trPr>
        <w:tc>
          <w:tcPr>
            <w:tcW w:w="990" w:type="dxa"/>
          </w:tcPr>
          <w:p>
            <w:pPr>
              <w:pStyle w:val="TableParagraph"/>
              <w:spacing w:before="127"/>
              <w:ind w:right="169"/>
              <w:rPr>
                <w:sz w:val="36"/>
              </w:rPr>
            </w:pPr>
            <w:r>
              <w:rPr>
                <w:sz w:val="36"/>
              </w:rPr>
              <w:t>3</w:t>
            </w:r>
          </w:p>
        </w:tc>
        <w:tc>
          <w:tcPr>
            <w:tcW w:w="7709" w:type="dxa"/>
          </w:tcPr>
          <w:p>
            <w:pPr>
              <w:pStyle w:val="TableParagraph"/>
              <w:spacing w:before="127"/>
              <w:ind w:left="219"/>
              <w:jc w:val="left"/>
              <w:rPr>
                <w:sz w:val="36"/>
              </w:rPr>
            </w:pPr>
            <w:r>
              <w:rPr>
                <w:sz w:val="36"/>
              </w:rPr>
              <w:t>拉伸性能</w:t>
            </w:r>
          </w:p>
        </w:tc>
        <w:tc>
          <w:tcPr>
            <w:tcW w:w="1369" w:type="dxa"/>
          </w:tcPr>
          <w:p>
            <w:pPr>
              <w:pStyle w:val="TableParagraph"/>
              <w:jc w:val="left"/>
              <w:rPr>
                <w:rFonts w:ascii="Times New Roman"/>
                <w:sz w:val="36"/>
              </w:rPr>
            </w:pPr>
          </w:p>
        </w:tc>
        <w:tc>
          <w:tcPr>
            <w:tcW w:w="1529" w:type="dxa"/>
          </w:tcPr>
          <w:p>
            <w:pPr>
              <w:pStyle w:val="TableParagraph"/>
              <w:jc w:val="left"/>
              <w:rPr>
                <w:rFonts w:ascii="Times New Roman"/>
                <w:sz w:val="36"/>
              </w:rPr>
            </w:pPr>
          </w:p>
        </w:tc>
        <w:tc>
          <w:tcPr>
            <w:tcW w:w="816" w:type="dxa"/>
          </w:tcPr>
          <w:p>
            <w:pPr>
              <w:pStyle w:val="TableParagraph"/>
              <w:jc w:val="left"/>
              <w:rPr>
                <w:rFonts w:ascii="Times New Roman"/>
                <w:sz w:val="36"/>
              </w:rPr>
            </w:pPr>
          </w:p>
        </w:tc>
      </w:tr>
      <w:tr>
        <w:tblPrEx>
          <w:tblW w:w="0" w:type="auto"/>
          <w:jc w:val="left"/>
          <w:tblInd w:w="1010" w:type="dxa"/>
          <w:tblLayout w:type="fixed"/>
          <w:tblCellMar>
            <w:top w:w="0" w:type="dxa"/>
            <w:left w:w="0" w:type="dxa"/>
            <w:bottom w:w="0" w:type="dxa"/>
            <w:right w:w="0" w:type="dxa"/>
          </w:tblCellMar>
          <w:tblLook w:val="01E0"/>
        </w:tblPrEx>
        <w:trPr>
          <w:trHeight w:val="716"/>
          <w:jc w:val="left"/>
        </w:trPr>
        <w:tc>
          <w:tcPr>
            <w:tcW w:w="990" w:type="dxa"/>
          </w:tcPr>
          <w:p>
            <w:pPr>
              <w:pStyle w:val="TableParagraph"/>
              <w:jc w:val="left"/>
              <w:rPr>
                <w:rFonts w:ascii="Times New Roman"/>
                <w:sz w:val="36"/>
              </w:rPr>
            </w:pPr>
          </w:p>
        </w:tc>
        <w:tc>
          <w:tcPr>
            <w:tcW w:w="7709" w:type="dxa"/>
          </w:tcPr>
          <w:p>
            <w:pPr>
              <w:pStyle w:val="TableParagraph"/>
              <w:spacing w:before="127"/>
              <w:ind w:left="219"/>
              <w:jc w:val="left"/>
              <w:rPr>
                <w:sz w:val="36"/>
              </w:rPr>
            </w:pPr>
            <w:r>
              <w:rPr>
                <w:sz w:val="36"/>
              </w:rPr>
              <w:t>屈服强度（应力</w:t>
            </w:r>
            <w:r>
              <w:rPr>
                <w:spacing w:val="-180"/>
                <w:sz w:val="36"/>
              </w:rPr>
              <w:t>）</w:t>
            </w:r>
            <w:r>
              <w:rPr>
                <w:sz w:val="36"/>
              </w:rPr>
              <w:t>，N/mm</w:t>
            </w:r>
          </w:p>
        </w:tc>
        <w:tc>
          <w:tcPr>
            <w:tcW w:w="1369" w:type="dxa"/>
          </w:tcPr>
          <w:p>
            <w:pPr>
              <w:pStyle w:val="TableParagraph"/>
              <w:spacing w:before="127"/>
              <w:ind w:left="584" w:right="25"/>
              <w:rPr>
                <w:sz w:val="36"/>
              </w:rPr>
            </w:pPr>
            <w:r>
              <w:rPr>
                <w:sz w:val="36"/>
              </w:rPr>
              <w:t>22</w:t>
            </w:r>
          </w:p>
        </w:tc>
        <w:tc>
          <w:tcPr>
            <w:tcW w:w="1529" w:type="dxa"/>
          </w:tcPr>
          <w:p>
            <w:pPr>
              <w:pStyle w:val="TableParagraph"/>
              <w:jc w:val="left"/>
              <w:rPr>
                <w:rFonts w:ascii="Times New Roman"/>
                <w:sz w:val="36"/>
              </w:rPr>
            </w:pPr>
          </w:p>
        </w:tc>
        <w:tc>
          <w:tcPr>
            <w:tcW w:w="816" w:type="dxa"/>
          </w:tcPr>
          <w:p>
            <w:pPr>
              <w:pStyle w:val="TableParagraph"/>
              <w:spacing w:before="127"/>
              <w:ind w:left="25" w:right="31"/>
              <w:rPr>
                <w:sz w:val="36"/>
              </w:rPr>
            </w:pPr>
            <w:r>
              <w:rPr>
                <w:sz w:val="36"/>
              </w:rPr>
              <w:t>22</w:t>
            </w:r>
          </w:p>
        </w:tc>
      </w:tr>
      <w:tr>
        <w:tblPrEx>
          <w:tblW w:w="0" w:type="auto"/>
          <w:jc w:val="left"/>
          <w:tblInd w:w="1010" w:type="dxa"/>
          <w:tblLayout w:type="fixed"/>
          <w:tblCellMar>
            <w:top w:w="0" w:type="dxa"/>
            <w:left w:w="0" w:type="dxa"/>
            <w:bottom w:w="0" w:type="dxa"/>
            <w:right w:w="0" w:type="dxa"/>
          </w:tblCellMar>
          <w:tblLook w:val="01E0"/>
        </w:tblPrEx>
        <w:trPr>
          <w:trHeight w:val="716"/>
          <w:jc w:val="left"/>
        </w:trPr>
        <w:tc>
          <w:tcPr>
            <w:tcW w:w="990" w:type="dxa"/>
          </w:tcPr>
          <w:p>
            <w:pPr>
              <w:pStyle w:val="TableParagraph"/>
              <w:jc w:val="left"/>
              <w:rPr>
                <w:rFonts w:ascii="Times New Roman"/>
                <w:sz w:val="36"/>
              </w:rPr>
            </w:pPr>
          </w:p>
        </w:tc>
        <w:tc>
          <w:tcPr>
            <w:tcW w:w="7709" w:type="dxa"/>
          </w:tcPr>
          <w:p>
            <w:pPr>
              <w:pStyle w:val="TableParagraph"/>
              <w:spacing w:before="127"/>
              <w:ind w:left="219"/>
              <w:jc w:val="left"/>
              <w:rPr>
                <w:sz w:val="36"/>
              </w:rPr>
            </w:pPr>
            <w:r>
              <w:rPr>
                <w:sz w:val="36"/>
              </w:rPr>
              <w:t>断裂强度（应力</w:t>
            </w:r>
            <w:r>
              <w:rPr>
                <w:spacing w:val="-180"/>
                <w:sz w:val="36"/>
              </w:rPr>
              <w:t>）</w:t>
            </w:r>
            <w:r>
              <w:rPr>
                <w:sz w:val="36"/>
              </w:rPr>
              <w:t>，N/mm</w:t>
            </w:r>
          </w:p>
        </w:tc>
        <w:tc>
          <w:tcPr>
            <w:tcW w:w="1369" w:type="dxa"/>
          </w:tcPr>
          <w:p>
            <w:pPr>
              <w:pStyle w:val="TableParagraph"/>
              <w:spacing w:before="127"/>
              <w:ind w:left="584" w:right="25"/>
              <w:rPr>
                <w:sz w:val="36"/>
              </w:rPr>
            </w:pPr>
            <w:r>
              <w:rPr>
                <w:sz w:val="36"/>
              </w:rPr>
              <w:t>40</w:t>
            </w:r>
          </w:p>
        </w:tc>
        <w:tc>
          <w:tcPr>
            <w:tcW w:w="1529" w:type="dxa"/>
          </w:tcPr>
          <w:p>
            <w:pPr>
              <w:pStyle w:val="TableParagraph"/>
              <w:jc w:val="left"/>
              <w:rPr>
                <w:rFonts w:ascii="Times New Roman"/>
                <w:sz w:val="36"/>
              </w:rPr>
            </w:pPr>
          </w:p>
        </w:tc>
        <w:tc>
          <w:tcPr>
            <w:tcW w:w="816" w:type="dxa"/>
          </w:tcPr>
          <w:p>
            <w:pPr>
              <w:pStyle w:val="TableParagraph"/>
              <w:spacing w:before="127"/>
              <w:ind w:left="25" w:right="31"/>
              <w:rPr>
                <w:sz w:val="36"/>
              </w:rPr>
            </w:pPr>
            <w:r>
              <w:rPr>
                <w:sz w:val="36"/>
              </w:rPr>
              <w:t>16</w:t>
            </w:r>
          </w:p>
        </w:tc>
      </w:tr>
      <w:tr>
        <w:tblPrEx>
          <w:tblW w:w="0" w:type="auto"/>
          <w:jc w:val="left"/>
          <w:tblInd w:w="1010" w:type="dxa"/>
          <w:tblLayout w:type="fixed"/>
          <w:tblCellMar>
            <w:top w:w="0" w:type="dxa"/>
            <w:left w:w="0" w:type="dxa"/>
            <w:bottom w:w="0" w:type="dxa"/>
            <w:right w:w="0" w:type="dxa"/>
          </w:tblCellMar>
          <w:tblLook w:val="01E0"/>
        </w:tblPrEx>
        <w:trPr>
          <w:trHeight w:val="716"/>
          <w:jc w:val="left"/>
        </w:trPr>
        <w:tc>
          <w:tcPr>
            <w:tcW w:w="990" w:type="dxa"/>
          </w:tcPr>
          <w:p>
            <w:pPr>
              <w:pStyle w:val="TableParagraph"/>
              <w:jc w:val="left"/>
              <w:rPr>
                <w:rFonts w:ascii="Times New Roman"/>
                <w:sz w:val="36"/>
              </w:rPr>
            </w:pPr>
          </w:p>
        </w:tc>
        <w:tc>
          <w:tcPr>
            <w:tcW w:w="7709" w:type="dxa"/>
          </w:tcPr>
          <w:p>
            <w:pPr>
              <w:pStyle w:val="TableParagraph"/>
              <w:spacing w:before="127"/>
              <w:ind w:left="219"/>
              <w:jc w:val="left"/>
              <w:rPr>
                <w:sz w:val="36"/>
              </w:rPr>
            </w:pPr>
            <w:r>
              <w:rPr>
                <w:sz w:val="36"/>
              </w:rPr>
              <w:t>曲阜伸长率，%</w:t>
            </w:r>
          </w:p>
        </w:tc>
        <w:tc>
          <w:tcPr>
            <w:tcW w:w="1369" w:type="dxa"/>
          </w:tcPr>
          <w:p>
            <w:pPr>
              <w:pStyle w:val="TableParagraph"/>
              <w:spacing w:before="127"/>
              <w:ind w:left="584" w:right="25"/>
              <w:rPr>
                <w:sz w:val="36"/>
              </w:rPr>
            </w:pPr>
            <w:r>
              <w:rPr>
                <w:sz w:val="36"/>
              </w:rPr>
              <w:t>12</w:t>
            </w:r>
          </w:p>
        </w:tc>
        <w:tc>
          <w:tcPr>
            <w:tcW w:w="1529" w:type="dxa"/>
          </w:tcPr>
          <w:p>
            <w:pPr>
              <w:pStyle w:val="TableParagraph"/>
              <w:jc w:val="left"/>
              <w:rPr>
                <w:rFonts w:ascii="Times New Roman"/>
                <w:sz w:val="36"/>
              </w:rPr>
            </w:pPr>
          </w:p>
        </w:tc>
        <w:tc>
          <w:tcPr>
            <w:tcW w:w="816" w:type="dxa"/>
          </w:tcPr>
          <w:p>
            <w:pPr>
              <w:pStyle w:val="TableParagraph"/>
              <w:spacing w:before="127"/>
              <w:ind w:left="25" w:right="31"/>
              <w:rPr>
                <w:sz w:val="36"/>
              </w:rPr>
            </w:pPr>
            <w:r>
              <w:rPr>
                <w:sz w:val="36"/>
              </w:rPr>
              <w:t>12</w:t>
            </w:r>
          </w:p>
        </w:tc>
      </w:tr>
      <w:tr>
        <w:tblPrEx>
          <w:tblW w:w="0" w:type="auto"/>
          <w:jc w:val="left"/>
          <w:tblInd w:w="1010" w:type="dxa"/>
          <w:tblLayout w:type="fixed"/>
          <w:tblCellMar>
            <w:top w:w="0" w:type="dxa"/>
            <w:left w:w="0" w:type="dxa"/>
            <w:bottom w:w="0" w:type="dxa"/>
            <w:right w:w="0" w:type="dxa"/>
          </w:tblCellMar>
          <w:tblLook w:val="01E0"/>
        </w:tblPrEx>
        <w:trPr>
          <w:trHeight w:val="718"/>
          <w:jc w:val="left"/>
        </w:trPr>
        <w:tc>
          <w:tcPr>
            <w:tcW w:w="990" w:type="dxa"/>
          </w:tcPr>
          <w:p>
            <w:pPr>
              <w:pStyle w:val="TableParagraph"/>
              <w:jc w:val="left"/>
              <w:rPr>
                <w:rFonts w:ascii="Times New Roman"/>
                <w:sz w:val="36"/>
              </w:rPr>
            </w:pPr>
          </w:p>
        </w:tc>
        <w:tc>
          <w:tcPr>
            <w:tcW w:w="7709" w:type="dxa"/>
          </w:tcPr>
          <w:p>
            <w:pPr>
              <w:pStyle w:val="TableParagraph"/>
              <w:spacing w:before="128"/>
              <w:ind w:left="219"/>
              <w:jc w:val="left"/>
              <w:rPr>
                <w:sz w:val="36"/>
              </w:rPr>
            </w:pPr>
            <w:r>
              <w:rPr>
                <w:sz w:val="36"/>
              </w:rPr>
              <w:t>断裂伸长率，%</w:t>
            </w:r>
          </w:p>
        </w:tc>
        <w:tc>
          <w:tcPr>
            <w:tcW w:w="1369" w:type="dxa"/>
          </w:tcPr>
          <w:p>
            <w:pPr>
              <w:pStyle w:val="TableParagraph"/>
              <w:spacing w:before="128"/>
              <w:ind w:left="584" w:right="25"/>
              <w:rPr>
                <w:sz w:val="36"/>
              </w:rPr>
            </w:pPr>
            <w:r>
              <w:rPr>
                <w:sz w:val="36"/>
              </w:rPr>
              <w:t>700</w:t>
            </w:r>
          </w:p>
        </w:tc>
        <w:tc>
          <w:tcPr>
            <w:tcW w:w="1529" w:type="dxa"/>
          </w:tcPr>
          <w:p>
            <w:pPr>
              <w:pStyle w:val="TableParagraph"/>
              <w:jc w:val="left"/>
              <w:rPr>
                <w:rFonts w:ascii="Times New Roman"/>
                <w:sz w:val="36"/>
              </w:rPr>
            </w:pPr>
          </w:p>
        </w:tc>
        <w:tc>
          <w:tcPr>
            <w:tcW w:w="816" w:type="dxa"/>
          </w:tcPr>
          <w:p>
            <w:pPr>
              <w:pStyle w:val="TableParagraph"/>
              <w:spacing w:before="128"/>
              <w:ind w:left="25" w:right="31"/>
              <w:rPr>
                <w:sz w:val="36"/>
              </w:rPr>
            </w:pPr>
            <w:r>
              <w:rPr>
                <w:sz w:val="36"/>
              </w:rPr>
              <w:t>100</w:t>
            </w:r>
          </w:p>
        </w:tc>
      </w:tr>
      <w:tr>
        <w:tblPrEx>
          <w:tblW w:w="0" w:type="auto"/>
          <w:jc w:val="left"/>
          <w:tblInd w:w="1010" w:type="dxa"/>
          <w:tblLayout w:type="fixed"/>
          <w:tblCellMar>
            <w:top w:w="0" w:type="dxa"/>
            <w:left w:w="0" w:type="dxa"/>
            <w:bottom w:w="0" w:type="dxa"/>
            <w:right w:w="0" w:type="dxa"/>
          </w:tblCellMar>
          <w:tblLook w:val="01E0"/>
        </w:tblPrEx>
        <w:trPr>
          <w:trHeight w:val="718"/>
          <w:jc w:val="left"/>
        </w:trPr>
        <w:tc>
          <w:tcPr>
            <w:tcW w:w="990" w:type="dxa"/>
          </w:tcPr>
          <w:p>
            <w:pPr>
              <w:pStyle w:val="TableParagraph"/>
              <w:spacing w:before="129"/>
              <w:ind w:right="169"/>
              <w:rPr>
                <w:sz w:val="36"/>
              </w:rPr>
            </w:pPr>
            <w:r>
              <w:rPr>
                <w:sz w:val="36"/>
              </w:rPr>
              <w:t>4</w:t>
            </w:r>
          </w:p>
        </w:tc>
        <w:tc>
          <w:tcPr>
            <w:tcW w:w="7709" w:type="dxa"/>
          </w:tcPr>
          <w:p>
            <w:pPr>
              <w:pStyle w:val="TableParagraph"/>
              <w:spacing w:before="129"/>
              <w:ind w:left="219"/>
              <w:jc w:val="left"/>
              <w:rPr>
                <w:sz w:val="36"/>
              </w:rPr>
            </w:pPr>
            <w:r>
              <w:rPr>
                <w:sz w:val="36"/>
              </w:rPr>
              <w:t>直角撕裂强度，N</w:t>
            </w:r>
          </w:p>
        </w:tc>
        <w:tc>
          <w:tcPr>
            <w:tcW w:w="1369" w:type="dxa"/>
          </w:tcPr>
          <w:p>
            <w:pPr>
              <w:pStyle w:val="TableParagraph"/>
              <w:spacing w:before="129"/>
              <w:ind w:left="584" w:right="25"/>
              <w:rPr>
                <w:sz w:val="36"/>
              </w:rPr>
            </w:pPr>
            <w:r>
              <w:rPr>
                <w:sz w:val="36"/>
              </w:rPr>
              <w:t>187</w:t>
            </w:r>
          </w:p>
        </w:tc>
        <w:tc>
          <w:tcPr>
            <w:tcW w:w="1529" w:type="dxa"/>
          </w:tcPr>
          <w:p>
            <w:pPr>
              <w:pStyle w:val="TableParagraph"/>
              <w:jc w:val="left"/>
              <w:rPr>
                <w:rFonts w:ascii="Times New Roman"/>
                <w:sz w:val="36"/>
              </w:rPr>
            </w:pPr>
          </w:p>
        </w:tc>
        <w:tc>
          <w:tcPr>
            <w:tcW w:w="816" w:type="dxa"/>
          </w:tcPr>
          <w:p>
            <w:pPr>
              <w:pStyle w:val="TableParagraph"/>
              <w:spacing w:before="129"/>
              <w:ind w:left="25" w:right="31"/>
              <w:rPr>
                <w:sz w:val="36"/>
              </w:rPr>
            </w:pPr>
            <w:r>
              <w:rPr>
                <w:sz w:val="36"/>
              </w:rPr>
              <w:t>187</w:t>
            </w:r>
          </w:p>
        </w:tc>
      </w:tr>
      <w:tr>
        <w:tblPrEx>
          <w:tblW w:w="0" w:type="auto"/>
          <w:jc w:val="left"/>
          <w:tblInd w:w="1010" w:type="dxa"/>
          <w:tblLayout w:type="fixed"/>
          <w:tblCellMar>
            <w:top w:w="0" w:type="dxa"/>
            <w:left w:w="0" w:type="dxa"/>
            <w:bottom w:w="0" w:type="dxa"/>
            <w:right w:w="0" w:type="dxa"/>
          </w:tblCellMar>
          <w:tblLook w:val="01E0"/>
        </w:tblPrEx>
        <w:trPr>
          <w:trHeight w:val="716"/>
          <w:jc w:val="left"/>
        </w:trPr>
        <w:tc>
          <w:tcPr>
            <w:tcW w:w="990" w:type="dxa"/>
          </w:tcPr>
          <w:p>
            <w:pPr>
              <w:pStyle w:val="TableParagraph"/>
              <w:spacing w:before="127"/>
              <w:ind w:right="169"/>
              <w:rPr>
                <w:sz w:val="36"/>
              </w:rPr>
            </w:pPr>
            <w:r>
              <w:rPr>
                <w:sz w:val="36"/>
              </w:rPr>
              <w:t>5</w:t>
            </w:r>
          </w:p>
        </w:tc>
        <w:tc>
          <w:tcPr>
            <w:tcW w:w="7709" w:type="dxa"/>
          </w:tcPr>
          <w:p>
            <w:pPr>
              <w:pStyle w:val="TableParagraph"/>
              <w:spacing w:before="127"/>
              <w:ind w:left="219"/>
              <w:jc w:val="left"/>
              <w:rPr>
                <w:sz w:val="36"/>
              </w:rPr>
            </w:pPr>
            <w:r>
              <w:rPr>
                <w:sz w:val="36"/>
              </w:rPr>
              <w:t>穿刺强度，N</w:t>
            </w:r>
          </w:p>
        </w:tc>
        <w:tc>
          <w:tcPr>
            <w:tcW w:w="1369" w:type="dxa"/>
          </w:tcPr>
          <w:p>
            <w:pPr>
              <w:pStyle w:val="TableParagraph"/>
              <w:spacing w:before="127"/>
              <w:ind w:left="584" w:right="25"/>
              <w:rPr>
                <w:sz w:val="36"/>
              </w:rPr>
            </w:pPr>
            <w:r>
              <w:rPr>
                <w:sz w:val="36"/>
              </w:rPr>
              <w:t>480</w:t>
            </w:r>
          </w:p>
        </w:tc>
        <w:tc>
          <w:tcPr>
            <w:tcW w:w="1529" w:type="dxa"/>
          </w:tcPr>
          <w:p>
            <w:pPr>
              <w:pStyle w:val="TableParagraph"/>
              <w:jc w:val="left"/>
              <w:rPr>
                <w:rFonts w:ascii="Times New Roman"/>
                <w:sz w:val="36"/>
              </w:rPr>
            </w:pPr>
          </w:p>
        </w:tc>
        <w:tc>
          <w:tcPr>
            <w:tcW w:w="816" w:type="dxa"/>
          </w:tcPr>
          <w:p>
            <w:pPr>
              <w:pStyle w:val="TableParagraph"/>
              <w:spacing w:before="127"/>
              <w:ind w:left="25" w:right="31"/>
              <w:rPr>
                <w:sz w:val="36"/>
              </w:rPr>
            </w:pPr>
            <w:r>
              <w:rPr>
                <w:sz w:val="36"/>
              </w:rPr>
              <w:t>400</w:t>
            </w:r>
          </w:p>
        </w:tc>
      </w:tr>
      <w:tr>
        <w:tblPrEx>
          <w:tblW w:w="0" w:type="auto"/>
          <w:jc w:val="left"/>
          <w:tblInd w:w="1010" w:type="dxa"/>
          <w:tblLayout w:type="fixed"/>
          <w:tblCellMar>
            <w:top w:w="0" w:type="dxa"/>
            <w:left w:w="0" w:type="dxa"/>
            <w:bottom w:w="0" w:type="dxa"/>
            <w:right w:w="0" w:type="dxa"/>
          </w:tblCellMar>
          <w:tblLook w:val="01E0"/>
        </w:tblPrEx>
        <w:trPr>
          <w:trHeight w:val="716"/>
          <w:jc w:val="left"/>
        </w:trPr>
        <w:tc>
          <w:tcPr>
            <w:tcW w:w="990" w:type="dxa"/>
          </w:tcPr>
          <w:p>
            <w:pPr>
              <w:pStyle w:val="TableParagraph"/>
              <w:spacing w:before="127"/>
              <w:ind w:right="169"/>
              <w:rPr>
                <w:sz w:val="36"/>
              </w:rPr>
            </w:pPr>
            <w:r>
              <w:rPr>
                <w:sz w:val="36"/>
              </w:rPr>
              <w:t>6</w:t>
            </w:r>
          </w:p>
        </w:tc>
        <w:tc>
          <w:tcPr>
            <w:tcW w:w="7709" w:type="dxa"/>
          </w:tcPr>
          <w:p>
            <w:pPr>
              <w:pStyle w:val="TableParagraph"/>
              <w:spacing w:before="127"/>
              <w:ind w:left="219"/>
              <w:jc w:val="left"/>
              <w:rPr>
                <w:sz w:val="36"/>
              </w:rPr>
            </w:pPr>
            <w:r>
              <w:rPr>
                <w:sz w:val="36"/>
              </w:rPr>
              <w:t>耐环境应力开裂，h</w:t>
            </w:r>
          </w:p>
        </w:tc>
        <w:tc>
          <w:tcPr>
            <w:tcW w:w="1369" w:type="dxa"/>
          </w:tcPr>
          <w:p>
            <w:pPr>
              <w:pStyle w:val="TableParagraph"/>
              <w:spacing w:before="127"/>
              <w:ind w:left="584" w:right="25"/>
              <w:rPr>
                <w:sz w:val="36"/>
              </w:rPr>
            </w:pPr>
            <w:r>
              <w:rPr>
                <w:sz w:val="36"/>
              </w:rPr>
              <w:t>300</w:t>
            </w:r>
          </w:p>
        </w:tc>
        <w:tc>
          <w:tcPr>
            <w:tcW w:w="1529" w:type="dxa"/>
          </w:tcPr>
          <w:p>
            <w:pPr>
              <w:pStyle w:val="TableParagraph"/>
              <w:jc w:val="left"/>
              <w:rPr>
                <w:rFonts w:ascii="Times New Roman"/>
                <w:sz w:val="36"/>
              </w:rPr>
            </w:pPr>
          </w:p>
        </w:tc>
        <w:tc>
          <w:tcPr>
            <w:tcW w:w="816" w:type="dxa"/>
          </w:tcPr>
          <w:p>
            <w:pPr>
              <w:pStyle w:val="TableParagraph"/>
              <w:spacing w:before="127"/>
              <w:ind w:left="25" w:right="31"/>
              <w:rPr>
                <w:sz w:val="36"/>
              </w:rPr>
            </w:pPr>
            <w:r>
              <w:rPr>
                <w:sz w:val="36"/>
              </w:rPr>
              <w:t>300</w:t>
            </w:r>
          </w:p>
        </w:tc>
      </w:tr>
      <w:tr>
        <w:tblPrEx>
          <w:tblW w:w="0" w:type="auto"/>
          <w:jc w:val="left"/>
          <w:tblInd w:w="1010" w:type="dxa"/>
          <w:tblLayout w:type="fixed"/>
          <w:tblCellMar>
            <w:top w:w="0" w:type="dxa"/>
            <w:left w:w="0" w:type="dxa"/>
            <w:bottom w:w="0" w:type="dxa"/>
            <w:right w:w="0" w:type="dxa"/>
          </w:tblCellMar>
          <w:tblLook w:val="01E0"/>
        </w:tblPrEx>
        <w:trPr>
          <w:trHeight w:val="716"/>
          <w:jc w:val="left"/>
        </w:trPr>
        <w:tc>
          <w:tcPr>
            <w:tcW w:w="990" w:type="dxa"/>
          </w:tcPr>
          <w:p>
            <w:pPr>
              <w:pStyle w:val="TableParagraph"/>
              <w:spacing w:before="127"/>
              <w:ind w:right="169"/>
              <w:rPr>
                <w:sz w:val="36"/>
              </w:rPr>
            </w:pPr>
            <w:r>
              <w:rPr>
                <w:sz w:val="36"/>
              </w:rPr>
              <w:t>7</w:t>
            </w:r>
          </w:p>
        </w:tc>
        <w:tc>
          <w:tcPr>
            <w:tcW w:w="7709" w:type="dxa"/>
          </w:tcPr>
          <w:p>
            <w:pPr>
              <w:pStyle w:val="TableParagraph"/>
              <w:spacing w:before="127"/>
              <w:ind w:left="219"/>
              <w:jc w:val="left"/>
              <w:rPr>
                <w:sz w:val="36"/>
              </w:rPr>
            </w:pPr>
            <w:r>
              <w:rPr>
                <w:sz w:val="36"/>
              </w:rPr>
              <w:t>碳黑</w:t>
            </w:r>
          </w:p>
        </w:tc>
        <w:tc>
          <w:tcPr>
            <w:tcW w:w="1369" w:type="dxa"/>
          </w:tcPr>
          <w:p>
            <w:pPr>
              <w:pStyle w:val="TableParagraph"/>
              <w:jc w:val="left"/>
              <w:rPr>
                <w:rFonts w:ascii="Times New Roman"/>
                <w:sz w:val="36"/>
              </w:rPr>
            </w:pPr>
          </w:p>
        </w:tc>
        <w:tc>
          <w:tcPr>
            <w:tcW w:w="1529" w:type="dxa"/>
          </w:tcPr>
          <w:p>
            <w:pPr>
              <w:pStyle w:val="TableParagraph"/>
              <w:jc w:val="left"/>
              <w:rPr>
                <w:rFonts w:ascii="Times New Roman"/>
                <w:sz w:val="36"/>
              </w:rPr>
            </w:pPr>
          </w:p>
        </w:tc>
        <w:tc>
          <w:tcPr>
            <w:tcW w:w="816" w:type="dxa"/>
          </w:tcPr>
          <w:p>
            <w:pPr>
              <w:pStyle w:val="TableParagraph"/>
              <w:jc w:val="left"/>
              <w:rPr>
                <w:rFonts w:ascii="Times New Roman"/>
                <w:sz w:val="36"/>
              </w:rPr>
            </w:pPr>
          </w:p>
        </w:tc>
      </w:tr>
      <w:tr>
        <w:tblPrEx>
          <w:tblW w:w="0" w:type="auto"/>
          <w:jc w:val="left"/>
          <w:tblInd w:w="1010" w:type="dxa"/>
          <w:tblLayout w:type="fixed"/>
          <w:tblCellMar>
            <w:top w:w="0" w:type="dxa"/>
            <w:left w:w="0" w:type="dxa"/>
            <w:bottom w:w="0" w:type="dxa"/>
            <w:right w:w="0" w:type="dxa"/>
          </w:tblCellMar>
          <w:tblLook w:val="01E0"/>
        </w:tblPrEx>
        <w:trPr>
          <w:trHeight w:val="538"/>
          <w:jc w:val="left"/>
        </w:trPr>
        <w:tc>
          <w:tcPr>
            <w:tcW w:w="990" w:type="dxa"/>
          </w:tcPr>
          <w:p>
            <w:pPr>
              <w:pStyle w:val="TableParagraph"/>
              <w:jc w:val="left"/>
              <w:rPr>
                <w:rFonts w:ascii="Times New Roman"/>
                <w:sz w:val="36"/>
              </w:rPr>
            </w:pPr>
          </w:p>
        </w:tc>
        <w:tc>
          <w:tcPr>
            <w:tcW w:w="7709" w:type="dxa"/>
          </w:tcPr>
          <w:p>
            <w:pPr>
              <w:pStyle w:val="TableParagraph"/>
              <w:spacing w:before="127" w:line="391" w:lineRule="exact"/>
              <w:ind w:left="219"/>
              <w:jc w:val="left"/>
              <w:rPr>
                <w:sz w:val="36"/>
              </w:rPr>
            </w:pPr>
            <w:r>
              <w:rPr>
                <w:sz w:val="36"/>
              </w:rPr>
              <w:t>碳黑含量（范围</w:t>
            </w:r>
            <w:r>
              <w:rPr>
                <w:spacing w:val="-180"/>
                <w:sz w:val="36"/>
              </w:rPr>
              <w:t>）</w:t>
            </w:r>
            <w:r>
              <w:rPr>
                <w:sz w:val="36"/>
              </w:rPr>
              <w:t>，%</w:t>
            </w:r>
          </w:p>
        </w:tc>
        <w:tc>
          <w:tcPr>
            <w:tcW w:w="1369" w:type="dxa"/>
          </w:tcPr>
          <w:p>
            <w:pPr>
              <w:pStyle w:val="TableParagraph"/>
              <w:spacing w:before="127" w:line="391" w:lineRule="exact"/>
              <w:ind w:left="559"/>
              <w:rPr>
                <w:sz w:val="36"/>
              </w:rPr>
            </w:pPr>
            <w:r>
              <w:rPr>
                <w:sz w:val="36"/>
              </w:rPr>
              <w:t>~</w:t>
            </w:r>
          </w:p>
        </w:tc>
        <w:tc>
          <w:tcPr>
            <w:tcW w:w="1529" w:type="dxa"/>
          </w:tcPr>
          <w:p>
            <w:pPr>
              <w:pStyle w:val="TableParagraph"/>
              <w:jc w:val="left"/>
              <w:rPr>
                <w:rFonts w:ascii="Times New Roman"/>
                <w:sz w:val="36"/>
              </w:rPr>
            </w:pPr>
          </w:p>
        </w:tc>
        <w:tc>
          <w:tcPr>
            <w:tcW w:w="816" w:type="dxa"/>
          </w:tcPr>
          <w:p>
            <w:pPr>
              <w:pStyle w:val="TableParagraph"/>
              <w:spacing w:before="127" w:line="391" w:lineRule="exact"/>
              <w:ind w:right="6"/>
              <w:rPr>
                <w:sz w:val="36"/>
              </w:rPr>
            </w:pPr>
            <w:r>
              <w:rPr>
                <w:sz w:val="36"/>
              </w:rPr>
              <w:t>~</w:t>
            </w:r>
          </w:p>
        </w:tc>
      </w:tr>
    </w:tbl>
    <w:p>
      <w:pPr>
        <w:spacing w:after="0" w:line="391" w:lineRule="exact"/>
        <w:rPr>
          <w:sz w:val="36"/>
        </w:rPr>
        <w:sectPr>
          <w:pgSz w:w="17860" w:h="25260"/>
          <w:pgMar w:top="1920" w:right="0" w:bottom="280" w:left="1500" w:header="708" w:footer="708"/>
          <w:pgNumType w:start="4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7"/>
        </w:rPr>
      </w:pPr>
    </w:p>
    <w:tbl>
      <w:tblPr>
        <w:tblStyle w:val="TableNormal5"/>
        <w:tblW w:w="0" w:type="auto"/>
        <w:jc w:val="left"/>
        <w:tblInd w:w="1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0"/>
        <w:gridCol w:w="7529"/>
        <w:gridCol w:w="2088"/>
        <w:gridCol w:w="629"/>
        <w:gridCol w:w="1579"/>
      </w:tblGrid>
      <w:tr>
        <w:tblPrEx>
          <w:tblW w:w="0" w:type="auto"/>
          <w:jc w:val="left"/>
          <w:tblInd w:w="1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0"/>
          <w:jc w:val="left"/>
        </w:trPr>
        <w:tc>
          <w:tcPr>
            <w:tcW w:w="720" w:type="dxa"/>
            <w:vMerge w:val="restart"/>
          </w:tcPr>
          <w:p>
            <w:pPr>
              <w:pStyle w:val="TableParagraph"/>
              <w:jc w:val="left"/>
              <w:rPr>
                <w:rFonts w:ascii="Times New Roman"/>
                <w:sz w:val="34"/>
              </w:rPr>
            </w:pPr>
          </w:p>
        </w:tc>
        <w:tc>
          <w:tcPr>
            <w:tcW w:w="7529" w:type="dxa"/>
          </w:tcPr>
          <w:p>
            <w:pPr>
              <w:pStyle w:val="TableParagraph"/>
              <w:spacing w:line="411" w:lineRule="exact"/>
              <w:ind w:left="309"/>
              <w:jc w:val="left"/>
              <w:rPr>
                <w:sz w:val="36"/>
              </w:rPr>
            </w:pPr>
            <w:r>
              <w:rPr>
                <w:sz w:val="36"/>
              </w:rPr>
              <w:t>标准 OIT，min</w:t>
            </w:r>
          </w:p>
        </w:tc>
        <w:tc>
          <w:tcPr>
            <w:tcW w:w="2088" w:type="dxa"/>
          </w:tcPr>
          <w:p>
            <w:pPr>
              <w:pStyle w:val="TableParagraph"/>
              <w:spacing w:line="411" w:lineRule="exact"/>
              <w:ind w:left="537" w:right="157"/>
              <w:rPr>
                <w:sz w:val="36"/>
              </w:rPr>
            </w:pPr>
            <w:r>
              <w:rPr>
                <w:sz w:val="36"/>
              </w:rPr>
              <w:t>100</w:t>
            </w:r>
          </w:p>
        </w:tc>
        <w:tc>
          <w:tcPr>
            <w:tcW w:w="629" w:type="dxa"/>
          </w:tcPr>
          <w:p>
            <w:pPr>
              <w:pStyle w:val="TableParagraph"/>
              <w:jc w:val="left"/>
              <w:rPr>
                <w:rFonts w:ascii="Times New Roman"/>
                <w:sz w:val="34"/>
              </w:rPr>
            </w:pPr>
          </w:p>
        </w:tc>
        <w:tc>
          <w:tcPr>
            <w:tcW w:w="1579" w:type="dxa"/>
          </w:tcPr>
          <w:p>
            <w:pPr>
              <w:pStyle w:val="TableParagraph"/>
              <w:spacing w:line="411" w:lineRule="exact"/>
              <w:ind w:left="157" w:right="27"/>
              <w:rPr>
                <w:sz w:val="36"/>
              </w:rPr>
            </w:pPr>
            <w:r>
              <w:rPr>
                <w:sz w:val="36"/>
              </w:rPr>
              <w:t>100</w:t>
            </w:r>
          </w:p>
        </w:tc>
      </w:tr>
      <w:tr>
        <w:tblPrEx>
          <w:tblW w:w="0" w:type="auto"/>
          <w:jc w:val="left"/>
          <w:tblInd w:w="1190" w:type="dxa"/>
          <w:tblLayout w:type="fixed"/>
          <w:tblCellMar>
            <w:top w:w="0" w:type="dxa"/>
            <w:left w:w="0" w:type="dxa"/>
            <w:bottom w:w="0" w:type="dxa"/>
            <w:right w:w="0" w:type="dxa"/>
          </w:tblCellMar>
          <w:tblLook w:val="01E0"/>
        </w:tblPrEx>
        <w:trPr>
          <w:trHeight w:val="718"/>
          <w:jc w:val="left"/>
        </w:trPr>
        <w:tc>
          <w:tcPr>
            <w:tcW w:w="720" w:type="dxa"/>
            <w:vMerge/>
            <w:tcBorders>
              <w:top w:val="nil"/>
            </w:tcBorders>
          </w:tcPr>
          <w:p>
            <w:pPr>
              <w:rPr>
                <w:sz w:val="2"/>
                <w:szCs w:val="2"/>
              </w:rPr>
            </w:pPr>
          </w:p>
        </w:tc>
        <w:tc>
          <w:tcPr>
            <w:tcW w:w="7529" w:type="dxa"/>
          </w:tcPr>
          <w:p>
            <w:pPr>
              <w:pStyle w:val="TableParagraph"/>
              <w:spacing w:before="129"/>
              <w:ind w:left="309"/>
              <w:jc w:val="left"/>
              <w:rPr>
                <w:sz w:val="36"/>
              </w:rPr>
            </w:pPr>
            <w:r>
              <w:rPr>
                <w:sz w:val="36"/>
              </w:rPr>
              <w:t>高压 OIT，min</w:t>
            </w:r>
          </w:p>
        </w:tc>
        <w:tc>
          <w:tcPr>
            <w:tcW w:w="2088" w:type="dxa"/>
          </w:tcPr>
          <w:p>
            <w:pPr>
              <w:pStyle w:val="TableParagraph"/>
              <w:spacing w:before="129"/>
              <w:ind w:left="537" w:right="157"/>
              <w:rPr>
                <w:sz w:val="36"/>
              </w:rPr>
            </w:pPr>
            <w:r>
              <w:rPr>
                <w:sz w:val="36"/>
              </w:rPr>
              <w:t>400</w:t>
            </w:r>
          </w:p>
        </w:tc>
        <w:tc>
          <w:tcPr>
            <w:tcW w:w="629" w:type="dxa"/>
          </w:tcPr>
          <w:p>
            <w:pPr>
              <w:pStyle w:val="TableParagraph"/>
              <w:jc w:val="left"/>
              <w:rPr>
                <w:rFonts w:ascii="Times New Roman"/>
                <w:sz w:val="34"/>
              </w:rPr>
            </w:pPr>
          </w:p>
        </w:tc>
        <w:tc>
          <w:tcPr>
            <w:tcW w:w="1579" w:type="dxa"/>
          </w:tcPr>
          <w:p>
            <w:pPr>
              <w:pStyle w:val="TableParagraph"/>
              <w:spacing w:before="129"/>
              <w:ind w:left="157" w:right="27"/>
              <w:rPr>
                <w:sz w:val="36"/>
              </w:rPr>
            </w:pPr>
            <w:r>
              <w:rPr>
                <w:sz w:val="36"/>
              </w:rPr>
              <w:t>400</w:t>
            </w:r>
          </w:p>
        </w:tc>
      </w:tr>
      <w:tr>
        <w:tblPrEx>
          <w:tblW w:w="0" w:type="auto"/>
          <w:jc w:val="left"/>
          <w:tblInd w:w="1190" w:type="dxa"/>
          <w:tblLayout w:type="fixed"/>
          <w:tblCellMar>
            <w:top w:w="0" w:type="dxa"/>
            <w:left w:w="0" w:type="dxa"/>
            <w:bottom w:w="0" w:type="dxa"/>
            <w:right w:w="0" w:type="dxa"/>
          </w:tblCellMar>
          <w:tblLook w:val="01E0"/>
        </w:tblPrEx>
        <w:trPr>
          <w:trHeight w:val="716"/>
          <w:jc w:val="left"/>
        </w:trPr>
        <w:tc>
          <w:tcPr>
            <w:tcW w:w="720" w:type="dxa"/>
          </w:tcPr>
          <w:p>
            <w:pPr>
              <w:pStyle w:val="TableParagraph"/>
              <w:spacing w:before="127"/>
              <w:ind w:left="140"/>
              <w:jc w:val="left"/>
              <w:rPr>
                <w:sz w:val="36"/>
              </w:rPr>
            </w:pPr>
            <w:r>
              <w:rPr>
                <w:sz w:val="36"/>
              </w:rPr>
              <w:t>9</w:t>
            </w:r>
          </w:p>
        </w:tc>
        <w:tc>
          <w:tcPr>
            <w:tcW w:w="7529" w:type="dxa"/>
          </w:tcPr>
          <w:p>
            <w:pPr>
              <w:pStyle w:val="TableParagraph"/>
              <w:spacing w:before="127"/>
              <w:ind w:left="309"/>
              <w:jc w:val="left"/>
              <w:rPr>
                <w:sz w:val="36"/>
              </w:rPr>
            </w:pPr>
            <w:r>
              <w:rPr>
                <w:sz w:val="36"/>
              </w:rPr>
              <w:t>烘箱老化（最小平均值）</w:t>
            </w:r>
          </w:p>
        </w:tc>
        <w:tc>
          <w:tcPr>
            <w:tcW w:w="2088" w:type="dxa"/>
          </w:tcPr>
          <w:p>
            <w:pPr>
              <w:pStyle w:val="TableParagraph"/>
              <w:jc w:val="left"/>
              <w:rPr>
                <w:rFonts w:ascii="Times New Roman"/>
                <w:sz w:val="34"/>
              </w:rPr>
            </w:pPr>
          </w:p>
        </w:tc>
        <w:tc>
          <w:tcPr>
            <w:tcW w:w="629" w:type="dxa"/>
          </w:tcPr>
          <w:p>
            <w:pPr>
              <w:pStyle w:val="TableParagraph"/>
              <w:jc w:val="left"/>
              <w:rPr>
                <w:rFonts w:ascii="Times New Roman"/>
                <w:sz w:val="34"/>
              </w:rPr>
            </w:pPr>
          </w:p>
        </w:tc>
        <w:tc>
          <w:tcPr>
            <w:tcW w:w="1579" w:type="dxa"/>
          </w:tcPr>
          <w:p>
            <w:pPr>
              <w:pStyle w:val="TableParagraph"/>
              <w:jc w:val="left"/>
              <w:rPr>
                <w:rFonts w:ascii="Times New Roman"/>
                <w:sz w:val="34"/>
              </w:rPr>
            </w:pPr>
          </w:p>
        </w:tc>
      </w:tr>
      <w:tr>
        <w:tblPrEx>
          <w:tblW w:w="0" w:type="auto"/>
          <w:jc w:val="left"/>
          <w:tblInd w:w="1190" w:type="dxa"/>
          <w:tblLayout w:type="fixed"/>
          <w:tblCellMar>
            <w:top w:w="0" w:type="dxa"/>
            <w:left w:w="0" w:type="dxa"/>
            <w:bottom w:w="0" w:type="dxa"/>
            <w:right w:w="0" w:type="dxa"/>
          </w:tblCellMar>
          <w:tblLook w:val="01E0"/>
        </w:tblPrEx>
        <w:trPr>
          <w:trHeight w:val="716"/>
          <w:jc w:val="left"/>
        </w:trPr>
        <w:tc>
          <w:tcPr>
            <w:tcW w:w="720" w:type="dxa"/>
          </w:tcPr>
          <w:p>
            <w:pPr>
              <w:pStyle w:val="TableParagraph"/>
              <w:jc w:val="left"/>
              <w:rPr>
                <w:rFonts w:ascii="Times New Roman"/>
                <w:sz w:val="34"/>
              </w:rPr>
            </w:pPr>
          </w:p>
        </w:tc>
        <w:tc>
          <w:tcPr>
            <w:tcW w:w="7529" w:type="dxa"/>
          </w:tcPr>
          <w:p>
            <w:pPr>
              <w:pStyle w:val="TableParagraph"/>
              <w:spacing w:before="127"/>
              <w:ind w:left="309"/>
              <w:jc w:val="left"/>
              <w:rPr>
                <w:sz w:val="36"/>
              </w:rPr>
            </w:pPr>
            <w:r>
              <w:rPr>
                <w:sz w:val="36"/>
              </w:rPr>
              <w:t>烘烤 90d 后，标准 OIT 的保留，%</w:t>
            </w:r>
          </w:p>
        </w:tc>
        <w:tc>
          <w:tcPr>
            <w:tcW w:w="2088" w:type="dxa"/>
          </w:tcPr>
          <w:p>
            <w:pPr>
              <w:pStyle w:val="TableParagraph"/>
              <w:spacing w:before="127"/>
              <w:ind w:left="537" w:right="157"/>
              <w:rPr>
                <w:sz w:val="36"/>
              </w:rPr>
            </w:pPr>
            <w:r>
              <w:rPr>
                <w:sz w:val="36"/>
              </w:rPr>
              <w:t>55</w:t>
            </w:r>
          </w:p>
        </w:tc>
        <w:tc>
          <w:tcPr>
            <w:tcW w:w="629" w:type="dxa"/>
          </w:tcPr>
          <w:p>
            <w:pPr>
              <w:pStyle w:val="TableParagraph"/>
              <w:jc w:val="left"/>
              <w:rPr>
                <w:rFonts w:ascii="Times New Roman"/>
                <w:sz w:val="34"/>
              </w:rPr>
            </w:pPr>
          </w:p>
        </w:tc>
        <w:tc>
          <w:tcPr>
            <w:tcW w:w="1579" w:type="dxa"/>
          </w:tcPr>
          <w:p>
            <w:pPr>
              <w:pStyle w:val="TableParagraph"/>
              <w:spacing w:before="127"/>
              <w:ind w:left="157" w:right="27"/>
              <w:rPr>
                <w:sz w:val="36"/>
              </w:rPr>
            </w:pPr>
            <w:r>
              <w:rPr>
                <w:sz w:val="36"/>
              </w:rPr>
              <w:t>55</w:t>
            </w:r>
          </w:p>
        </w:tc>
      </w:tr>
      <w:tr>
        <w:tblPrEx>
          <w:tblW w:w="0" w:type="auto"/>
          <w:jc w:val="left"/>
          <w:tblInd w:w="1190" w:type="dxa"/>
          <w:tblLayout w:type="fixed"/>
          <w:tblCellMar>
            <w:top w:w="0" w:type="dxa"/>
            <w:left w:w="0" w:type="dxa"/>
            <w:bottom w:w="0" w:type="dxa"/>
            <w:right w:w="0" w:type="dxa"/>
          </w:tblCellMar>
          <w:tblLook w:val="01E0"/>
        </w:tblPrEx>
        <w:trPr>
          <w:trHeight w:val="716"/>
          <w:jc w:val="left"/>
        </w:trPr>
        <w:tc>
          <w:tcPr>
            <w:tcW w:w="720" w:type="dxa"/>
          </w:tcPr>
          <w:p>
            <w:pPr>
              <w:pStyle w:val="TableParagraph"/>
              <w:jc w:val="left"/>
              <w:rPr>
                <w:rFonts w:ascii="Times New Roman"/>
                <w:sz w:val="34"/>
              </w:rPr>
            </w:pPr>
          </w:p>
        </w:tc>
        <w:tc>
          <w:tcPr>
            <w:tcW w:w="7529" w:type="dxa"/>
          </w:tcPr>
          <w:p>
            <w:pPr>
              <w:pStyle w:val="TableParagraph"/>
              <w:spacing w:before="128"/>
              <w:ind w:left="309"/>
              <w:jc w:val="left"/>
              <w:rPr>
                <w:sz w:val="36"/>
              </w:rPr>
            </w:pPr>
            <w:r>
              <w:rPr>
                <w:sz w:val="36"/>
              </w:rPr>
              <w:t>烘烤 90d 后，高压 OIT 的保留，%</w:t>
            </w:r>
          </w:p>
        </w:tc>
        <w:tc>
          <w:tcPr>
            <w:tcW w:w="2088" w:type="dxa"/>
          </w:tcPr>
          <w:p>
            <w:pPr>
              <w:pStyle w:val="TableParagraph"/>
              <w:spacing w:before="128"/>
              <w:ind w:left="537" w:right="157"/>
              <w:rPr>
                <w:sz w:val="36"/>
              </w:rPr>
            </w:pPr>
            <w:r>
              <w:rPr>
                <w:sz w:val="36"/>
              </w:rPr>
              <w:t>80</w:t>
            </w:r>
          </w:p>
        </w:tc>
        <w:tc>
          <w:tcPr>
            <w:tcW w:w="629" w:type="dxa"/>
          </w:tcPr>
          <w:p>
            <w:pPr>
              <w:pStyle w:val="TableParagraph"/>
              <w:jc w:val="left"/>
              <w:rPr>
                <w:rFonts w:ascii="Times New Roman"/>
                <w:sz w:val="34"/>
              </w:rPr>
            </w:pPr>
          </w:p>
        </w:tc>
        <w:tc>
          <w:tcPr>
            <w:tcW w:w="1579" w:type="dxa"/>
          </w:tcPr>
          <w:p>
            <w:pPr>
              <w:pStyle w:val="TableParagraph"/>
              <w:spacing w:before="128"/>
              <w:ind w:left="157" w:right="27"/>
              <w:rPr>
                <w:sz w:val="36"/>
              </w:rPr>
            </w:pPr>
            <w:r>
              <w:rPr>
                <w:sz w:val="36"/>
              </w:rPr>
              <w:t>80</w:t>
            </w:r>
          </w:p>
        </w:tc>
      </w:tr>
      <w:tr>
        <w:tblPrEx>
          <w:tblW w:w="0" w:type="auto"/>
          <w:jc w:val="left"/>
          <w:tblInd w:w="1190" w:type="dxa"/>
          <w:tblLayout w:type="fixed"/>
          <w:tblCellMar>
            <w:top w:w="0" w:type="dxa"/>
            <w:left w:w="0" w:type="dxa"/>
            <w:bottom w:w="0" w:type="dxa"/>
            <w:right w:w="0" w:type="dxa"/>
          </w:tblCellMar>
          <w:tblLook w:val="01E0"/>
        </w:tblPrEx>
        <w:trPr>
          <w:trHeight w:val="716"/>
          <w:jc w:val="left"/>
        </w:trPr>
        <w:tc>
          <w:tcPr>
            <w:tcW w:w="720" w:type="dxa"/>
          </w:tcPr>
          <w:p>
            <w:pPr>
              <w:pStyle w:val="TableParagraph"/>
              <w:spacing w:before="127"/>
              <w:ind w:left="50"/>
              <w:jc w:val="left"/>
              <w:rPr>
                <w:sz w:val="36"/>
              </w:rPr>
            </w:pPr>
            <w:r>
              <w:rPr>
                <w:sz w:val="36"/>
              </w:rPr>
              <w:t>10</w:t>
            </w:r>
          </w:p>
        </w:tc>
        <w:tc>
          <w:tcPr>
            <w:tcW w:w="7529" w:type="dxa"/>
          </w:tcPr>
          <w:p>
            <w:pPr>
              <w:pStyle w:val="TableParagraph"/>
              <w:spacing w:before="127"/>
              <w:ind w:left="309"/>
              <w:jc w:val="left"/>
              <w:rPr>
                <w:sz w:val="36"/>
              </w:rPr>
            </w:pPr>
            <w:r>
              <w:rPr>
                <w:sz w:val="36"/>
              </w:rPr>
              <w:t>抗紫外线强度</w:t>
            </w:r>
          </w:p>
        </w:tc>
        <w:tc>
          <w:tcPr>
            <w:tcW w:w="2088" w:type="dxa"/>
          </w:tcPr>
          <w:p>
            <w:pPr>
              <w:pStyle w:val="TableParagraph"/>
              <w:jc w:val="left"/>
              <w:rPr>
                <w:rFonts w:ascii="Times New Roman"/>
                <w:sz w:val="34"/>
              </w:rPr>
            </w:pPr>
          </w:p>
        </w:tc>
        <w:tc>
          <w:tcPr>
            <w:tcW w:w="629" w:type="dxa"/>
          </w:tcPr>
          <w:p>
            <w:pPr>
              <w:pStyle w:val="TableParagraph"/>
              <w:jc w:val="left"/>
              <w:rPr>
                <w:rFonts w:ascii="Times New Roman"/>
                <w:sz w:val="34"/>
              </w:rPr>
            </w:pPr>
          </w:p>
        </w:tc>
        <w:tc>
          <w:tcPr>
            <w:tcW w:w="1579" w:type="dxa"/>
          </w:tcPr>
          <w:p>
            <w:pPr>
              <w:pStyle w:val="TableParagraph"/>
              <w:jc w:val="left"/>
              <w:rPr>
                <w:rFonts w:ascii="Times New Roman"/>
                <w:sz w:val="34"/>
              </w:rPr>
            </w:pPr>
          </w:p>
        </w:tc>
      </w:tr>
      <w:tr>
        <w:tblPrEx>
          <w:tblW w:w="0" w:type="auto"/>
          <w:jc w:val="left"/>
          <w:tblInd w:w="1190" w:type="dxa"/>
          <w:tblLayout w:type="fixed"/>
          <w:tblCellMar>
            <w:top w:w="0" w:type="dxa"/>
            <w:left w:w="0" w:type="dxa"/>
            <w:bottom w:w="0" w:type="dxa"/>
            <w:right w:w="0" w:type="dxa"/>
          </w:tblCellMar>
          <w:tblLook w:val="01E0"/>
        </w:tblPrEx>
        <w:trPr>
          <w:trHeight w:val="718"/>
          <w:jc w:val="left"/>
        </w:trPr>
        <w:tc>
          <w:tcPr>
            <w:tcW w:w="720" w:type="dxa"/>
          </w:tcPr>
          <w:p>
            <w:pPr>
              <w:pStyle w:val="TableParagraph"/>
              <w:jc w:val="left"/>
              <w:rPr>
                <w:rFonts w:ascii="Times New Roman"/>
                <w:sz w:val="34"/>
              </w:rPr>
            </w:pPr>
          </w:p>
        </w:tc>
        <w:tc>
          <w:tcPr>
            <w:tcW w:w="7529" w:type="dxa"/>
          </w:tcPr>
          <w:p>
            <w:pPr>
              <w:pStyle w:val="TableParagraph"/>
              <w:spacing w:before="127"/>
              <w:ind w:left="309"/>
              <w:jc w:val="left"/>
              <w:rPr>
                <w:sz w:val="36"/>
              </w:rPr>
            </w:pPr>
            <w:r>
              <w:rPr>
                <w:sz w:val="36"/>
              </w:rPr>
              <w:t>紫外线照射 1600h 后，标准 OIT 的保留，%</w:t>
            </w:r>
          </w:p>
        </w:tc>
        <w:tc>
          <w:tcPr>
            <w:tcW w:w="2088" w:type="dxa"/>
          </w:tcPr>
          <w:p>
            <w:pPr>
              <w:pStyle w:val="TableParagraph"/>
              <w:spacing w:before="127"/>
              <w:ind w:left="537" w:right="157"/>
              <w:rPr>
                <w:sz w:val="36"/>
              </w:rPr>
            </w:pPr>
            <w:r>
              <w:rPr>
                <w:sz w:val="36"/>
              </w:rPr>
              <w:t>50</w:t>
            </w:r>
          </w:p>
        </w:tc>
        <w:tc>
          <w:tcPr>
            <w:tcW w:w="629" w:type="dxa"/>
          </w:tcPr>
          <w:p>
            <w:pPr>
              <w:pStyle w:val="TableParagraph"/>
              <w:jc w:val="left"/>
              <w:rPr>
                <w:rFonts w:ascii="Times New Roman"/>
                <w:sz w:val="34"/>
              </w:rPr>
            </w:pPr>
          </w:p>
        </w:tc>
        <w:tc>
          <w:tcPr>
            <w:tcW w:w="1579" w:type="dxa"/>
          </w:tcPr>
          <w:p>
            <w:pPr>
              <w:pStyle w:val="TableParagraph"/>
              <w:spacing w:before="127"/>
              <w:ind w:left="157" w:right="27"/>
              <w:rPr>
                <w:sz w:val="36"/>
              </w:rPr>
            </w:pPr>
            <w:r>
              <w:rPr>
                <w:sz w:val="36"/>
              </w:rPr>
              <w:t>50</w:t>
            </w:r>
          </w:p>
        </w:tc>
      </w:tr>
      <w:tr>
        <w:tblPrEx>
          <w:tblW w:w="0" w:type="auto"/>
          <w:jc w:val="left"/>
          <w:tblInd w:w="1190" w:type="dxa"/>
          <w:tblLayout w:type="fixed"/>
          <w:tblCellMar>
            <w:top w:w="0" w:type="dxa"/>
            <w:left w:w="0" w:type="dxa"/>
            <w:bottom w:w="0" w:type="dxa"/>
            <w:right w:w="0" w:type="dxa"/>
          </w:tblCellMar>
          <w:tblLook w:val="01E0"/>
        </w:tblPrEx>
        <w:trPr>
          <w:trHeight w:val="718"/>
          <w:jc w:val="left"/>
        </w:trPr>
        <w:tc>
          <w:tcPr>
            <w:tcW w:w="720" w:type="dxa"/>
          </w:tcPr>
          <w:p>
            <w:pPr>
              <w:pStyle w:val="TableParagraph"/>
              <w:jc w:val="left"/>
              <w:rPr>
                <w:rFonts w:ascii="Times New Roman"/>
                <w:sz w:val="34"/>
              </w:rPr>
            </w:pPr>
          </w:p>
        </w:tc>
        <w:tc>
          <w:tcPr>
            <w:tcW w:w="7529" w:type="dxa"/>
          </w:tcPr>
          <w:p>
            <w:pPr>
              <w:pStyle w:val="TableParagraph"/>
              <w:spacing w:before="129"/>
              <w:ind w:left="309"/>
              <w:jc w:val="left"/>
              <w:rPr>
                <w:sz w:val="36"/>
              </w:rPr>
            </w:pPr>
            <w:r>
              <w:rPr>
                <w:sz w:val="36"/>
              </w:rPr>
              <w:t>紫外线照射 1600h 后，高压 OIT 的保留，%</w:t>
            </w:r>
          </w:p>
        </w:tc>
        <w:tc>
          <w:tcPr>
            <w:tcW w:w="2088" w:type="dxa"/>
          </w:tcPr>
          <w:p>
            <w:pPr>
              <w:pStyle w:val="TableParagraph"/>
              <w:spacing w:before="129"/>
              <w:ind w:left="537" w:right="157"/>
              <w:rPr>
                <w:sz w:val="36"/>
              </w:rPr>
            </w:pPr>
            <w:r>
              <w:rPr>
                <w:sz w:val="36"/>
              </w:rPr>
              <w:t>50</w:t>
            </w:r>
          </w:p>
        </w:tc>
        <w:tc>
          <w:tcPr>
            <w:tcW w:w="629" w:type="dxa"/>
          </w:tcPr>
          <w:p>
            <w:pPr>
              <w:pStyle w:val="TableParagraph"/>
              <w:jc w:val="left"/>
              <w:rPr>
                <w:rFonts w:ascii="Times New Roman"/>
                <w:sz w:val="34"/>
              </w:rPr>
            </w:pPr>
          </w:p>
        </w:tc>
        <w:tc>
          <w:tcPr>
            <w:tcW w:w="1579" w:type="dxa"/>
          </w:tcPr>
          <w:p>
            <w:pPr>
              <w:pStyle w:val="TableParagraph"/>
              <w:spacing w:before="129"/>
              <w:ind w:left="157" w:right="27"/>
              <w:rPr>
                <w:sz w:val="36"/>
              </w:rPr>
            </w:pPr>
            <w:r>
              <w:rPr>
                <w:sz w:val="36"/>
              </w:rPr>
              <w:t>50</w:t>
            </w:r>
          </w:p>
        </w:tc>
      </w:tr>
      <w:tr>
        <w:tblPrEx>
          <w:tblW w:w="0" w:type="auto"/>
          <w:jc w:val="left"/>
          <w:tblInd w:w="1190" w:type="dxa"/>
          <w:tblLayout w:type="fixed"/>
          <w:tblCellMar>
            <w:top w:w="0" w:type="dxa"/>
            <w:left w:w="0" w:type="dxa"/>
            <w:bottom w:w="0" w:type="dxa"/>
            <w:right w:w="0" w:type="dxa"/>
          </w:tblCellMar>
          <w:tblLook w:val="01E0"/>
        </w:tblPrEx>
        <w:trPr>
          <w:trHeight w:val="716"/>
          <w:jc w:val="left"/>
        </w:trPr>
        <w:tc>
          <w:tcPr>
            <w:tcW w:w="720" w:type="dxa"/>
          </w:tcPr>
          <w:p>
            <w:pPr>
              <w:pStyle w:val="TableParagraph"/>
              <w:spacing w:before="127"/>
              <w:ind w:left="50"/>
              <w:jc w:val="left"/>
              <w:rPr>
                <w:sz w:val="36"/>
              </w:rPr>
            </w:pPr>
            <w:r>
              <w:rPr>
                <w:sz w:val="36"/>
              </w:rPr>
              <w:t>11</w:t>
            </w:r>
          </w:p>
        </w:tc>
        <w:tc>
          <w:tcPr>
            <w:tcW w:w="7529" w:type="dxa"/>
          </w:tcPr>
          <w:p>
            <w:pPr>
              <w:pStyle w:val="TableParagraph"/>
              <w:spacing w:before="127"/>
              <w:ind w:left="309"/>
              <w:jc w:val="left"/>
              <w:rPr>
                <w:sz w:val="36"/>
              </w:rPr>
            </w:pPr>
            <w:r>
              <w:rPr>
                <w:sz w:val="36"/>
              </w:rPr>
              <w:t>-70℃低温冲击脆化性能</w:t>
            </w:r>
          </w:p>
        </w:tc>
        <w:tc>
          <w:tcPr>
            <w:tcW w:w="2088" w:type="dxa"/>
          </w:tcPr>
          <w:p>
            <w:pPr>
              <w:pStyle w:val="TableParagraph"/>
              <w:spacing w:before="127"/>
              <w:ind w:left="537" w:right="157"/>
              <w:rPr>
                <w:sz w:val="36"/>
              </w:rPr>
            </w:pPr>
            <w:r>
              <w:rPr>
                <w:sz w:val="36"/>
              </w:rPr>
              <w:t>通过</w:t>
            </w:r>
          </w:p>
        </w:tc>
        <w:tc>
          <w:tcPr>
            <w:tcW w:w="629" w:type="dxa"/>
          </w:tcPr>
          <w:p>
            <w:pPr>
              <w:pStyle w:val="TableParagraph"/>
              <w:jc w:val="left"/>
              <w:rPr>
                <w:rFonts w:ascii="Times New Roman"/>
                <w:sz w:val="34"/>
              </w:rPr>
            </w:pPr>
          </w:p>
        </w:tc>
        <w:tc>
          <w:tcPr>
            <w:tcW w:w="1579" w:type="dxa"/>
          </w:tcPr>
          <w:p>
            <w:pPr>
              <w:pStyle w:val="TableParagraph"/>
              <w:spacing w:before="127"/>
              <w:ind w:left="157" w:right="27"/>
              <w:rPr>
                <w:sz w:val="36"/>
              </w:rPr>
            </w:pPr>
            <w:r>
              <w:rPr>
                <w:sz w:val="36"/>
              </w:rPr>
              <w:t>通过</w:t>
            </w:r>
          </w:p>
        </w:tc>
      </w:tr>
      <w:tr>
        <w:tblPrEx>
          <w:tblW w:w="0" w:type="auto"/>
          <w:jc w:val="left"/>
          <w:tblInd w:w="1190" w:type="dxa"/>
          <w:tblLayout w:type="fixed"/>
          <w:tblCellMar>
            <w:top w:w="0" w:type="dxa"/>
            <w:left w:w="0" w:type="dxa"/>
            <w:bottom w:w="0" w:type="dxa"/>
            <w:right w:w="0" w:type="dxa"/>
          </w:tblCellMar>
          <w:tblLook w:val="01E0"/>
        </w:tblPrEx>
        <w:trPr>
          <w:trHeight w:val="716"/>
          <w:jc w:val="left"/>
        </w:trPr>
        <w:tc>
          <w:tcPr>
            <w:tcW w:w="720" w:type="dxa"/>
          </w:tcPr>
          <w:p>
            <w:pPr>
              <w:pStyle w:val="TableParagraph"/>
              <w:spacing w:before="127"/>
              <w:ind w:left="50"/>
              <w:jc w:val="left"/>
              <w:rPr>
                <w:sz w:val="36"/>
              </w:rPr>
            </w:pPr>
            <w:r>
              <w:rPr>
                <w:sz w:val="36"/>
              </w:rPr>
              <w:t>12</w:t>
            </w:r>
          </w:p>
        </w:tc>
        <w:tc>
          <w:tcPr>
            <w:tcW w:w="7529" w:type="dxa"/>
          </w:tcPr>
          <w:p>
            <w:pPr>
              <w:pStyle w:val="TableParagraph"/>
              <w:tabs>
                <w:tab w:val="left" w:pos="4719"/>
              </w:tabs>
              <w:spacing w:before="127"/>
              <w:ind w:left="309"/>
              <w:jc w:val="left"/>
              <w:rPr>
                <w:sz w:val="36"/>
              </w:rPr>
            </w:pPr>
            <w:r>
              <w:rPr>
                <w:sz w:val="36"/>
              </w:rPr>
              <w:t>水蒸气渗透系数</w:t>
            </w:r>
            <w:r>
              <w:rPr>
                <w:spacing w:val="-90"/>
                <w:sz w:val="36"/>
              </w:rPr>
              <w:t xml:space="preserve"> </w:t>
            </w:r>
            <w:r>
              <w:rPr>
                <w:sz w:val="36"/>
              </w:rPr>
              <w:t>gcm/（cm</w:t>
              <w:tab/>
              <w:t>·S·Pa）</w:t>
            </w:r>
          </w:p>
        </w:tc>
        <w:tc>
          <w:tcPr>
            <w:tcW w:w="2088" w:type="dxa"/>
          </w:tcPr>
          <w:p>
            <w:pPr>
              <w:pStyle w:val="TableParagraph"/>
              <w:spacing w:before="127"/>
              <w:ind w:left="537" w:right="161"/>
              <w:rPr>
                <w:sz w:val="18"/>
              </w:rPr>
            </w:pPr>
            <w:r>
              <w:rPr>
                <w:sz w:val="36"/>
              </w:rPr>
              <w:t>≤×10</w:t>
            </w:r>
            <w:r>
              <w:rPr>
                <w:position w:val="3"/>
                <w:sz w:val="18"/>
              </w:rPr>
              <w:t>-13</w:t>
            </w:r>
          </w:p>
        </w:tc>
        <w:tc>
          <w:tcPr>
            <w:tcW w:w="629" w:type="dxa"/>
          </w:tcPr>
          <w:p>
            <w:pPr>
              <w:pStyle w:val="TableParagraph"/>
              <w:jc w:val="left"/>
              <w:rPr>
                <w:rFonts w:ascii="Times New Roman"/>
                <w:sz w:val="34"/>
              </w:rPr>
            </w:pPr>
          </w:p>
        </w:tc>
        <w:tc>
          <w:tcPr>
            <w:tcW w:w="1579" w:type="dxa"/>
          </w:tcPr>
          <w:p>
            <w:pPr>
              <w:pStyle w:val="TableParagraph"/>
              <w:spacing w:before="127"/>
              <w:ind w:left="157" w:right="31"/>
              <w:rPr>
                <w:sz w:val="18"/>
              </w:rPr>
            </w:pPr>
            <w:r>
              <w:rPr>
                <w:sz w:val="36"/>
              </w:rPr>
              <w:t>≤×10</w:t>
            </w:r>
            <w:r>
              <w:rPr>
                <w:position w:val="3"/>
                <w:sz w:val="18"/>
              </w:rPr>
              <w:t>-13</w:t>
            </w:r>
          </w:p>
        </w:tc>
      </w:tr>
      <w:tr>
        <w:tblPrEx>
          <w:tblW w:w="0" w:type="auto"/>
          <w:jc w:val="left"/>
          <w:tblInd w:w="1190" w:type="dxa"/>
          <w:tblLayout w:type="fixed"/>
          <w:tblCellMar>
            <w:top w:w="0" w:type="dxa"/>
            <w:left w:w="0" w:type="dxa"/>
            <w:bottom w:w="0" w:type="dxa"/>
            <w:right w:w="0" w:type="dxa"/>
          </w:tblCellMar>
          <w:tblLook w:val="01E0"/>
        </w:tblPrEx>
        <w:trPr>
          <w:trHeight w:val="538"/>
          <w:jc w:val="left"/>
        </w:trPr>
        <w:tc>
          <w:tcPr>
            <w:tcW w:w="720" w:type="dxa"/>
          </w:tcPr>
          <w:p>
            <w:pPr>
              <w:pStyle w:val="TableParagraph"/>
              <w:spacing w:before="127" w:line="391" w:lineRule="exact"/>
              <w:ind w:left="50"/>
              <w:jc w:val="left"/>
              <w:rPr>
                <w:sz w:val="36"/>
              </w:rPr>
            </w:pPr>
            <w:r>
              <w:rPr>
                <w:sz w:val="36"/>
              </w:rPr>
              <w:t>13</w:t>
            </w:r>
          </w:p>
        </w:tc>
        <w:tc>
          <w:tcPr>
            <w:tcW w:w="7529" w:type="dxa"/>
          </w:tcPr>
          <w:p>
            <w:pPr>
              <w:pStyle w:val="TableParagraph"/>
              <w:spacing w:before="127" w:line="391" w:lineRule="exact"/>
              <w:ind w:left="309"/>
              <w:jc w:val="left"/>
              <w:rPr>
                <w:sz w:val="36"/>
              </w:rPr>
            </w:pPr>
            <w:r>
              <w:rPr>
                <w:sz w:val="36"/>
              </w:rPr>
              <w:t>尺寸稳定性，%</w:t>
            </w:r>
          </w:p>
        </w:tc>
        <w:tc>
          <w:tcPr>
            <w:tcW w:w="2088" w:type="dxa"/>
          </w:tcPr>
          <w:p>
            <w:pPr>
              <w:pStyle w:val="TableParagraph"/>
              <w:spacing w:before="127" w:line="391" w:lineRule="exact"/>
              <w:ind w:left="537" w:right="157"/>
              <w:rPr>
                <w:sz w:val="36"/>
              </w:rPr>
            </w:pPr>
            <w:r>
              <w:rPr>
                <w:sz w:val="36"/>
              </w:rPr>
              <w:t>±2</w:t>
            </w:r>
          </w:p>
        </w:tc>
        <w:tc>
          <w:tcPr>
            <w:tcW w:w="629" w:type="dxa"/>
          </w:tcPr>
          <w:p>
            <w:pPr>
              <w:pStyle w:val="TableParagraph"/>
              <w:jc w:val="left"/>
              <w:rPr>
                <w:rFonts w:ascii="Times New Roman"/>
                <w:sz w:val="34"/>
              </w:rPr>
            </w:pPr>
          </w:p>
        </w:tc>
        <w:tc>
          <w:tcPr>
            <w:tcW w:w="1579" w:type="dxa"/>
          </w:tcPr>
          <w:p>
            <w:pPr>
              <w:pStyle w:val="TableParagraph"/>
              <w:spacing w:before="127" w:line="391" w:lineRule="exact"/>
              <w:ind w:left="157" w:right="27"/>
              <w:rPr>
                <w:sz w:val="36"/>
              </w:rPr>
            </w:pPr>
            <w:r>
              <w:rPr>
                <w:sz w:val="36"/>
              </w:rPr>
              <w:t>±2</w:t>
            </w:r>
          </w:p>
        </w:tc>
      </w:tr>
    </w:tbl>
    <w:p>
      <w:pPr>
        <w:pStyle w:val="BodyText"/>
        <w:rPr>
          <w:sz w:val="20"/>
        </w:rPr>
      </w:pPr>
    </w:p>
    <w:p>
      <w:pPr>
        <w:pStyle w:val="BodyText"/>
        <w:rPr>
          <w:sz w:val="20"/>
        </w:rPr>
      </w:pPr>
    </w:p>
    <w:p>
      <w:pPr>
        <w:pStyle w:val="Heading2"/>
        <w:spacing w:before="166"/>
      </w:pPr>
      <w:r>
        <w:pict>
          <v:group id="_x0000_s1156" style="width:673pt;height:538pt;margin-top:-553.79pt;margin-left:113pt;mso-position-horizontal-relative:page;position:absolute;z-index:-251638784" coordorigin="2260,-11076" coordsize="13460,10760">
            <v:shape id="_x0000_s1157" type="#_x0000_t75" style="width:13460;height:10760;left:2260;position:absolute;top:-11076" stroked="f">
              <v:imagedata r:id="rId27" o:title=""/>
            </v:shape>
            <v:shape id="_x0000_s1158" type="#_x0000_t202" style="width:4374;height:270;left:11158;position:absolute;top:-10761" filled="f" stroked="f">
              <v:textbox inset="0,0,0,0">
                <w:txbxContent>
                  <w:p>
                    <w:pPr>
                      <w:spacing w:before="0" w:line="270" w:lineRule="exact"/>
                      <w:ind w:left="0" w:right="0" w:firstLine="0"/>
                      <w:jc w:val="left"/>
                      <w:rPr>
                        <w:sz w:val="27"/>
                      </w:rPr>
                    </w:pPr>
                    <w:r>
                      <w:rPr>
                        <w:sz w:val="27"/>
                      </w:rPr>
                      <w:t>10</w:t>
                    </w:r>
                    <w:r>
                      <w:rPr>
                        <w:spacing w:val="-18"/>
                        <w:sz w:val="27"/>
                      </w:rPr>
                      <w:t xml:space="preserve"> 个观察区域中的 </w:t>
                    </w:r>
                    <w:r>
                      <w:rPr>
                        <w:sz w:val="27"/>
                      </w:rPr>
                      <w:t>9</w:t>
                    </w:r>
                    <w:r>
                      <w:rPr>
                        <w:spacing w:val="-23"/>
                        <w:sz w:val="27"/>
                      </w:rPr>
                      <w:t xml:space="preserve"> 次应属于第 </w:t>
                    </w:r>
                    <w:r>
                      <w:rPr>
                        <w:sz w:val="27"/>
                      </w:rPr>
                      <w:t>1</w:t>
                    </w:r>
                    <w:r>
                      <w:rPr>
                        <w:spacing w:val="-38"/>
                        <w:sz w:val="27"/>
                      </w:rPr>
                      <w:t xml:space="preserve"> 级</w:t>
                    </w:r>
                  </w:p>
                </w:txbxContent>
              </v:textbox>
            </v:shape>
            <v:shape id="_x0000_s1159" type="#_x0000_t202" style="width:1820;height:360;left:3712;position:absolute;top:-10180" filled="f" stroked="f">
              <v:textbox inset="0,0,0,0">
                <w:txbxContent>
                  <w:p>
                    <w:pPr>
                      <w:spacing w:before="0" w:line="360" w:lineRule="exact"/>
                      <w:ind w:left="0" w:right="0" w:firstLine="0"/>
                      <w:jc w:val="left"/>
                      <w:rPr>
                        <w:sz w:val="36"/>
                      </w:rPr>
                    </w:pPr>
                    <w:r>
                      <w:rPr>
                        <w:sz w:val="36"/>
                      </w:rPr>
                      <w:t>碳黑分散度</w:t>
                    </w:r>
                  </w:p>
                </w:txbxContent>
              </v:textbox>
            </v:shape>
            <v:shape id="_x0000_s1160" type="#_x0000_t202" style="width:4275;height:270;left:11208;position:absolute;top:-10058" filled="f" stroked="f">
              <v:textbox inset="0,0,0,0">
                <w:txbxContent>
                  <w:p>
                    <w:pPr>
                      <w:spacing w:before="0" w:line="270" w:lineRule="exact"/>
                      <w:ind w:left="0" w:right="0" w:firstLine="0"/>
                      <w:jc w:val="left"/>
                      <w:rPr>
                        <w:sz w:val="27"/>
                      </w:rPr>
                    </w:pPr>
                    <w:r>
                      <w:rPr>
                        <w:spacing w:val="-23"/>
                        <w:sz w:val="27"/>
                      </w:rPr>
                      <w:t xml:space="preserve">或第 </w:t>
                    </w:r>
                    <w:r>
                      <w:rPr>
                        <w:sz w:val="27"/>
                      </w:rPr>
                      <w:t>2</w:t>
                    </w:r>
                    <w:r>
                      <w:rPr>
                        <w:spacing w:val="-21"/>
                        <w:sz w:val="27"/>
                      </w:rPr>
                      <w:t xml:space="preserve"> 级，属于第 </w:t>
                    </w:r>
                    <w:r>
                      <w:rPr>
                        <w:sz w:val="27"/>
                      </w:rPr>
                      <w:t>3</w:t>
                    </w:r>
                    <w:r>
                      <w:rPr>
                        <w:spacing w:val="-19"/>
                        <w:sz w:val="27"/>
                      </w:rPr>
                      <w:t xml:space="preserve"> 级的不应多余 </w:t>
                    </w:r>
                    <w:r>
                      <w:rPr>
                        <w:sz w:val="27"/>
                      </w:rPr>
                      <w:t>1</w:t>
                    </w:r>
                  </w:p>
                </w:txbxContent>
              </v:textbox>
            </v:shape>
            <v:shape id="_x0000_s1161" type="#_x0000_t202" style="width:290;height:270;left:13199;position:absolute;top:-9356" filled="f" stroked="f">
              <v:textbox inset="0,0,0,0">
                <w:txbxContent>
                  <w:p>
                    <w:pPr>
                      <w:spacing w:before="0" w:line="270" w:lineRule="exact"/>
                      <w:ind w:left="0" w:right="0" w:firstLine="0"/>
                      <w:jc w:val="left"/>
                      <w:rPr>
                        <w:sz w:val="27"/>
                      </w:rPr>
                    </w:pPr>
                    <w:r>
                      <w:rPr>
                        <w:sz w:val="27"/>
                      </w:rPr>
                      <w:t>次</w:t>
                    </w:r>
                  </w:p>
                </w:txbxContent>
              </v:textbox>
            </v:shape>
            <v:shape id="_x0000_s1162" type="#_x0000_t202" style="width:200;height:360;left:2823;position:absolute;top:-8762" filled="f" stroked="f">
              <v:textbox inset="0,0,0,0">
                <w:txbxContent>
                  <w:p>
                    <w:pPr>
                      <w:spacing w:before="0" w:line="360" w:lineRule="exact"/>
                      <w:ind w:left="0" w:right="0" w:firstLine="0"/>
                      <w:jc w:val="left"/>
                      <w:rPr>
                        <w:sz w:val="36"/>
                      </w:rPr>
                    </w:pPr>
                    <w:r>
                      <w:rPr>
                        <w:sz w:val="36"/>
                      </w:rPr>
                      <w:t>8</w:t>
                    </w:r>
                  </w:p>
                </w:txbxContent>
              </v:textbox>
            </v:shape>
            <v:shape id="_x0000_s1163" type="#_x0000_t202" style="width:3441;height:360;left:3712;position:absolute;top:-8762" filled="f" stroked="f">
              <v:textbox inset="0,0,0,0">
                <w:txbxContent>
                  <w:p>
                    <w:pPr>
                      <w:spacing w:before="0" w:line="360" w:lineRule="exact"/>
                      <w:ind w:left="0" w:right="0" w:firstLine="0"/>
                      <w:jc w:val="left"/>
                      <w:rPr>
                        <w:sz w:val="36"/>
                      </w:rPr>
                    </w:pPr>
                    <w:r>
                      <w:rPr>
                        <w:sz w:val="36"/>
                      </w:rPr>
                      <w:t>氧化诱导时间（OIT）</w:t>
                    </w:r>
                  </w:p>
                </w:txbxContent>
              </v:textbox>
            </v:shape>
          </v:group>
        </w:pict>
      </w:r>
      <w:r>
        <w:t>、混凝土工程</w:t>
      </w:r>
    </w:p>
    <w:p>
      <w:pPr>
        <w:pStyle w:val="BodyText"/>
        <w:spacing w:before="12"/>
        <w:rPr>
          <w:b/>
          <w:sz w:val="59"/>
        </w:rPr>
      </w:pPr>
    </w:p>
    <w:p>
      <w:pPr>
        <w:pStyle w:val="BodyText"/>
        <w:ind w:left="1740"/>
      </w:pPr>
      <w:r>
        <w:t>、模板工程</w:t>
      </w:r>
    </w:p>
    <w:p>
      <w:pPr>
        <w:pStyle w:val="BodyText"/>
        <w:spacing w:before="241" w:line="364" w:lineRule="auto"/>
        <w:ind w:left="1200" w:right="2556" w:firstLine="539"/>
      </w:pPr>
      <w:r>
        <w:t>混凝土结构物主要采用定型组合式钢模板，并用钢管、型钢等组成模板支撑</w:t>
      </w:r>
      <w:r>
        <w:rPr>
          <w:spacing w:val="-1"/>
        </w:rPr>
        <w:t xml:space="preserve">框架。局部采用木模板，支模前进行打光、磨平、除锈并涂刷脱模剂。支模时， </w:t>
      </w:r>
      <w:r>
        <w:rPr>
          <w:spacing w:val="-9"/>
        </w:rPr>
        <w:t>模板接缝要求紧密不漏浆，内侧光滑平整。接缝间夹用泡沫胶条，拼装模板之间</w:t>
      </w:r>
      <w:r>
        <w:rPr>
          <w:spacing w:val="-10"/>
        </w:rPr>
        <w:t>有间隙时，可用醇酸腻子塞严，不得采用破损模板。按照设计要求，精确测量定</w:t>
      </w:r>
      <w:r>
        <w:rPr>
          <w:spacing w:val="-1"/>
        </w:rPr>
        <w:t>位，人工现场拼接组装、支撑，内侧用对拉钢筋进行联接前后两块整体模板，外侧用槽钢、钢管、木方进行横纵加固。四角用角钢对接，外围用丝杆支撑。支撑</w:t>
      </w:r>
      <w:r>
        <w:rPr>
          <w:spacing w:val="-11"/>
        </w:rPr>
        <w:t>时测量控制并复核，及时校正模板位置。模板组装支立后，检查是否有足够的可靠度承受浇筑的混凝土的重量、侧压力和其他荷载等。</w:t>
      </w:r>
    </w:p>
    <w:p>
      <w:pPr>
        <w:pStyle w:val="BodyText"/>
        <w:spacing w:before="8"/>
        <w:ind w:left="1740"/>
      </w:pPr>
      <w:r>
        <w:t>、钢筋工程</w:t>
      </w:r>
    </w:p>
    <w:p>
      <w:pPr>
        <w:pStyle w:val="BodyText"/>
        <w:spacing w:before="241"/>
        <w:ind w:left="1920"/>
      </w:pPr>
      <w:r>
        <w:t>1、准备工作</w:t>
      </w:r>
    </w:p>
    <w:p>
      <w:pPr>
        <w:pStyle w:val="BodyText"/>
        <w:spacing w:before="241"/>
        <w:ind w:left="1920"/>
      </w:pPr>
      <w:r>
        <w:t>（1)、配料单</w:t>
      </w:r>
    </w:p>
    <w:p>
      <w:pPr>
        <w:spacing w:after="0"/>
        <w:sectPr>
          <w:pgSz w:w="17860" w:h="25260"/>
          <w:pgMar w:top="1820" w:right="0" w:bottom="280" w:left="1500" w:header="708" w:footer="708"/>
          <w:pgNumType w:start="41"/>
          <w:cols w:space="708"/>
        </w:sectPr>
      </w:pPr>
    </w:p>
    <w:p>
      <w:pPr>
        <w:pStyle w:val="BodyText"/>
        <w:spacing w:before="35" w:line="364" w:lineRule="auto"/>
        <w:ind w:left="1200" w:right="2702" w:firstLine="719"/>
      </w:pPr>
      <w:r>
        <w:rPr>
          <w:spacing w:val="-12"/>
        </w:rPr>
        <w:t>根据构件的配筋图，先绘出各种形状和规格的单根钢筋图并加以编号；主要</w:t>
      </w:r>
      <w:r>
        <w:t>按施工图上的钢筋材料表抄写，但是下料长度必须由配料人员计算好填写。</w:t>
      </w:r>
    </w:p>
    <w:p>
      <w:pPr>
        <w:pStyle w:val="BodyText"/>
        <w:spacing w:before="3"/>
        <w:ind w:left="1920"/>
      </w:pPr>
      <w:r>
        <w:t>（2</w:t>
      </w:r>
      <w:r>
        <w:rPr>
          <w:spacing w:val="-180"/>
        </w:rPr>
        <w:t>）</w:t>
      </w:r>
      <w:r>
        <w:t>、料牌</w:t>
      </w:r>
    </w:p>
    <w:p>
      <w:pPr>
        <w:pStyle w:val="BodyText"/>
        <w:spacing w:before="240" w:line="364" w:lineRule="auto"/>
        <w:ind w:left="1200" w:right="2556" w:firstLine="719"/>
        <w:jc w:val="both"/>
      </w:pPr>
      <w:r>
        <w:t>用木板或铝片制成料牌，将每一编号钢筋的有关资料：工程名称、图号、钢筋编号、根数、规格、样式以及下料长度等标注于料牌的两面，以便随着工艺流程传送，最后系在加工好的钢筋上作为标志。</w:t>
      </w:r>
    </w:p>
    <w:p>
      <w:pPr>
        <w:pStyle w:val="BodyText"/>
        <w:spacing w:before="3"/>
        <w:ind w:left="1920"/>
      </w:pPr>
      <w:r>
        <w:t>（3)、配料计算的注意事项：</w:t>
      </w:r>
    </w:p>
    <w:p>
      <w:pPr>
        <w:pStyle w:val="BodyText"/>
        <w:spacing w:before="241" w:line="364" w:lineRule="auto"/>
        <w:ind w:left="1200" w:right="2702" w:firstLine="1079"/>
      </w:pPr>
      <w:r>
        <w:t>A</w:t>
      </w:r>
      <w:r>
        <w:rPr>
          <w:spacing w:val="-14"/>
        </w:rPr>
        <w:t xml:space="preserve"> 、配料计算时，要考虑钢筋的形状和尺寸在满足设计规范要求的前提下</w:t>
      </w:r>
      <w:r>
        <w:t>有利于加工安装。</w:t>
      </w:r>
    </w:p>
    <w:p>
      <w:pPr>
        <w:pStyle w:val="BodyText"/>
        <w:spacing w:before="3" w:line="364" w:lineRule="auto"/>
        <w:ind w:left="1200" w:right="2697" w:firstLine="1079"/>
      </w:pPr>
      <w:r>
        <w:t>B</w:t>
      </w:r>
      <w:r>
        <w:rPr>
          <w:spacing w:val="-14"/>
        </w:rPr>
        <w:t xml:space="preserve"> 、配料时，还要考虑施工需要的附加钢筋，双层钢筋中保护上层钢筋位</w:t>
      </w:r>
      <w:r>
        <w:t>置用的“撑脚”等。</w:t>
      </w:r>
    </w:p>
    <w:p>
      <w:pPr>
        <w:pStyle w:val="BodyText"/>
        <w:spacing w:before="1"/>
        <w:ind w:left="1920"/>
      </w:pPr>
      <w:r>
        <w:t>（4</w:t>
      </w:r>
      <w:r>
        <w:rPr>
          <w:spacing w:val="-180"/>
        </w:rPr>
        <w:t>）</w:t>
      </w:r>
      <w:r>
        <w:t>、提取原材料</w:t>
      </w:r>
    </w:p>
    <w:p>
      <w:pPr>
        <w:pStyle w:val="BodyText"/>
        <w:spacing w:before="241" w:line="364" w:lineRule="auto"/>
        <w:ind w:left="2280" w:right="5798"/>
      </w:pPr>
      <w:r>
        <w:t>A 、提取的原材料的规格型号等必须与配料单一致。B 、提取的原材料必须有产品检验合格的标识。</w:t>
      </w:r>
    </w:p>
    <w:p>
      <w:pPr>
        <w:pStyle w:val="BodyText"/>
        <w:spacing w:before="2"/>
        <w:ind w:left="1920"/>
      </w:pPr>
      <w:r>
        <w:t>2、钢筋加工</w:t>
      </w:r>
    </w:p>
    <w:p>
      <w:pPr>
        <w:pStyle w:val="ListParagraph"/>
        <w:numPr>
          <w:ilvl w:val="0"/>
          <w:numId w:val="19"/>
        </w:numPr>
        <w:tabs>
          <w:tab w:val="left" w:pos="2822"/>
        </w:tabs>
        <w:spacing w:before="241" w:after="0" w:line="240" w:lineRule="auto"/>
        <w:ind w:left="2821" w:right="0" w:hanging="902"/>
        <w:jc w:val="left"/>
        <w:rPr>
          <w:sz w:val="36"/>
        </w:rPr>
      </w:pPr>
      <w:r>
        <w:rPr>
          <w:sz w:val="36"/>
        </w:rPr>
        <w:t>、钢筋除锈</w:t>
      </w:r>
    </w:p>
    <w:p>
      <w:pPr>
        <w:pStyle w:val="BodyText"/>
        <w:spacing w:before="241" w:line="364" w:lineRule="auto"/>
        <w:ind w:left="1200" w:right="2558" w:firstLine="719"/>
      </w:pPr>
      <w:r>
        <w:t>钢筋表面应干净，锈皮、油渍、漆污等，在使用前均清除，除锈方法采用钢丝刷与除锈机除锈。</w:t>
      </w:r>
    </w:p>
    <w:p>
      <w:pPr>
        <w:pStyle w:val="ListParagraph"/>
        <w:numPr>
          <w:ilvl w:val="0"/>
          <w:numId w:val="19"/>
        </w:numPr>
        <w:tabs>
          <w:tab w:val="left" w:pos="2822"/>
        </w:tabs>
        <w:spacing w:before="2" w:after="0" w:line="240" w:lineRule="auto"/>
        <w:ind w:left="2821" w:right="0" w:hanging="902"/>
        <w:jc w:val="left"/>
        <w:rPr>
          <w:sz w:val="36"/>
        </w:rPr>
      </w:pPr>
      <w:r>
        <w:rPr>
          <w:sz w:val="36"/>
        </w:rPr>
        <w:t>、钢筋的切断</w:t>
      </w:r>
    </w:p>
    <w:p>
      <w:pPr>
        <w:pStyle w:val="BodyText"/>
        <w:spacing w:before="240" w:line="364" w:lineRule="auto"/>
        <w:ind w:left="1200" w:right="2520" w:firstLine="719"/>
      </w:pPr>
      <w:r>
        <w:rPr>
          <w:spacing w:val="-8"/>
        </w:rPr>
        <w:t>钢筋切断采用切断机和无齿锯进行切断。将同规格的钢筋根据不同的长度长</w:t>
      </w:r>
      <w:r>
        <w:rPr>
          <w:spacing w:val="-22"/>
        </w:rPr>
        <w:t xml:space="preserve">短搭配，统筹排料，先断长料，后断短料，减少短头，减少损耗。在切断过程中， </w:t>
      </w:r>
      <w:r>
        <w:t>发现钢筋有劈裂，缩头或严重的弯头等必须切除。</w:t>
      </w:r>
    </w:p>
    <w:p>
      <w:pPr>
        <w:pStyle w:val="ListParagraph"/>
        <w:numPr>
          <w:ilvl w:val="0"/>
          <w:numId w:val="19"/>
        </w:numPr>
        <w:tabs>
          <w:tab w:val="left" w:pos="2822"/>
        </w:tabs>
        <w:spacing w:before="3" w:after="0" w:line="240" w:lineRule="auto"/>
        <w:ind w:left="2821" w:right="0" w:hanging="902"/>
        <w:jc w:val="left"/>
        <w:rPr>
          <w:sz w:val="36"/>
        </w:rPr>
      </w:pPr>
      <w:r>
        <w:rPr>
          <w:sz w:val="36"/>
        </w:rPr>
        <w:t>、钢筋的弯曲成型</w:t>
      </w:r>
    </w:p>
    <w:p>
      <w:pPr>
        <w:pStyle w:val="BodyText"/>
        <w:spacing w:before="242"/>
        <w:ind w:left="1920"/>
      </w:pPr>
      <w:r>
        <w:t>采用钢筋弯曲机进行钢筋的弯曲成型作业，小直径的钢筋采用手工弯曲。</w:t>
      </w:r>
    </w:p>
    <w:p>
      <w:pPr>
        <w:pStyle w:val="ListParagraph"/>
        <w:numPr>
          <w:ilvl w:val="0"/>
          <w:numId w:val="19"/>
        </w:numPr>
        <w:tabs>
          <w:tab w:val="left" w:pos="2822"/>
        </w:tabs>
        <w:spacing w:before="241" w:after="0" w:line="240" w:lineRule="auto"/>
        <w:ind w:left="2821" w:right="0" w:hanging="902"/>
        <w:jc w:val="left"/>
        <w:rPr>
          <w:sz w:val="36"/>
        </w:rPr>
      </w:pPr>
      <w:r>
        <w:rPr>
          <w:sz w:val="36"/>
        </w:rPr>
        <w:t>、成品的堆放</w:t>
      </w:r>
    </w:p>
    <w:p>
      <w:pPr>
        <w:pStyle w:val="BodyText"/>
        <w:spacing w:before="240" w:line="364" w:lineRule="auto"/>
        <w:ind w:left="1200" w:right="2522" w:firstLine="719"/>
      </w:pPr>
      <w:r>
        <w:rPr>
          <w:spacing w:val="-18"/>
        </w:rPr>
        <w:t>成型好的钢筋必须轻抬轻放，避免摔地产生变形，按编号上料牌，勿使遗漏。</w:t>
      </w:r>
      <w:r>
        <w:t>清点每一编号的钢筋成品确切无误后，堆放在指定的场地上。</w:t>
      </w:r>
    </w:p>
    <w:p>
      <w:pPr>
        <w:pStyle w:val="ListParagraph"/>
        <w:numPr>
          <w:ilvl w:val="0"/>
          <w:numId w:val="19"/>
        </w:numPr>
        <w:tabs>
          <w:tab w:val="left" w:pos="2822"/>
        </w:tabs>
        <w:spacing w:before="2" w:after="0" w:line="240" w:lineRule="auto"/>
        <w:ind w:left="2821" w:right="0" w:hanging="902"/>
        <w:jc w:val="left"/>
        <w:rPr>
          <w:sz w:val="36"/>
        </w:rPr>
      </w:pPr>
      <w:r>
        <w:rPr>
          <w:sz w:val="36"/>
        </w:rPr>
        <w:t>、钢筋焊接</w:t>
      </w:r>
    </w:p>
    <w:p>
      <w:pPr>
        <w:pStyle w:val="BodyText"/>
        <w:spacing w:before="241"/>
        <w:ind w:left="1740"/>
      </w:pPr>
      <w:r>
        <w:t>钢筋焊接采用直流弧焊机按设计要求及规范规定进行作业。</w:t>
      </w:r>
    </w:p>
    <w:p>
      <w:pPr>
        <w:spacing w:after="0"/>
        <w:sectPr>
          <w:pgSz w:w="17860" w:h="25260"/>
          <w:pgMar w:top="1920" w:right="0" w:bottom="280" w:left="1500" w:header="708" w:footer="708"/>
          <w:pgNumType w:start="42"/>
          <w:cols w:space="708"/>
        </w:sectPr>
      </w:pPr>
    </w:p>
    <w:p>
      <w:pPr>
        <w:pStyle w:val="ListParagraph"/>
        <w:numPr>
          <w:ilvl w:val="0"/>
          <w:numId w:val="19"/>
        </w:numPr>
        <w:tabs>
          <w:tab w:val="left" w:pos="2822"/>
        </w:tabs>
        <w:spacing w:before="35" w:after="0" w:line="240" w:lineRule="auto"/>
        <w:ind w:left="2821" w:right="0" w:hanging="902"/>
        <w:jc w:val="left"/>
        <w:rPr>
          <w:sz w:val="36"/>
        </w:rPr>
      </w:pPr>
      <w:r>
        <w:rPr>
          <w:sz w:val="36"/>
        </w:rPr>
        <w:t>、钢筋的绑扎与安装</w:t>
      </w:r>
    </w:p>
    <w:p>
      <w:pPr>
        <w:pStyle w:val="BodyText"/>
        <w:spacing w:before="242" w:line="364" w:lineRule="auto"/>
        <w:ind w:left="1200" w:right="2554" w:firstLine="719"/>
      </w:pPr>
      <w:r>
        <w:rPr>
          <w:spacing w:val="-11"/>
        </w:rPr>
        <w:t>按照设计文件要求，进行钢筋的绑扎。受力钢筋接头的位置应相互错开。当</w:t>
      </w:r>
      <w:r>
        <w:rPr>
          <w:spacing w:val="-15"/>
        </w:rPr>
        <w:t xml:space="preserve">采用绑扎接头时，在任一搭接长度的区段在 </w:t>
      </w:r>
      <w:r>
        <w:t>35d</w:t>
      </w:r>
      <w:r>
        <w:rPr>
          <w:spacing w:val="-23"/>
        </w:rPr>
        <w:t xml:space="preserve"> 以内，且不小于 </w:t>
      </w:r>
      <w:r>
        <w:t>500mm</w:t>
      </w:r>
      <w:r>
        <w:rPr>
          <w:spacing w:val="-22"/>
        </w:rPr>
        <w:t xml:space="preserve"> 区段内， </w:t>
      </w:r>
      <w:r>
        <w:rPr>
          <w:spacing w:val="-7"/>
        </w:rPr>
        <w:t>有接头的钢筋截面的百分率应遵守有关规定。绑扎接头、搭接长度的末端距钢筋</w:t>
      </w:r>
      <w:r>
        <w:rPr>
          <w:spacing w:val="-18"/>
        </w:rPr>
        <w:t xml:space="preserve">弯曲处不得小于 </w:t>
      </w:r>
      <w:r>
        <w:t>10d</w:t>
      </w:r>
      <w:r>
        <w:rPr>
          <w:spacing w:val="-8"/>
        </w:rPr>
        <w:t xml:space="preserve"> ,两者也不宜位于构件的最大弯矩处。钢筋绑扎必须符合现行规范要求。</w:t>
      </w:r>
    </w:p>
    <w:p>
      <w:pPr>
        <w:pStyle w:val="ListParagraph"/>
        <w:numPr>
          <w:ilvl w:val="0"/>
          <w:numId w:val="19"/>
        </w:numPr>
        <w:tabs>
          <w:tab w:val="left" w:pos="2822"/>
        </w:tabs>
        <w:spacing w:before="4" w:after="0" w:line="240" w:lineRule="auto"/>
        <w:ind w:left="2821" w:right="0" w:hanging="902"/>
        <w:jc w:val="left"/>
        <w:rPr>
          <w:sz w:val="36"/>
        </w:rPr>
      </w:pPr>
      <w:r>
        <w:rPr>
          <w:sz w:val="36"/>
        </w:rPr>
        <w:t>、现场绑扎的准备</w:t>
      </w:r>
    </w:p>
    <w:p>
      <w:pPr>
        <w:pStyle w:val="BodyText"/>
        <w:spacing w:before="241" w:line="364" w:lineRule="auto"/>
        <w:ind w:left="1200" w:right="2695" w:firstLine="719"/>
        <w:jc w:val="both"/>
      </w:pPr>
      <w:r>
        <w:t>A</w:t>
      </w:r>
      <w:r>
        <w:rPr>
          <w:spacing w:val="-13"/>
        </w:rPr>
        <w:t xml:space="preserve"> 、明确各个单根钢筋的形状及细部尺寸，确定各类结构的绑扎程序。准备</w:t>
      </w:r>
      <w:r>
        <w:t>绑扎用的铁丝、绑扎工具、绑扎架等。</w:t>
      </w:r>
    </w:p>
    <w:p>
      <w:pPr>
        <w:pStyle w:val="BodyText"/>
        <w:spacing w:before="3" w:line="364" w:lineRule="auto"/>
        <w:ind w:left="1200" w:right="2695" w:firstLine="719"/>
        <w:jc w:val="both"/>
      </w:pPr>
      <w:r>
        <w:t>B</w:t>
      </w:r>
      <w:r>
        <w:rPr>
          <w:spacing w:val="-13"/>
        </w:rPr>
        <w:t xml:space="preserve"> 、水泥砂浆垫块厚度应等于保护层厚度，垫块的平面尺寸：当保护层厚度</w:t>
      </w:r>
      <w:r>
        <w:rPr>
          <w:spacing w:val="-14"/>
        </w:rPr>
        <w:t xml:space="preserve">等于或小于 </w:t>
      </w:r>
      <w:r>
        <w:t>20mm</w:t>
      </w:r>
      <w:r>
        <w:rPr>
          <w:spacing w:val="-43"/>
        </w:rPr>
        <w:t xml:space="preserve"> 时为 </w:t>
      </w:r>
      <w:r>
        <w:t>30×30mm，</w:t>
      </w:r>
      <w:r>
        <w:rPr>
          <w:spacing w:val="-28"/>
        </w:rPr>
        <w:t xml:space="preserve">大于 </w:t>
      </w:r>
      <w:r>
        <w:t>20mm</w:t>
      </w:r>
      <w:r>
        <w:rPr>
          <w:spacing w:val="-42"/>
        </w:rPr>
        <w:t xml:space="preserve"> 时为 </w:t>
      </w:r>
      <w:r>
        <w:t>50×50mm</w:t>
      </w:r>
      <w:r>
        <w:rPr>
          <w:spacing w:val="-2"/>
        </w:rPr>
        <w:t>。垂直方向使用垫块</w:t>
      </w:r>
      <w:r>
        <w:rPr>
          <w:spacing w:val="-9"/>
        </w:rPr>
        <w:t xml:space="preserve">时，可在垫块中埋入 </w:t>
      </w:r>
      <w:r>
        <w:t>20</w:t>
      </w:r>
      <w:r>
        <w:rPr>
          <w:spacing w:val="-19"/>
        </w:rPr>
        <w:t xml:space="preserve"> 号铁丝。</w:t>
      </w:r>
    </w:p>
    <w:p>
      <w:pPr>
        <w:pStyle w:val="BodyText"/>
        <w:spacing w:before="2"/>
        <w:ind w:left="1920"/>
        <w:jc w:val="both"/>
      </w:pPr>
      <w:r>
        <w:t>C 、划出钢筋位置</w:t>
      </w:r>
    </w:p>
    <w:p>
      <w:pPr>
        <w:pStyle w:val="BodyText"/>
        <w:spacing w:before="241" w:line="364" w:lineRule="auto"/>
        <w:ind w:left="1200" w:right="2517" w:firstLine="719"/>
      </w:pPr>
      <w:r>
        <w:rPr>
          <w:spacing w:val="-9"/>
        </w:rPr>
        <w:t>平板或墙板的钢筋在模板上划线：基础的钢筋，在两端各取一根钢筋划点或</w:t>
      </w:r>
      <w:r>
        <w:rPr>
          <w:spacing w:val="-22"/>
        </w:rPr>
        <w:t>在垫层上划线。钢筋接头的位置，应根据来料规格，结合接头位置、数量的规定。</w:t>
      </w:r>
      <w:r>
        <w:t>使其错开，在模板上划线。</w:t>
      </w:r>
    </w:p>
    <w:p>
      <w:pPr>
        <w:pStyle w:val="BodyText"/>
        <w:spacing w:before="3"/>
        <w:ind w:left="1920"/>
      </w:pPr>
      <w:r>
        <w:t>D、 提料前的检查</w:t>
      </w:r>
    </w:p>
    <w:p>
      <w:pPr>
        <w:pStyle w:val="BodyText"/>
        <w:spacing w:before="241" w:line="364" w:lineRule="auto"/>
        <w:ind w:left="1200" w:right="2558" w:firstLine="719"/>
      </w:pPr>
      <w:r>
        <w:t>核对成品钢筋的钢号、直径、尺寸和数量，如有错漏应及时纠正，同时还要根据锈蚀情况，确定有无必要进行除锈。</w:t>
      </w:r>
    </w:p>
    <w:p>
      <w:pPr>
        <w:pStyle w:val="BodyText"/>
        <w:spacing w:before="2"/>
        <w:ind w:left="1920"/>
      </w:pPr>
      <w:r>
        <w:t>E、 钢筋的绑扎</w:t>
      </w:r>
    </w:p>
    <w:p>
      <w:pPr>
        <w:pStyle w:val="BodyText"/>
        <w:spacing w:before="241"/>
        <w:ind w:left="1920"/>
      </w:pPr>
      <w:r>
        <w:t>采用十字花扣或反十字花扣。</w:t>
      </w:r>
    </w:p>
    <w:p>
      <w:pPr>
        <w:pStyle w:val="ListParagraph"/>
        <w:numPr>
          <w:ilvl w:val="0"/>
          <w:numId w:val="19"/>
        </w:numPr>
        <w:tabs>
          <w:tab w:val="left" w:pos="2642"/>
        </w:tabs>
        <w:spacing w:before="240" w:after="0" w:line="240" w:lineRule="auto"/>
        <w:ind w:left="2641" w:right="0" w:hanging="902"/>
        <w:jc w:val="left"/>
        <w:rPr>
          <w:sz w:val="36"/>
        </w:rPr>
      </w:pPr>
      <w:r>
        <w:rPr>
          <w:sz w:val="36"/>
        </w:rPr>
        <w:t>、 检查验收：</w:t>
      </w:r>
    </w:p>
    <w:p>
      <w:pPr>
        <w:pStyle w:val="BodyText"/>
        <w:spacing w:before="241" w:line="364" w:lineRule="auto"/>
        <w:ind w:left="1200" w:right="2558" w:firstLine="719"/>
      </w:pPr>
      <w:r>
        <w:rPr>
          <w:spacing w:val="-1"/>
        </w:rPr>
        <w:t>钢筋绑扎完成后，施工班组对钢筋的种类、型号、位置、数量进行检查，自</w:t>
      </w:r>
      <w:r>
        <w:rPr>
          <w:spacing w:val="-13"/>
        </w:rPr>
        <w:t>检合格后，报请监理工程师进行质量验收，验收合格后方可进行混凝土的浇筑作业，不合格的坚决返工。</w:t>
      </w:r>
    </w:p>
    <w:p>
      <w:pPr>
        <w:pStyle w:val="BodyText"/>
        <w:spacing w:before="4" w:line="364" w:lineRule="auto"/>
        <w:ind w:left="1920" w:right="12278"/>
      </w:pPr>
      <w:r>
        <w:t>、混凝土工程1、浇筑</w:t>
      </w:r>
    </w:p>
    <w:p>
      <w:pPr>
        <w:pStyle w:val="BodyText"/>
        <w:spacing w:before="2" w:line="364" w:lineRule="auto"/>
        <w:ind w:left="1200" w:right="2697" w:firstLine="719"/>
      </w:pPr>
      <w:r>
        <w:rPr>
          <w:spacing w:val="-10"/>
        </w:rPr>
        <w:t>开仓前对钢筋与模板进行检查，自检合格后，经过监理工程师检查合格，方</w:t>
      </w:r>
      <w:r>
        <w:t>可进行砼浇筑。</w:t>
      </w:r>
    </w:p>
    <w:p>
      <w:pPr>
        <w:spacing w:after="0" w:line="364" w:lineRule="auto"/>
        <w:sectPr>
          <w:pgSz w:w="17860" w:h="25260"/>
          <w:pgMar w:top="1920" w:right="0" w:bottom="280" w:left="1500" w:header="708" w:footer="708"/>
          <w:pgNumType w:start="43"/>
          <w:cols w:space="708"/>
        </w:sectPr>
      </w:pPr>
    </w:p>
    <w:p>
      <w:pPr>
        <w:pStyle w:val="ListParagraph"/>
        <w:numPr>
          <w:ilvl w:val="0"/>
          <w:numId w:val="18"/>
        </w:numPr>
        <w:tabs>
          <w:tab w:val="left" w:pos="2642"/>
        </w:tabs>
        <w:spacing w:before="35" w:after="0" w:line="240" w:lineRule="auto"/>
        <w:ind w:left="2641" w:right="0" w:hanging="902"/>
        <w:jc w:val="left"/>
        <w:rPr>
          <w:sz w:val="36"/>
        </w:rPr>
      </w:pPr>
      <w:r>
        <w:rPr>
          <w:sz w:val="36"/>
        </w:rPr>
        <w:t>、模板检查</w:t>
      </w:r>
    </w:p>
    <w:p>
      <w:pPr>
        <w:pStyle w:val="BodyText"/>
        <w:spacing w:before="242" w:line="364" w:lineRule="auto"/>
        <w:ind w:left="1200" w:right="2695" w:firstLine="719"/>
        <w:jc w:val="both"/>
      </w:pPr>
      <w:r>
        <w:rPr>
          <w:spacing w:val="-13"/>
        </w:rPr>
        <w:t>主要检查模板位置、标高、截面尺寸以及预留拱度是否与设计相符，模板的</w:t>
      </w:r>
      <w:r>
        <w:rPr>
          <w:spacing w:val="-10"/>
        </w:rPr>
        <w:t>支撑结构物是否牢固，以免浇灌过程中发生变形、走动等现象。如在已硬化的砼</w:t>
      </w:r>
      <w:r>
        <w:rPr>
          <w:spacing w:val="-11"/>
        </w:rPr>
        <w:t>表面上继续浇灌时，事先要除掉水泥薄膜和表面上松动的石子或软弱的砼，并用</w:t>
      </w:r>
      <w:r>
        <w:t>水冲洗，充分润湿，按施工缝技术要求施工。</w:t>
      </w:r>
    </w:p>
    <w:p>
      <w:pPr>
        <w:pStyle w:val="ListParagraph"/>
        <w:numPr>
          <w:ilvl w:val="0"/>
          <w:numId w:val="18"/>
        </w:numPr>
        <w:tabs>
          <w:tab w:val="left" w:pos="2642"/>
        </w:tabs>
        <w:spacing w:before="3" w:after="0" w:line="240" w:lineRule="auto"/>
        <w:ind w:left="2641" w:right="0" w:hanging="902"/>
        <w:jc w:val="left"/>
        <w:rPr>
          <w:sz w:val="36"/>
        </w:rPr>
      </w:pPr>
      <w:r>
        <w:rPr>
          <w:sz w:val="36"/>
        </w:rPr>
        <w:t>、钢筋检查</w:t>
      </w:r>
    </w:p>
    <w:p>
      <w:pPr>
        <w:pStyle w:val="BodyText"/>
        <w:spacing w:before="241" w:line="364" w:lineRule="auto"/>
        <w:ind w:left="1200" w:right="2697" w:firstLine="719"/>
        <w:jc w:val="both"/>
      </w:pPr>
      <w:r>
        <w:rPr>
          <w:spacing w:val="-12"/>
        </w:rPr>
        <w:t>主要检查钢筋的位置、规格、数量是否与设计相符，钢筋上的油污等要清除</w:t>
      </w:r>
      <w:r>
        <w:rPr>
          <w:spacing w:val="-13"/>
        </w:rPr>
        <w:t>干净。控制砼保护层厚度的水泥垫块或支架要按规定垫好。如果构件中有预埋铁</w:t>
      </w:r>
      <w:r>
        <w:rPr>
          <w:spacing w:val="-11"/>
        </w:rPr>
        <w:t>件或预留孔洞者，应检查铁件或塞子等是否安置正确。在浇筑砼前，对钢筋的规</w:t>
      </w:r>
      <w:r>
        <w:t>格、数量以及具体位置应作出记录，作为隐蔽工程验收依据。</w:t>
      </w:r>
    </w:p>
    <w:p>
      <w:pPr>
        <w:pStyle w:val="ListParagraph"/>
        <w:numPr>
          <w:ilvl w:val="0"/>
          <w:numId w:val="18"/>
        </w:numPr>
        <w:tabs>
          <w:tab w:val="left" w:pos="2642"/>
        </w:tabs>
        <w:spacing w:before="4" w:after="0" w:line="364" w:lineRule="auto"/>
        <w:ind w:left="1200" w:right="2699" w:firstLine="539"/>
        <w:jc w:val="left"/>
        <w:rPr>
          <w:sz w:val="36"/>
        </w:rPr>
      </w:pPr>
      <w:r>
        <w:rPr>
          <w:spacing w:val="-4"/>
          <w:sz w:val="36"/>
        </w:rPr>
        <w:t xml:space="preserve">、浇筑前，建基面湿润，先浇筑一层厚 </w:t>
      </w:r>
      <w:r>
        <w:rPr>
          <w:sz w:val="36"/>
        </w:rPr>
        <w:t>2-3cm</w:t>
      </w:r>
      <w:r>
        <w:rPr>
          <w:spacing w:val="-9"/>
          <w:sz w:val="36"/>
        </w:rPr>
        <w:t xml:space="preserve"> 与混凝土成分相同的水</w:t>
      </w:r>
      <w:r>
        <w:rPr>
          <w:spacing w:val="-4"/>
          <w:sz w:val="36"/>
        </w:rPr>
        <w:t>泥砂浆，水灰比应较砼的水灰比减少，以免底部产生蜂窝现象。</w:t>
      </w:r>
    </w:p>
    <w:p>
      <w:pPr>
        <w:pStyle w:val="ListParagraph"/>
        <w:numPr>
          <w:ilvl w:val="0"/>
          <w:numId w:val="18"/>
        </w:numPr>
        <w:tabs>
          <w:tab w:val="left" w:pos="2642"/>
        </w:tabs>
        <w:spacing w:before="2" w:after="0" w:line="364" w:lineRule="auto"/>
        <w:ind w:left="1200" w:right="2511" w:firstLine="539"/>
        <w:jc w:val="left"/>
        <w:rPr>
          <w:sz w:val="36"/>
        </w:rPr>
      </w:pPr>
      <w:r>
        <w:rPr>
          <w:spacing w:val="-2"/>
          <w:sz w:val="36"/>
        </w:rPr>
        <w:t xml:space="preserve">、砼入仓，人工平仓。砼的自由下落高度不许超过 </w:t>
      </w:r>
      <w:r>
        <w:rPr>
          <w:sz w:val="36"/>
        </w:rPr>
        <w:t>2m，</w:t>
      </w:r>
      <w:r>
        <w:rPr>
          <w:spacing w:val="-16"/>
          <w:sz w:val="36"/>
        </w:rPr>
        <w:t xml:space="preserve">超过 </w:t>
      </w:r>
      <w:r>
        <w:rPr>
          <w:sz w:val="36"/>
        </w:rPr>
        <w:t>2m</w:t>
      </w:r>
      <w:r>
        <w:rPr>
          <w:spacing w:val="-12"/>
          <w:sz w:val="36"/>
        </w:rPr>
        <w:t xml:space="preserve"> 时应使</w:t>
      </w:r>
      <w:r>
        <w:rPr>
          <w:spacing w:val="-11"/>
          <w:sz w:val="36"/>
        </w:rPr>
        <w:t xml:space="preserve">用溜槽或串筒。溜槽用白铁皮木板斜向放置。串筒用薄钢板制成，每节长 </w:t>
      </w:r>
      <w:r>
        <w:rPr>
          <w:sz w:val="36"/>
        </w:rPr>
        <w:t xml:space="preserve">70cm </w:t>
      </w:r>
      <w:r>
        <w:rPr>
          <w:spacing w:val="-24"/>
          <w:sz w:val="36"/>
        </w:rPr>
        <w:t xml:space="preserve">左右，用环钩连接，筒内设有缓冲模板，砼浇筑必须分层浇筑，每层不超过 </w:t>
      </w:r>
      <w:r>
        <w:rPr>
          <w:sz w:val="36"/>
        </w:rPr>
        <w:t>30cm</w:t>
      </w:r>
      <w:r>
        <w:rPr>
          <w:spacing w:val="-14"/>
          <w:sz w:val="36"/>
        </w:rPr>
        <w:t>。</w:t>
      </w:r>
      <w:r>
        <w:rPr>
          <w:spacing w:val="-7"/>
          <w:sz w:val="36"/>
        </w:rPr>
        <w:t>一个仓面内混凝土要平衡浇筑由低向高，保持砼面水平上升。砼浇筑过程要严格控制，避免超高或低于图纸要求的高程。</w:t>
      </w:r>
    </w:p>
    <w:p>
      <w:pPr>
        <w:pStyle w:val="ListParagraph"/>
        <w:numPr>
          <w:ilvl w:val="0"/>
          <w:numId w:val="18"/>
        </w:numPr>
        <w:tabs>
          <w:tab w:val="left" w:pos="2642"/>
        </w:tabs>
        <w:spacing w:before="5" w:after="0" w:line="364" w:lineRule="auto"/>
        <w:ind w:left="1200" w:right="2682" w:firstLine="539"/>
        <w:jc w:val="both"/>
        <w:rPr>
          <w:sz w:val="36"/>
        </w:rPr>
      </w:pPr>
      <w:r>
        <w:rPr>
          <w:spacing w:val="-24"/>
          <w:sz w:val="36"/>
        </w:rPr>
        <w:t xml:space="preserve">、人工振捣，振捣工具为软轴插入式 </w:t>
      </w:r>
      <w:r>
        <w:rPr>
          <w:sz w:val="36"/>
        </w:rPr>
        <w:t>50</w:t>
      </w:r>
      <w:r>
        <w:rPr>
          <w:spacing w:val="-27"/>
          <w:sz w:val="36"/>
        </w:rPr>
        <w:t xml:space="preserve"> 型振捣棒，振捣时按一定次序</w:t>
      </w:r>
      <w:r>
        <w:rPr>
          <w:sz w:val="36"/>
        </w:rPr>
        <w:t>（ 采用梅花式）进行，由内向外，依次振捣，以免漏振，插入下层混凝土5-10cm，</w:t>
      </w:r>
      <w:r>
        <w:rPr>
          <w:spacing w:val="-13"/>
          <w:sz w:val="36"/>
        </w:rPr>
        <w:t xml:space="preserve">与侧模控制在 </w:t>
      </w:r>
      <w:r>
        <w:rPr>
          <w:sz w:val="36"/>
        </w:rPr>
        <w:t>5cm-10cm，防止振动棒碰撞模板，使之变形（涨模</w:t>
      </w:r>
      <w:r>
        <w:rPr>
          <w:spacing w:val="-217"/>
          <w:sz w:val="36"/>
        </w:rPr>
        <w:t>）</w:t>
      </w:r>
      <w:r>
        <w:rPr>
          <w:sz w:val="36"/>
        </w:rPr>
        <w:t>。止</w:t>
      </w:r>
      <w:r>
        <w:rPr>
          <w:spacing w:val="-14"/>
          <w:sz w:val="36"/>
        </w:rPr>
        <w:t>水带处应加强振捣，振捣时不能过振，当混凝土表面没有气泡产生，表面泛起一</w:t>
      </w:r>
      <w:r>
        <w:rPr>
          <w:spacing w:val="-16"/>
          <w:sz w:val="36"/>
        </w:rPr>
        <w:t>层薄而均匀的水泥砂浆，表明此处已密实，振捣完毕后应边振捣边徐徐提出振</w:t>
      </w:r>
      <w:r>
        <w:rPr>
          <w:spacing w:val="-10"/>
          <w:sz w:val="36"/>
        </w:rPr>
        <w:t>捣棒。表面及时修整、抹平，待定浆后再抹第二遍并压光或拉毛。</w:t>
      </w:r>
    </w:p>
    <w:p>
      <w:pPr>
        <w:pStyle w:val="ListParagraph"/>
        <w:numPr>
          <w:ilvl w:val="0"/>
          <w:numId w:val="18"/>
        </w:numPr>
        <w:tabs>
          <w:tab w:val="left" w:pos="2642"/>
        </w:tabs>
        <w:spacing w:before="7" w:after="0" w:line="364" w:lineRule="auto"/>
        <w:ind w:left="1200" w:right="2700" w:firstLine="539"/>
        <w:jc w:val="both"/>
        <w:rPr>
          <w:sz w:val="36"/>
        </w:rPr>
      </w:pPr>
      <w:r>
        <w:rPr>
          <w:sz w:val="36"/>
        </w:rPr>
        <w:t>、混凝土的浇筑应连续进行，如因故必须间断时，其间断时间应小于</w:t>
      </w:r>
      <w:r>
        <w:rPr>
          <w:spacing w:val="-7"/>
          <w:sz w:val="36"/>
        </w:rPr>
        <w:t>前层混凝土的初凝时间或能重塑的时间。当间断超过允许间歇时间，则按施工缝</w:t>
      </w:r>
      <w:r>
        <w:rPr>
          <w:spacing w:val="-6"/>
          <w:sz w:val="36"/>
        </w:rPr>
        <w:t>处理。</w:t>
      </w:r>
    </w:p>
    <w:p>
      <w:pPr>
        <w:pStyle w:val="ListParagraph"/>
        <w:numPr>
          <w:ilvl w:val="0"/>
          <w:numId w:val="18"/>
        </w:numPr>
        <w:tabs>
          <w:tab w:val="left" w:pos="2642"/>
        </w:tabs>
        <w:spacing w:before="2" w:after="0" w:line="240" w:lineRule="auto"/>
        <w:ind w:left="2641" w:right="0" w:hanging="902"/>
        <w:jc w:val="left"/>
        <w:rPr>
          <w:sz w:val="36"/>
        </w:rPr>
      </w:pPr>
      <w:r>
        <w:rPr>
          <w:sz w:val="36"/>
        </w:rPr>
        <w:t>、施工缝的处理应遵循下列规定：</w:t>
      </w:r>
    </w:p>
    <w:p>
      <w:pPr>
        <w:pStyle w:val="BodyText"/>
        <w:spacing w:before="241" w:line="364" w:lineRule="auto"/>
        <w:ind w:left="1200" w:right="2522" w:firstLine="719"/>
      </w:pPr>
      <w:r>
        <w:t>A</w:t>
      </w:r>
      <w:r>
        <w:rPr>
          <w:spacing w:val="-13"/>
        </w:rPr>
        <w:t xml:space="preserve">、应凿除处理层混凝土表面的水泥砂浆和松弱层，用水冲洗凿毛时须达到； </w:t>
      </w:r>
      <w:r>
        <w:t>用人工凿除时须达到。</w:t>
      </w:r>
    </w:p>
    <w:p>
      <w:pPr>
        <w:spacing w:after="0" w:line="364" w:lineRule="auto"/>
        <w:sectPr>
          <w:pgSz w:w="17860" w:h="25260"/>
          <w:pgMar w:top="1920" w:right="0" w:bottom="280" w:left="1500" w:header="708" w:footer="708"/>
          <w:pgNumType w:start="44"/>
          <w:cols w:space="708"/>
        </w:sectPr>
      </w:pPr>
    </w:p>
    <w:p>
      <w:pPr>
        <w:pStyle w:val="BodyText"/>
        <w:spacing w:before="35" w:line="364" w:lineRule="auto"/>
        <w:ind w:left="1200" w:right="2517" w:firstLine="719"/>
      </w:pPr>
      <w:r>
        <w:t>B</w:t>
      </w:r>
      <w:r>
        <w:rPr>
          <w:spacing w:val="-13"/>
        </w:rPr>
        <w:t xml:space="preserve">、经凿毛处理的混凝土面应用水冲洗干净，排除积水，在浇筑混凝土之前， </w:t>
      </w:r>
      <w:r>
        <w:rPr>
          <w:spacing w:val="-9"/>
        </w:rPr>
        <w:t xml:space="preserve">在水平施工缝上铺一层 </w:t>
      </w:r>
      <w:r>
        <w:t>2-3cm</w:t>
      </w:r>
      <w:r>
        <w:rPr>
          <w:spacing w:val="-13"/>
        </w:rPr>
        <w:t xml:space="preserve"> 的同配比砂浆。</w:t>
      </w:r>
    </w:p>
    <w:p>
      <w:pPr>
        <w:pStyle w:val="BodyText"/>
        <w:spacing w:before="3"/>
        <w:ind w:left="1920"/>
      </w:pPr>
      <w:r>
        <w:t>C、施工缝为斜面时应浇筑成或凿成台阶状。</w:t>
      </w:r>
    </w:p>
    <w:p>
      <w:pPr>
        <w:pStyle w:val="BodyText"/>
        <w:spacing w:before="240" w:line="364" w:lineRule="auto"/>
        <w:ind w:left="1200" w:right="2522" w:firstLine="719"/>
      </w:pPr>
      <w:r>
        <w:t>D</w:t>
      </w:r>
      <w:r>
        <w:rPr>
          <w:spacing w:val="-14"/>
        </w:rPr>
        <w:t>、施工缝处理后，须待处理层混凝土达到一定强度后才能继续浇筑混凝土。</w:t>
      </w:r>
      <w:r>
        <w:t>一般最低为,当结构物为钢筋混凝土时必须达。</w:t>
      </w:r>
    </w:p>
    <w:p>
      <w:pPr>
        <w:pStyle w:val="BodyText"/>
        <w:spacing w:before="2" w:line="364" w:lineRule="auto"/>
        <w:ind w:left="1920" w:right="9578"/>
      </w:pPr>
      <w:r>
        <w:t>E、施工缝必要时可设置键槽。2、养护</w:t>
      </w:r>
    </w:p>
    <w:p>
      <w:pPr>
        <w:pStyle w:val="ListParagraph"/>
        <w:numPr>
          <w:ilvl w:val="1"/>
          <w:numId w:val="18"/>
        </w:numPr>
        <w:tabs>
          <w:tab w:val="left" w:pos="2822"/>
        </w:tabs>
        <w:spacing w:before="2" w:after="0" w:line="364" w:lineRule="auto"/>
        <w:ind w:left="1200" w:right="2556" w:firstLine="719"/>
        <w:jc w:val="left"/>
        <w:rPr>
          <w:sz w:val="36"/>
        </w:rPr>
      </w:pPr>
      <w:r>
        <w:rPr>
          <w:spacing w:val="-14"/>
          <w:sz w:val="36"/>
        </w:rPr>
        <w:t>、混凝土养护：为保证已浇筑好的混凝土在规定短期以内达到设计要求的强度，并防止产生收缩裂缝，必须做好养护工作。本工程采用自然养护。在</w:t>
      </w:r>
      <w:r>
        <w:rPr>
          <w:spacing w:val="-17"/>
          <w:sz w:val="36"/>
        </w:rPr>
        <w:t>常温下,用草帘、草袋、麻袋对砼加以覆盖，避免太阳光爆晒，在砼浇筑后的12-18小时内开始养护，采用微孔喷雾。使砼在一定的时间内，保持足够的湿润</w:t>
      </w:r>
      <w:r>
        <w:rPr>
          <w:spacing w:val="-14"/>
          <w:sz w:val="36"/>
        </w:rPr>
        <w:t xml:space="preserve">状态，利用太阳能，达到提高养护砼温度并保持温度的目的。养护由专人负责， </w:t>
      </w:r>
      <w:r>
        <w:rPr>
          <w:spacing w:val="-12"/>
          <w:sz w:val="36"/>
        </w:rPr>
        <w:t xml:space="preserve">养护时间不少于 </w:t>
      </w:r>
      <w:r>
        <w:rPr>
          <w:sz w:val="36"/>
        </w:rPr>
        <w:t>14</w:t>
      </w:r>
      <w:r>
        <w:rPr>
          <w:spacing w:val="-30"/>
          <w:sz w:val="36"/>
        </w:rPr>
        <w:t xml:space="preserve"> 天。</w:t>
      </w:r>
    </w:p>
    <w:p>
      <w:pPr>
        <w:pStyle w:val="ListParagraph"/>
        <w:numPr>
          <w:ilvl w:val="1"/>
          <w:numId w:val="18"/>
        </w:numPr>
        <w:tabs>
          <w:tab w:val="left" w:pos="2822"/>
        </w:tabs>
        <w:spacing w:before="6" w:after="0" w:line="364" w:lineRule="auto"/>
        <w:ind w:left="1200" w:right="2558" w:firstLine="719"/>
        <w:jc w:val="left"/>
        <w:rPr>
          <w:sz w:val="36"/>
        </w:rPr>
      </w:pPr>
      <w:r>
        <w:rPr>
          <w:sz w:val="36"/>
        </w:rPr>
        <w:t>、成品保护：砼浇筑后，保护好混凝土表面，不受污染。拆模时，加</w:t>
      </w:r>
      <w:r>
        <w:rPr>
          <w:spacing w:val="-5"/>
          <w:sz w:val="36"/>
        </w:rPr>
        <w:t>强对边角部位的保护。</w:t>
      </w:r>
    </w:p>
    <w:p>
      <w:pPr>
        <w:pStyle w:val="BodyText"/>
        <w:spacing w:before="4"/>
        <w:rPr>
          <w:sz w:val="29"/>
        </w:rPr>
      </w:pPr>
    </w:p>
    <w:p>
      <w:pPr>
        <w:pStyle w:val="Heading2"/>
      </w:pPr>
      <w:r>
        <w:t>、人工栈桥工程</w:t>
      </w:r>
    </w:p>
    <w:p>
      <w:pPr>
        <w:pStyle w:val="BodyText"/>
        <w:spacing w:before="8"/>
        <w:rPr>
          <w:b/>
          <w:sz w:val="50"/>
        </w:rPr>
      </w:pPr>
    </w:p>
    <w:p>
      <w:pPr>
        <w:pStyle w:val="BodyText"/>
        <w:ind w:left="1200"/>
      </w:pPr>
      <w:r>
        <w:t>因人工栈桥设计图纸还未有，此方案后续补充</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8" w:history="1">
        <w:r>
          <w:rPr>
            <w:rFonts w:ascii="SimSun" w:eastAsia="SimSun" w:hAnsi="SimSun" w:cs="SimSun"/>
            <w:b/>
            <w:bCs/>
            <w:color w:val="0000EE"/>
            <w:sz w:val="30"/>
            <w:szCs w:val="30"/>
            <w:u w:val="single" w:color="0000EE"/>
          </w:rPr>
          <w:t>https://d.book118.com/875002143134011111</w:t>
        </w:r>
      </w:hyperlink>
    </w:p>
    <w:p>
      <w:pPr>
        <w:spacing w:after="0"/>
      </w:pPr>
    </w:p>
    <w:sectPr>
      <w:pgSz w:w="17860" w:h="25260"/>
      <w:pgMar w:top="1920" w:right="0" w:bottom="280" w:left="1500" w:header="708" w:footer="708"/>
      <w:pgNumType w:start="4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1A15D"/>
    <w:multiLevelType w:val="hybridMultilevel"/>
    <w:tmpl w:val="00000000"/>
    <w:lvl w:ilvl="0">
      <w:start w:val="1"/>
      <w:numFmt w:val="decimal"/>
      <w:lvlText w:val="（%1）"/>
      <w:lvlJc w:val="left"/>
      <w:pPr>
        <w:ind w:left="2461" w:hanging="901"/>
        <w:jc w:val="left"/>
      </w:pPr>
      <w:rPr>
        <w:rFonts w:ascii="黑体" w:eastAsia="黑体" w:hAnsi="黑体" w:cs="黑体" w:hint="default"/>
        <w:spacing w:val="-180"/>
        <w:w w:val="100"/>
        <w:sz w:val="34"/>
        <w:szCs w:val="34"/>
      </w:rPr>
    </w:lvl>
    <w:lvl w:ilvl="1">
      <w:start w:val="0"/>
      <w:numFmt w:val="bullet"/>
      <w:lvlText w:val="•"/>
      <w:lvlJc w:val="left"/>
      <w:pPr>
        <w:ind w:left="3849" w:hanging="901"/>
      </w:pPr>
      <w:rPr>
        <w:rFonts w:hint="default"/>
      </w:rPr>
    </w:lvl>
    <w:lvl w:ilvl="2">
      <w:start w:val="0"/>
      <w:numFmt w:val="bullet"/>
      <w:lvlText w:val="•"/>
      <w:lvlJc w:val="left"/>
      <w:pPr>
        <w:ind w:left="5239" w:hanging="901"/>
      </w:pPr>
      <w:rPr>
        <w:rFonts w:hint="default"/>
      </w:rPr>
    </w:lvl>
    <w:lvl w:ilvl="3">
      <w:start w:val="0"/>
      <w:numFmt w:val="bullet"/>
      <w:lvlText w:val="•"/>
      <w:lvlJc w:val="left"/>
      <w:pPr>
        <w:ind w:left="6629" w:hanging="901"/>
      </w:pPr>
      <w:rPr>
        <w:rFonts w:hint="default"/>
      </w:rPr>
    </w:lvl>
    <w:lvl w:ilvl="4">
      <w:start w:val="0"/>
      <w:numFmt w:val="bullet"/>
      <w:lvlText w:val="•"/>
      <w:lvlJc w:val="left"/>
      <w:pPr>
        <w:ind w:left="8019" w:hanging="901"/>
      </w:pPr>
      <w:rPr>
        <w:rFonts w:hint="default"/>
      </w:rPr>
    </w:lvl>
    <w:lvl w:ilvl="5">
      <w:start w:val="0"/>
      <w:numFmt w:val="bullet"/>
      <w:lvlText w:val="•"/>
      <w:lvlJc w:val="left"/>
      <w:pPr>
        <w:ind w:left="9409" w:hanging="901"/>
      </w:pPr>
      <w:rPr>
        <w:rFonts w:hint="default"/>
      </w:rPr>
    </w:lvl>
    <w:lvl w:ilvl="6">
      <w:start w:val="0"/>
      <w:numFmt w:val="bullet"/>
      <w:lvlText w:val="•"/>
      <w:lvlJc w:val="left"/>
      <w:pPr>
        <w:ind w:left="10799" w:hanging="901"/>
      </w:pPr>
      <w:rPr>
        <w:rFonts w:hint="default"/>
      </w:rPr>
    </w:lvl>
    <w:lvl w:ilvl="7">
      <w:start w:val="0"/>
      <w:numFmt w:val="bullet"/>
      <w:lvlText w:val="•"/>
      <w:lvlJc w:val="left"/>
      <w:pPr>
        <w:ind w:left="12189" w:hanging="901"/>
      </w:pPr>
      <w:rPr>
        <w:rFonts w:hint="default"/>
      </w:rPr>
    </w:lvl>
    <w:lvl w:ilvl="8">
      <w:start w:val="0"/>
      <w:numFmt w:val="bullet"/>
      <w:lvlText w:val="•"/>
      <w:lvlJc w:val="left"/>
      <w:pPr>
        <w:ind w:left="13579" w:hanging="901"/>
      </w:pPr>
      <w:rPr>
        <w:rFonts w:hint="default"/>
      </w:rPr>
    </w:lvl>
  </w:abstractNum>
  <w:abstractNum w:abstractNumId="1">
    <w:nsid w:val="0C3001F1"/>
    <w:multiLevelType w:val="hybridMultilevel"/>
    <w:tmpl w:val="00000000"/>
    <w:lvl w:ilvl="0">
      <w:start w:val="1"/>
      <w:numFmt w:val="decimal"/>
      <w:lvlText w:val="（%1）"/>
      <w:lvlJc w:val="left"/>
      <w:pPr>
        <w:ind w:left="2821" w:hanging="901"/>
        <w:jc w:val="right"/>
      </w:pPr>
      <w:rPr>
        <w:rFonts w:ascii="黑体" w:eastAsia="黑体" w:hAnsi="黑体" w:cs="黑体" w:hint="default"/>
        <w:spacing w:val="-180"/>
        <w:w w:val="100"/>
        <w:sz w:val="34"/>
        <w:szCs w:val="34"/>
      </w:rPr>
    </w:lvl>
    <w:lvl w:ilvl="1">
      <w:start w:val="0"/>
      <w:numFmt w:val="bullet"/>
      <w:lvlText w:val="•"/>
      <w:lvlJc w:val="left"/>
      <w:pPr>
        <w:ind w:left="4173" w:hanging="901"/>
      </w:pPr>
      <w:rPr>
        <w:rFonts w:hint="default"/>
      </w:rPr>
    </w:lvl>
    <w:lvl w:ilvl="2">
      <w:start w:val="0"/>
      <w:numFmt w:val="bullet"/>
      <w:lvlText w:val="•"/>
      <w:lvlJc w:val="left"/>
      <w:pPr>
        <w:ind w:left="5527" w:hanging="901"/>
      </w:pPr>
      <w:rPr>
        <w:rFonts w:hint="default"/>
      </w:rPr>
    </w:lvl>
    <w:lvl w:ilvl="3">
      <w:start w:val="0"/>
      <w:numFmt w:val="bullet"/>
      <w:lvlText w:val="•"/>
      <w:lvlJc w:val="left"/>
      <w:pPr>
        <w:ind w:left="6881" w:hanging="901"/>
      </w:pPr>
      <w:rPr>
        <w:rFonts w:hint="default"/>
      </w:rPr>
    </w:lvl>
    <w:lvl w:ilvl="4">
      <w:start w:val="0"/>
      <w:numFmt w:val="bullet"/>
      <w:lvlText w:val="•"/>
      <w:lvlJc w:val="left"/>
      <w:pPr>
        <w:ind w:left="8235" w:hanging="901"/>
      </w:pPr>
      <w:rPr>
        <w:rFonts w:hint="default"/>
      </w:rPr>
    </w:lvl>
    <w:lvl w:ilvl="5">
      <w:start w:val="0"/>
      <w:numFmt w:val="bullet"/>
      <w:lvlText w:val="•"/>
      <w:lvlJc w:val="left"/>
      <w:pPr>
        <w:ind w:left="9589" w:hanging="901"/>
      </w:pPr>
      <w:rPr>
        <w:rFonts w:hint="default"/>
      </w:rPr>
    </w:lvl>
    <w:lvl w:ilvl="6">
      <w:start w:val="0"/>
      <w:numFmt w:val="bullet"/>
      <w:lvlText w:val="•"/>
      <w:lvlJc w:val="left"/>
      <w:pPr>
        <w:ind w:left="10943" w:hanging="901"/>
      </w:pPr>
      <w:rPr>
        <w:rFonts w:hint="default"/>
      </w:rPr>
    </w:lvl>
    <w:lvl w:ilvl="7">
      <w:start w:val="0"/>
      <w:numFmt w:val="bullet"/>
      <w:lvlText w:val="•"/>
      <w:lvlJc w:val="left"/>
      <w:pPr>
        <w:ind w:left="12297" w:hanging="901"/>
      </w:pPr>
      <w:rPr>
        <w:rFonts w:hint="default"/>
      </w:rPr>
    </w:lvl>
    <w:lvl w:ilvl="8">
      <w:start w:val="0"/>
      <w:numFmt w:val="bullet"/>
      <w:lvlText w:val="•"/>
      <w:lvlJc w:val="left"/>
      <w:pPr>
        <w:ind w:left="13651" w:hanging="901"/>
      </w:pPr>
      <w:rPr>
        <w:rFonts w:hint="default"/>
      </w:rPr>
    </w:lvl>
  </w:abstractNum>
  <w:abstractNum w:abstractNumId="2">
    <w:nsid w:val="13FB6394"/>
    <w:multiLevelType w:val="hybridMultilevel"/>
    <w:tmpl w:val="00000000"/>
    <w:lvl w:ilvl="0">
      <w:start w:val="1"/>
      <w:numFmt w:val="decimal"/>
      <w:lvlText w:val="(%1)"/>
      <w:lvlJc w:val="left"/>
      <w:pPr>
        <w:ind w:left="1200" w:hanging="541"/>
        <w:jc w:val="left"/>
      </w:pPr>
      <w:rPr>
        <w:rFonts w:ascii="黑体" w:eastAsia="黑体" w:hAnsi="黑体" w:cs="黑体" w:hint="default"/>
        <w:spacing w:val="-1"/>
        <w:w w:val="100"/>
        <w:sz w:val="34"/>
        <w:szCs w:val="34"/>
      </w:rPr>
    </w:lvl>
    <w:lvl w:ilvl="1">
      <w:start w:val="0"/>
      <w:numFmt w:val="bullet"/>
      <w:lvlText w:val="•"/>
      <w:lvlJc w:val="left"/>
      <w:pPr>
        <w:ind w:left="2715" w:hanging="541"/>
      </w:pPr>
      <w:rPr>
        <w:rFonts w:hint="default"/>
      </w:rPr>
    </w:lvl>
    <w:lvl w:ilvl="2">
      <w:start w:val="0"/>
      <w:numFmt w:val="bullet"/>
      <w:lvlText w:val="•"/>
      <w:lvlJc w:val="left"/>
      <w:pPr>
        <w:ind w:left="4231" w:hanging="541"/>
      </w:pPr>
      <w:rPr>
        <w:rFonts w:hint="default"/>
      </w:rPr>
    </w:lvl>
    <w:lvl w:ilvl="3">
      <w:start w:val="0"/>
      <w:numFmt w:val="bullet"/>
      <w:lvlText w:val="•"/>
      <w:lvlJc w:val="left"/>
      <w:pPr>
        <w:ind w:left="5747" w:hanging="541"/>
      </w:pPr>
      <w:rPr>
        <w:rFonts w:hint="default"/>
      </w:rPr>
    </w:lvl>
    <w:lvl w:ilvl="4">
      <w:start w:val="0"/>
      <w:numFmt w:val="bullet"/>
      <w:lvlText w:val="•"/>
      <w:lvlJc w:val="left"/>
      <w:pPr>
        <w:ind w:left="7263" w:hanging="541"/>
      </w:pPr>
      <w:rPr>
        <w:rFonts w:hint="default"/>
      </w:rPr>
    </w:lvl>
    <w:lvl w:ilvl="5">
      <w:start w:val="0"/>
      <w:numFmt w:val="bullet"/>
      <w:lvlText w:val="•"/>
      <w:lvlJc w:val="left"/>
      <w:pPr>
        <w:ind w:left="8779" w:hanging="541"/>
      </w:pPr>
      <w:rPr>
        <w:rFonts w:hint="default"/>
      </w:rPr>
    </w:lvl>
    <w:lvl w:ilvl="6">
      <w:start w:val="0"/>
      <w:numFmt w:val="bullet"/>
      <w:lvlText w:val="•"/>
      <w:lvlJc w:val="left"/>
      <w:pPr>
        <w:ind w:left="10295" w:hanging="541"/>
      </w:pPr>
      <w:rPr>
        <w:rFonts w:hint="default"/>
      </w:rPr>
    </w:lvl>
    <w:lvl w:ilvl="7">
      <w:start w:val="0"/>
      <w:numFmt w:val="bullet"/>
      <w:lvlText w:val="•"/>
      <w:lvlJc w:val="left"/>
      <w:pPr>
        <w:ind w:left="11811" w:hanging="541"/>
      </w:pPr>
      <w:rPr>
        <w:rFonts w:hint="default"/>
      </w:rPr>
    </w:lvl>
    <w:lvl w:ilvl="8">
      <w:start w:val="0"/>
      <w:numFmt w:val="bullet"/>
      <w:lvlText w:val="•"/>
      <w:lvlJc w:val="left"/>
      <w:pPr>
        <w:ind w:left="13327" w:hanging="541"/>
      </w:pPr>
      <w:rPr>
        <w:rFonts w:hint="default"/>
      </w:rPr>
    </w:lvl>
  </w:abstractNum>
  <w:abstractNum w:abstractNumId="3">
    <w:nsid w:val="1B1E8256"/>
    <w:multiLevelType w:val="hybridMultilevel"/>
    <w:tmpl w:val="00000000"/>
    <w:lvl w:ilvl="0">
      <w:start w:val="1"/>
      <w:numFmt w:val="decimal"/>
      <w:lvlText w:val="（%1）"/>
      <w:lvlJc w:val="left"/>
      <w:pPr>
        <w:ind w:left="2461" w:hanging="901"/>
        <w:jc w:val="left"/>
      </w:pPr>
      <w:rPr>
        <w:rFonts w:ascii="黑体" w:eastAsia="黑体" w:hAnsi="黑体" w:cs="黑体" w:hint="default"/>
        <w:spacing w:val="-180"/>
        <w:w w:val="100"/>
        <w:sz w:val="34"/>
        <w:szCs w:val="34"/>
      </w:rPr>
    </w:lvl>
    <w:lvl w:ilvl="1">
      <w:start w:val="0"/>
      <w:numFmt w:val="bullet"/>
      <w:lvlText w:val="•"/>
      <w:lvlJc w:val="left"/>
      <w:pPr>
        <w:ind w:left="3849" w:hanging="901"/>
      </w:pPr>
      <w:rPr>
        <w:rFonts w:hint="default"/>
      </w:rPr>
    </w:lvl>
    <w:lvl w:ilvl="2">
      <w:start w:val="0"/>
      <w:numFmt w:val="bullet"/>
      <w:lvlText w:val="•"/>
      <w:lvlJc w:val="left"/>
      <w:pPr>
        <w:ind w:left="5239" w:hanging="901"/>
      </w:pPr>
      <w:rPr>
        <w:rFonts w:hint="default"/>
      </w:rPr>
    </w:lvl>
    <w:lvl w:ilvl="3">
      <w:start w:val="0"/>
      <w:numFmt w:val="bullet"/>
      <w:lvlText w:val="•"/>
      <w:lvlJc w:val="left"/>
      <w:pPr>
        <w:ind w:left="6629" w:hanging="901"/>
      </w:pPr>
      <w:rPr>
        <w:rFonts w:hint="default"/>
      </w:rPr>
    </w:lvl>
    <w:lvl w:ilvl="4">
      <w:start w:val="0"/>
      <w:numFmt w:val="bullet"/>
      <w:lvlText w:val="•"/>
      <w:lvlJc w:val="left"/>
      <w:pPr>
        <w:ind w:left="8019" w:hanging="901"/>
      </w:pPr>
      <w:rPr>
        <w:rFonts w:hint="default"/>
      </w:rPr>
    </w:lvl>
    <w:lvl w:ilvl="5">
      <w:start w:val="0"/>
      <w:numFmt w:val="bullet"/>
      <w:lvlText w:val="•"/>
      <w:lvlJc w:val="left"/>
      <w:pPr>
        <w:ind w:left="9409" w:hanging="901"/>
      </w:pPr>
      <w:rPr>
        <w:rFonts w:hint="default"/>
      </w:rPr>
    </w:lvl>
    <w:lvl w:ilvl="6">
      <w:start w:val="0"/>
      <w:numFmt w:val="bullet"/>
      <w:lvlText w:val="•"/>
      <w:lvlJc w:val="left"/>
      <w:pPr>
        <w:ind w:left="10799" w:hanging="901"/>
      </w:pPr>
      <w:rPr>
        <w:rFonts w:hint="default"/>
      </w:rPr>
    </w:lvl>
    <w:lvl w:ilvl="7">
      <w:start w:val="0"/>
      <w:numFmt w:val="bullet"/>
      <w:lvlText w:val="•"/>
      <w:lvlJc w:val="left"/>
      <w:pPr>
        <w:ind w:left="12189" w:hanging="901"/>
      </w:pPr>
      <w:rPr>
        <w:rFonts w:hint="default"/>
      </w:rPr>
    </w:lvl>
    <w:lvl w:ilvl="8">
      <w:start w:val="0"/>
      <w:numFmt w:val="bullet"/>
      <w:lvlText w:val="•"/>
      <w:lvlJc w:val="left"/>
      <w:pPr>
        <w:ind w:left="13579" w:hanging="901"/>
      </w:pPr>
      <w:rPr>
        <w:rFonts w:hint="default"/>
      </w:rPr>
    </w:lvl>
  </w:abstractNum>
  <w:abstractNum w:abstractNumId="4">
    <w:nsid w:val="1B5C5C9D"/>
    <w:multiLevelType w:val="hybridMultilevel"/>
    <w:tmpl w:val="00000000"/>
    <w:lvl w:ilvl="0">
      <w:start w:val="1"/>
      <w:numFmt w:val="decimal"/>
      <w:lvlText w:val="（%1）"/>
      <w:lvlJc w:val="left"/>
      <w:pPr>
        <w:ind w:left="2461" w:hanging="901"/>
        <w:jc w:val="left"/>
      </w:pPr>
      <w:rPr>
        <w:rFonts w:ascii="黑体" w:eastAsia="黑体" w:hAnsi="黑体" w:cs="黑体" w:hint="default"/>
        <w:spacing w:val="-180"/>
        <w:w w:val="100"/>
        <w:sz w:val="34"/>
        <w:szCs w:val="34"/>
      </w:rPr>
    </w:lvl>
    <w:lvl w:ilvl="1">
      <w:start w:val="0"/>
      <w:numFmt w:val="bullet"/>
      <w:lvlText w:val="•"/>
      <w:lvlJc w:val="left"/>
      <w:pPr>
        <w:ind w:left="3849" w:hanging="901"/>
      </w:pPr>
      <w:rPr>
        <w:rFonts w:hint="default"/>
      </w:rPr>
    </w:lvl>
    <w:lvl w:ilvl="2">
      <w:start w:val="0"/>
      <w:numFmt w:val="bullet"/>
      <w:lvlText w:val="•"/>
      <w:lvlJc w:val="left"/>
      <w:pPr>
        <w:ind w:left="5239" w:hanging="901"/>
      </w:pPr>
      <w:rPr>
        <w:rFonts w:hint="default"/>
      </w:rPr>
    </w:lvl>
    <w:lvl w:ilvl="3">
      <w:start w:val="0"/>
      <w:numFmt w:val="bullet"/>
      <w:lvlText w:val="•"/>
      <w:lvlJc w:val="left"/>
      <w:pPr>
        <w:ind w:left="6629" w:hanging="901"/>
      </w:pPr>
      <w:rPr>
        <w:rFonts w:hint="default"/>
      </w:rPr>
    </w:lvl>
    <w:lvl w:ilvl="4">
      <w:start w:val="0"/>
      <w:numFmt w:val="bullet"/>
      <w:lvlText w:val="•"/>
      <w:lvlJc w:val="left"/>
      <w:pPr>
        <w:ind w:left="8019" w:hanging="901"/>
      </w:pPr>
      <w:rPr>
        <w:rFonts w:hint="default"/>
      </w:rPr>
    </w:lvl>
    <w:lvl w:ilvl="5">
      <w:start w:val="0"/>
      <w:numFmt w:val="bullet"/>
      <w:lvlText w:val="•"/>
      <w:lvlJc w:val="left"/>
      <w:pPr>
        <w:ind w:left="9409" w:hanging="901"/>
      </w:pPr>
      <w:rPr>
        <w:rFonts w:hint="default"/>
      </w:rPr>
    </w:lvl>
    <w:lvl w:ilvl="6">
      <w:start w:val="0"/>
      <w:numFmt w:val="bullet"/>
      <w:lvlText w:val="•"/>
      <w:lvlJc w:val="left"/>
      <w:pPr>
        <w:ind w:left="10799" w:hanging="901"/>
      </w:pPr>
      <w:rPr>
        <w:rFonts w:hint="default"/>
      </w:rPr>
    </w:lvl>
    <w:lvl w:ilvl="7">
      <w:start w:val="0"/>
      <w:numFmt w:val="bullet"/>
      <w:lvlText w:val="•"/>
      <w:lvlJc w:val="left"/>
      <w:pPr>
        <w:ind w:left="12189" w:hanging="901"/>
      </w:pPr>
      <w:rPr>
        <w:rFonts w:hint="default"/>
      </w:rPr>
    </w:lvl>
    <w:lvl w:ilvl="8">
      <w:start w:val="0"/>
      <w:numFmt w:val="bullet"/>
      <w:lvlText w:val="•"/>
      <w:lvlJc w:val="left"/>
      <w:pPr>
        <w:ind w:left="13579" w:hanging="901"/>
      </w:pPr>
      <w:rPr>
        <w:rFonts w:hint="default"/>
      </w:rPr>
    </w:lvl>
  </w:abstractNum>
  <w:abstractNum w:abstractNumId="5">
    <w:nsid w:val="205FD043"/>
    <w:multiLevelType w:val="hybridMultilevel"/>
    <w:tmpl w:val="00000000"/>
    <w:lvl w:ilvl="0">
      <w:start w:val="1"/>
      <w:numFmt w:val="decimal"/>
      <w:lvlText w:val="（%1）"/>
      <w:lvlJc w:val="left"/>
      <w:pPr>
        <w:ind w:left="2641" w:hanging="901"/>
        <w:jc w:val="left"/>
      </w:pPr>
      <w:rPr>
        <w:rFonts w:ascii="黑体" w:eastAsia="黑体" w:hAnsi="黑体" w:cs="黑体" w:hint="default"/>
        <w:spacing w:val="-180"/>
        <w:w w:val="100"/>
        <w:sz w:val="34"/>
        <w:szCs w:val="34"/>
      </w:rPr>
    </w:lvl>
    <w:lvl w:ilvl="1">
      <w:start w:val="1"/>
      <w:numFmt w:val="decimal"/>
      <w:lvlText w:val="（%2）"/>
      <w:lvlJc w:val="left"/>
      <w:pPr>
        <w:ind w:left="1200" w:hanging="901"/>
        <w:jc w:val="left"/>
      </w:pPr>
      <w:rPr>
        <w:rFonts w:ascii="黑体" w:eastAsia="黑体" w:hAnsi="黑体" w:cs="黑体" w:hint="default"/>
        <w:spacing w:val="-180"/>
        <w:w w:val="100"/>
        <w:sz w:val="34"/>
        <w:szCs w:val="34"/>
      </w:rPr>
    </w:lvl>
    <w:lvl w:ilvl="2">
      <w:start w:val="0"/>
      <w:numFmt w:val="bullet"/>
      <w:lvlText w:val="•"/>
      <w:lvlJc w:val="left"/>
      <w:pPr>
        <w:ind w:left="4164" w:hanging="901"/>
      </w:pPr>
      <w:rPr>
        <w:rFonts w:hint="default"/>
      </w:rPr>
    </w:lvl>
    <w:lvl w:ilvl="3">
      <w:start w:val="0"/>
      <w:numFmt w:val="bullet"/>
      <w:lvlText w:val="•"/>
      <w:lvlJc w:val="left"/>
      <w:pPr>
        <w:ind w:left="5688" w:hanging="901"/>
      </w:pPr>
      <w:rPr>
        <w:rFonts w:hint="default"/>
      </w:rPr>
    </w:lvl>
    <w:lvl w:ilvl="4">
      <w:start w:val="0"/>
      <w:numFmt w:val="bullet"/>
      <w:lvlText w:val="•"/>
      <w:lvlJc w:val="left"/>
      <w:pPr>
        <w:ind w:left="7213" w:hanging="901"/>
      </w:pPr>
      <w:rPr>
        <w:rFonts w:hint="default"/>
      </w:rPr>
    </w:lvl>
    <w:lvl w:ilvl="5">
      <w:start w:val="0"/>
      <w:numFmt w:val="bullet"/>
      <w:lvlText w:val="•"/>
      <w:lvlJc w:val="left"/>
      <w:pPr>
        <w:ind w:left="8737" w:hanging="901"/>
      </w:pPr>
      <w:rPr>
        <w:rFonts w:hint="default"/>
      </w:rPr>
    </w:lvl>
    <w:lvl w:ilvl="6">
      <w:start w:val="0"/>
      <w:numFmt w:val="bullet"/>
      <w:lvlText w:val="•"/>
      <w:lvlJc w:val="left"/>
      <w:pPr>
        <w:ind w:left="10262" w:hanging="901"/>
      </w:pPr>
      <w:rPr>
        <w:rFonts w:hint="default"/>
      </w:rPr>
    </w:lvl>
    <w:lvl w:ilvl="7">
      <w:start w:val="0"/>
      <w:numFmt w:val="bullet"/>
      <w:lvlText w:val="•"/>
      <w:lvlJc w:val="left"/>
      <w:pPr>
        <w:ind w:left="11786" w:hanging="901"/>
      </w:pPr>
      <w:rPr>
        <w:rFonts w:hint="default"/>
      </w:rPr>
    </w:lvl>
    <w:lvl w:ilvl="8">
      <w:start w:val="0"/>
      <w:numFmt w:val="bullet"/>
      <w:lvlText w:val="•"/>
      <w:lvlJc w:val="left"/>
      <w:pPr>
        <w:ind w:left="13310" w:hanging="901"/>
      </w:pPr>
      <w:rPr>
        <w:rFonts w:hint="default"/>
      </w:rPr>
    </w:lvl>
  </w:abstractNum>
  <w:abstractNum w:abstractNumId="6">
    <w:nsid w:val="2825E479"/>
    <w:multiLevelType w:val="hybridMultilevel"/>
    <w:tmpl w:val="00000000"/>
    <w:lvl w:ilvl="0">
      <w:start w:val="5"/>
      <w:numFmt w:val="decimal"/>
      <w:lvlText w:val="%1"/>
      <w:lvlJc w:val="left"/>
      <w:pPr>
        <w:ind w:left="1200" w:hanging="2430"/>
        <w:jc w:val="left"/>
      </w:pPr>
      <w:rPr>
        <w:rFonts w:hint="default"/>
      </w:rPr>
    </w:lvl>
    <w:lvl w:ilvl="1">
      <w:start w:val="8"/>
      <w:numFmt w:val="decimal"/>
      <w:lvlText w:val="%1-%2"/>
      <w:lvlJc w:val="left"/>
      <w:pPr>
        <w:ind w:left="1200" w:hanging="2430"/>
        <w:jc w:val="left"/>
      </w:pPr>
      <w:rPr>
        <w:rFonts w:hint="default"/>
      </w:rPr>
    </w:lvl>
    <w:lvl w:ilvl="2">
      <w:start w:val="1"/>
      <w:numFmt w:val="decimal"/>
      <w:lvlText w:val="%1-%2-%3"/>
      <w:lvlJc w:val="left"/>
      <w:pPr>
        <w:ind w:left="1200" w:hanging="2430"/>
        <w:jc w:val="left"/>
      </w:pPr>
      <w:rPr>
        <w:rFonts w:hint="default"/>
      </w:rPr>
    </w:lvl>
    <w:lvl w:ilvl="3">
      <w:start w:val="8"/>
      <w:numFmt w:val="decimal"/>
      <w:lvlText w:val="%1-%2-%3-%4"/>
      <w:lvlJc w:val="left"/>
      <w:pPr>
        <w:ind w:left="1200" w:hanging="2430"/>
        <w:jc w:val="left"/>
      </w:pPr>
      <w:rPr>
        <w:rFonts w:hint="default"/>
      </w:rPr>
    </w:lvl>
    <w:lvl w:ilvl="4">
      <w:start w:val="2"/>
      <w:numFmt w:val="decimal"/>
      <w:lvlText w:val="%1-%2-%3-%4-%5"/>
      <w:lvlJc w:val="left"/>
      <w:pPr>
        <w:ind w:left="1200" w:hanging="2430"/>
        <w:jc w:val="left"/>
      </w:pPr>
      <w:rPr>
        <w:rFonts w:hint="default"/>
      </w:rPr>
    </w:lvl>
    <w:lvl w:ilvl="5">
      <w:start w:val="8"/>
      <w:numFmt w:val="decimal"/>
      <w:lvlText w:val="%1-%2-%3-%4-%5-%6"/>
      <w:lvlJc w:val="left"/>
      <w:pPr>
        <w:ind w:left="1200" w:hanging="2430"/>
        <w:jc w:val="left"/>
      </w:pPr>
      <w:rPr>
        <w:rFonts w:hint="default"/>
      </w:rPr>
    </w:lvl>
    <w:lvl w:ilvl="6">
      <w:start w:val="3"/>
      <w:numFmt w:val="decimal"/>
      <w:lvlText w:val="%1-%2-%3-%4-%5-%6-%7"/>
      <w:lvlJc w:val="left"/>
      <w:pPr>
        <w:ind w:left="1200" w:hanging="2430"/>
        <w:jc w:val="left"/>
      </w:pPr>
      <w:rPr>
        <w:rFonts w:ascii="黑体" w:eastAsia="黑体" w:hAnsi="黑体" w:cs="黑体" w:hint="default"/>
        <w:w w:val="100"/>
        <w:sz w:val="36"/>
        <w:szCs w:val="36"/>
      </w:rPr>
    </w:lvl>
    <w:lvl w:ilvl="7">
      <w:start w:val="3"/>
      <w:numFmt w:val="decimal"/>
      <w:lvlText w:val="%8）"/>
      <w:lvlJc w:val="left"/>
      <w:pPr>
        <w:ind w:left="2281" w:hanging="541"/>
        <w:jc w:val="left"/>
      </w:pPr>
      <w:rPr>
        <w:rFonts w:ascii="黑体" w:eastAsia="黑体" w:hAnsi="黑体" w:cs="黑体" w:hint="default"/>
        <w:spacing w:val="-180"/>
        <w:w w:val="100"/>
        <w:sz w:val="34"/>
        <w:szCs w:val="34"/>
      </w:rPr>
    </w:lvl>
    <w:lvl w:ilvl="8">
      <w:start w:val="1"/>
      <w:numFmt w:val="decimal"/>
      <w:lvlText w:val="（%9）"/>
      <w:lvlJc w:val="left"/>
      <w:pPr>
        <w:ind w:left="2821" w:hanging="901"/>
        <w:jc w:val="left"/>
      </w:pPr>
      <w:rPr>
        <w:rFonts w:ascii="黑体" w:eastAsia="黑体" w:hAnsi="黑体" w:cs="黑体" w:hint="default"/>
        <w:w w:val="100"/>
        <w:sz w:val="34"/>
        <w:szCs w:val="34"/>
      </w:rPr>
    </w:lvl>
  </w:abstractNum>
  <w:abstractNum w:abstractNumId="7">
    <w:nsid w:val="2998F494"/>
    <w:multiLevelType w:val="hybridMultilevel"/>
    <w:tmpl w:val="00000000"/>
    <w:lvl w:ilvl="0">
      <w:start w:val="1"/>
      <w:numFmt w:val="decimal"/>
      <w:lvlText w:val="（%1）"/>
      <w:lvlJc w:val="left"/>
      <w:pPr>
        <w:ind w:left="1200" w:hanging="901"/>
        <w:jc w:val="left"/>
      </w:pPr>
      <w:rPr>
        <w:rFonts w:ascii="黑体" w:eastAsia="黑体" w:hAnsi="黑体" w:cs="黑体" w:hint="default"/>
        <w:spacing w:val="-180"/>
        <w:w w:val="100"/>
        <w:sz w:val="34"/>
        <w:szCs w:val="34"/>
      </w:rPr>
    </w:lvl>
    <w:lvl w:ilvl="1">
      <w:start w:val="0"/>
      <w:numFmt w:val="bullet"/>
      <w:lvlText w:val="•"/>
      <w:lvlJc w:val="left"/>
      <w:pPr>
        <w:ind w:left="2715" w:hanging="901"/>
      </w:pPr>
      <w:rPr>
        <w:rFonts w:hint="default"/>
      </w:rPr>
    </w:lvl>
    <w:lvl w:ilvl="2">
      <w:start w:val="0"/>
      <w:numFmt w:val="bullet"/>
      <w:lvlText w:val="•"/>
      <w:lvlJc w:val="left"/>
      <w:pPr>
        <w:ind w:left="4231" w:hanging="901"/>
      </w:pPr>
      <w:rPr>
        <w:rFonts w:hint="default"/>
      </w:rPr>
    </w:lvl>
    <w:lvl w:ilvl="3">
      <w:start w:val="0"/>
      <w:numFmt w:val="bullet"/>
      <w:lvlText w:val="•"/>
      <w:lvlJc w:val="left"/>
      <w:pPr>
        <w:ind w:left="5747" w:hanging="901"/>
      </w:pPr>
      <w:rPr>
        <w:rFonts w:hint="default"/>
      </w:rPr>
    </w:lvl>
    <w:lvl w:ilvl="4">
      <w:start w:val="0"/>
      <w:numFmt w:val="bullet"/>
      <w:lvlText w:val="•"/>
      <w:lvlJc w:val="left"/>
      <w:pPr>
        <w:ind w:left="7263" w:hanging="901"/>
      </w:pPr>
      <w:rPr>
        <w:rFonts w:hint="default"/>
      </w:rPr>
    </w:lvl>
    <w:lvl w:ilvl="5">
      <w:start w:val="0"/>
      <w:numFmt w:val="bullet"/>
      <w:lvlText w:val="•"/>
      <w:lvlJc w:val="left"/>
      <w:pPr>
        <w:ind w:left="8779" w:hanging="901"/>
      </w:pPr>
      <w:rPr>
        <w:rFonts w:hint="default"/>
      </w:rPr>
    </w:lvl>
    <w:lvl w:ilvl="6">
      <w:start w:val="0"/>
      <w:numFmt w:val="bullet"/>
      <w:lvlText w:val="•"/>
      <w:lvlJc w:val="left"/>
      <w:pPr>
        <w:ind w:left="10295" w:hanging="901"/>
      </w:pPr>
      <w:rPr>
        <w:rFonts w:hint="default"/>
      </w:rPr>
    </w:lvl>
    <w:lvl w:ilvl="7">
      <w:start w:val="0"/>
      <w:numFmt w:val="bullet"/>
      <w:lvlText w:val="•"/>
      <w:lvlJc w:val="left"/>
      <w:pPr>
        <w:ind w:left="11811" w:hanging="901"/>
      </w:pPr>
      <w:rPr>
        <w:rFonts w:hint="default"/>
      </w:rPr>
    </w:lvl>
    <w:lvl w:ilvl="8">
      <w:start w:val="0"/>
      <w:numFmt w:val="bullet"/>
      <w:lvlText w:val="•"/>
      <w:lvlJc w:val="left"/>
      <w:pPr>
        <w:ind w:left="13327" w:hanging="901"/>
      </w:pPr>
      <w:rPr>
        <w:rFonts w:hint="default"/>
      </w:rPr>
    </w:lvl>
  </w:abstractNum>
  <w:abstractNum w:abstractNumId="8">
    <w:nsid w:val="2FF83537"/>
    <w:multiLevelType w:val="hybridMultilevel"/>
    <w:tmpl w:val="00000000"/>
    <w:lvl w:ilvl="0">
      <w:start w:val="1"/>
      <w:numFmt w:val="decimal"/>
      <w:lvlText w:val="（%1）"/>
      <w:lvlJc w:val="left"/>
      <w:pPr>
        <w:ind w:left="1200" w:hanging="901"/>
        <w:jc w:val="left"/>
      </w:pPr>
      <w:rPr>
        <w:rFonts w:ascii="黑体" w:eastAsia="黑体" w:hAnsi="黑体" w:cs="黑体" w:hint="default"/>
        <w:spacing w:val="-180"/>
        <w:w w:val="100"/>
        <w:sz w:val="34"/>
        <w:szCs w:val="34"/>
      </w:rPr>
    </w:lvl>
    <w:lvl w:ilvl="1">
      <w:start w:val="1"/>
      <w:numFmt w:val="decimal"/>
      <w:lvlText w:val="（%2）"/>
      <w:lvlJc w:val="left"/>
      <w:pPr>
        <w:ind w:left="3001" w:hanging="901"/>
        <w:jc w:val="left"/>
      </w:pPr>
      <w:rPr>
        <w:rFonts w:ascii="黑体" w:eastAsia="黑体" w:hAnsi="黑体" w:cs="黑体" w:hint="default"/>
        <w:spacing w:val="-180"/>
        <w:w w:val="100"/>
        <w:sz w:val="34"/>
        <w:szCs w:val="34"/>
      </w:rPr>
    </w:lvl>
    <w:lvl w:ilvl="2">
      <w:start w:val="0"/>
      <w:numFmt w:val="bullet"/>
      <w:lvlText w:val="•"/>
      <w:lvlJc w:val="left"/>
      <w:pPr>
        <w:ind w:left="4484" w:hanging="901"/>
      </w:pPr>
      <w:rPr>
        <w:rFonts w:hint="default"/>
      </w:rPr>
    </w:lvl>
    <w:lvl w:ilvl="3">
      <w:start w:val="0"/>
      <w:numFmt w:val="bullet"/>
      <w:lvlText w:val="•"/>
      <w:lvlJc w:val="left"/>
      <w:pPr>
        <w:ind w:left="5968" w:hanging="901"/>
      </w:pPr>
      <w:rPr>
        <w:rFonts w:hint="default"/>
      </w:rPr>
    </w:lvl>
    <w:lvl w:ilvl="4">
      <w:start w:val="0"/>
      <w:numFmt w:val="bullet"/>
      <w:lvlText w:val="•"/>
      <w:lvlJc w:val="left"/>
      <w:pPr>
        <w:ind w:left="7453" w:hanging="901"/>
      </w:pPr>
      <w:rPr>
        <w:rFonts w:hint="default"/>
      </w:rPr>
    </w:lvl>
    <w:lvl w:ilvl="5">
      <w:start w:val="0"/>
      <w:numFmt w:val="bullet"/>
      <w:lvlText w:val="•"/>
      <w:lvlJc w:val="left"/>
      <w:pPr>
        <w:ind w:left="8937" w:hanging="901"/>
      </w:pPr>
      <w:rPr>
        <w:rFonts w:hint="default"/>
      </w:rPr>
    </w:lvl>
    <w:lvl w:ilvl="6">
      <w:start w:val="0"/>
      <w:numFmt w:val="bullet"/>
      <w:lvlText w:val="•"/>
      <w:lvlJc w:val="left"/>
      <w:pPr>
        <w:ind w:left="10422" w:hanging="901"/>
      </w:pPr>
      <w:rPr>
        <w:rFonts w:hint="default"/>
      </w:rPr>
    </w:lvl>
    <w:lvl w:ilvl="7">
      <w:start w:val="0"/>
      <w:numFmt w:val="bullet"/>
      <w:lvlText w:val="•"/>
      <w:lvlJc w:val="left"/>
      <w:pPr>
        <w:ind w:left="11906" w:hanging="901"/>
      </w:pPr>
      <w:rPr>
        <w:rFonts w:hint="default"/>
      </w:rPr>
    </w:lvl>
    <w:lvl w:ilvl="8">
      <w:start w:val="0"/>
      <w:numFmt w:val="bullet"/>
      <w:lvlText w:val="•"/>
      <w:lvlJc w:val="left"/>
      <w:pPr>
        <w:ind w:left="13390" w:hanging="901"/>
      </w:pPr>
      <w:rPr>
        <w:rFonts w:hint="default"/>
      </w:rPr>
    </w:lvl>
  </w:abstractNum>
  <w:abstractNum w:abstractNumId="9">
    <w:nsid w:val="356AB99E"/>
    <w:multiLevelType w:val="hybridMultilevel"/>
    <w:tmpl w:val="00000000"/>
    <w:lvl w:ilvl="0">
      <w:start w:val="1"/>
      <w:numFmt w:val="decimal"/>
      <w:lvlText w:val="（%1）"/>
      <w:lvlJc w:val="left"/>
      <w:pPr>
        <w:ind w:left="1200" w:hanging="901"/>
        <w:jc w:val="left"/>
      </w:pPr>
      <w:rPr>
        <w:rFonts w:ascii="黑体" w:eastAsia="黑体" w:hAnsi="黑体" w:cs="黑体" w:hint="default"/>
        <w:spacing w:val="-180"/>
        <w:w w:val="100"/>
        <w:sz w:val="34"/>
        <w:szCs w:val="34"/>
      </w:rPr>
    </w:lvl>
    <w:lvl w:ilvl="1">
      <w:start w:val="1"/>
      <w:numFmt w:val="decimal"/>
      <w:lvlText w:val="（%2）"/>
      <w:lvlJc w:val="left"/>
      <w:pPr>
        <w:ind w:left="3001" w:hanging="901"/>
        <w:jc w:val="left"/>
      </w:pPr>
      <w:rPr>
        <w:rFonts w:ascii="黑体" w:eastAsia="黑体" w:hAnsi="黑体" w:cs="黑体" w:hint="default"/>
        <w:spacing w:val="-180"/>
        <w:w w:val="100"/>
        <w:sz w:val="34"/>
        <w:szCs w:val="34"/>
      </w:rPr>
    </w:lvl>
    <w:lvl w:ilvl="2">
      <w:start w:val="0"/>
      <w:numFmt w:val="bullet"/>
      <w:lvlText w:val="•"/>
      <w:lvlJc w:val="left"/>
      <w:pPr>
        <w:ind w:left="4484" w:hanging="901"/>
      </w:pPr>
      <w:rPr>
        <w:rFonts w:hint="default"/>
      </w:rPr>
    </w:lvl>
    <w:lvl w:ilvl="3">
      <w:start w:val="0"/>
      <w:numFmt w:val="bullet"/>
      <w:lvlText w:val="•"/>
      <w:lvlJc w:val="left"/>
      <w:pPr>
        <w:ind w:left="5968" w:hanging="901"/>
      </w:pPr>
      <w:rPr>
        <w:rFonts w:hint="default"/>
      </w:rPr>
    </w:lvl>
    <w:lvl w:ilvl="4">
      <w:start w:val="0"/>
      <w:numFmt w:val="bullet"/>
      <w:lvlText w:val="•"/>
      <w:lvlJc w:val="left"/>
      <w:pPr>
        <w:ind w:left="7453" w:hanging="901"/>
      </w:pPr>
      <w:rPr>
        <w:rFonts w:hint="default"/>
      </w:rPr>
    </w:lvl>
    <w:lvl w:ilvl="5">
      <w:start w:val="0"/>
      <w:numFmt w:val="bullet"/>
      <w:lvlText w:val="•"/>
      <w:lvlJc w:val="left"/>
      <w:pPr>
        <w:ind w:left="8937" w:hanging="901"/>
      </w:pPr>
      <w:rPr>
        <w:rFonts w:hint="default"/>
      </w:rPr>
    </w:lvl>
    <w:lvl w:ilvl="6">
      <w:start w:val="0"/>
      <w:numFmt w:val="bullet"/>
      <w:lvlText w:val="•"/>
      <w:lvlJc w:val="left"/>
      <w:pPr>
        <w:ind w:left="10422" w:hanging="901"/>
      </w:pPr>
      <w:rPr>
        <w:rFonts w:hint="default"/>
      </w:rPr>
    </w:lvl>
    <w:lvl w:ilvl="7">
      <w:start w:val="0"/>
      <w:numFmt w:val="bullet"/>
      <w:lvlText w:val="•"/>
      <w:lvlJc w:val="left"/>
      <w:pPr>
        <w:ind w:left="11906" w:hanging="901"/>
      </w:pPr>
      <w:rPr>
        <w:rFonts w:hint="default"/>
      </w:rPr>
    </w:lvl>
    <w:lvl w:ilvl="8">
      <w:start w:val="0"/>
      <w:numFmt w:val="bullet"/>
      <w:lvlText w:val="•"/>
      <w:lvlJc w:val="left"/>
      <w:pPr>
        <w:ind w:left="13390" w:hanging="901"/>
      </w:pPr>
      <w:rPr>
        <w:rFonts w:hint="default"/>
      </w:rPr>
    </w:lvl>
  </w:abstractNum>
  <w:abstractNum w:abstractNumId="10">
    <w:nsid w:val="37B0A1D4"/>
    <w:multiLevelType w:val="hybridMultilevel"/>
    <w:tmpl w:val="00000000"/>
    <w:lvl w:ilvl="0">
      <w:start w:val="1"/>
      <w:numFmt w:val="decimal"/>
      <w:lvlText w:val="（%1）"/>
      <w:lvlJc w:val="left"/>
      <w:pPr>
        <w:ind w:left="2461" w:hanging="901"/>
        <w:jc w:val="left"/>
      </w:pPr>
      <w:rPr>
        <w:rFonts w:ascii="黑体" w:eastAsia="黑体" w:hAnsi="黑体" w:cs="黑体" w:hint="default"/>
        <w:spacing w:val="-180"/>
        <w:w w:val="100"/>
        <w:sz w:val="34"/>
        <w:szCs w:val="34"/>
      </w:rPr>
    </w:lvl>
    <w:lvl w:ilvl="1">
      <w:start w:val="0"/>
      <w:numFmt w:val="bullet"/>
      <w:lvlText w:val="•"/>
      <w:lvlJc w:val="left"/>
      <w:pPr>
        <w:ind w:left="3849" w:hanging="901"/>
      </w:pPr>
      <w:rPr>
        <w:rFonts w:hint="default"/>
      </w:rPr>
    </w:lvl>
    <w:lvl w:ilvl="2">
      <w:start w:val="0"/>
      <w:numFmt w:val="bullet"/>
      <w:lvlText w:val="•"/>
      <w:lvlJc w:val="left"/>
      <w:pPr>
        <w:ind w:left="5239" w:hanging="901"/>
      </w:pPr>
      <w:rPr>
        <w:rFonts w:hint="default"/>
      </w:rPr>
    </w:lvl>
    <w:lvl w:ilvl="3">
      <w:start w:val="0"/>
      <w:numFmt w:val="bullet"/>
      <w:lvlText w:val="•"/>
      <w:lvlJc w:val="left"/>
      <w:pPr>
        <w:ind w:left="6629" w:hanging="901"/>
      </w:pPr>
      <w:rPr>
        <w:rFonts w:hint="default"/>
      </w:rPr>
    </w:lvl>
    <w:lvl w:ilvl="4">
      <w:start w:val="0"/>
      <w:numFmt w:val="bullet"/>
      <w:lvlText w:val="•"/>
      <w:lvlJc w:val="left"/>
      <w:pPr>
        <w:ind w:left="8019" w:hanging="901"/>
      </w:pPr>
      <w:rPr>
        <w:rFonts w:hint="default"/>
      </w:rPr>
    </w:lvl>
    <w:lvl w:ilvl="5">
      <w:start w:val="0"/>
      <w:numFmt w:val="bullet"/>
      <w:lvlText w:val="•"/>
      <w:lvlJc w:val="left"/>
      <w:pPr>
        <w:ind w:left="9409" w:hanging="901"/>
      </w:pPr>
      <w:rPr>
        <w:rFonts w:hint="default"/>
      </w:rPr>
    </w:lvl>
    <w:lvl w:ilvl="6">
      <w:start w:val="0"/>
      <w:numFmt w:val="bullet"/>
      <w:lvlText w:val="•"/>
      <w:lvlJc w:val="left"/>
      <w:pPr>
        <w:ind w:left="10799" w:hanging="901"/>
      </w:pPr>
      <w:rPr>
        <w:rFonts w:hint="default"/>
      </w:rPr>
    </w:lvl>
    <w:lvl w:ilvl="7">
      <w:start w:val="0"/>
      <w:numFmt w:val="bullet"/>
      <w:lvlText w:val="•"/>
      <w:lvlJc w:val="left"/>
      <w:pPr>
        <w:ind w:left="12189" w:hanging="901"/>
      </w:pPr>
      <w:rPr>
        <w:rFonts w:hint="default"/>
      </w:rPr>
    </w:lvl>
    <w:lvl w:ilvl="8">
      <w:start w:val="0"/>
      <w:numFmt w:val="bullet"/>
      <w:lvlText w:val="•"/>
      <w:lvlJc w:val="left"/>
      <w:pPr>
        <w:ind w:left="13579" w:hanging="901"/>
      </w:pPr>
      <w:rPr>
        <w:rFonts w:hint="default"/>
      </w:rPr>
    </w:lvl>
  </w:abstractNum>
  <w:abstractNum w:abstractNumId="11">
    <w:nsid w:val="3C475CC2"/>
    <w:multiLevelType w:val="hybridMultilevel"/>
    <w:tmpl w:val="00000000"/>
    <w:lvl w:ilvl="0">
      <w:start w:val="2"/>
      <w:numFmt w:val="decimal"/>
      <w:lvlText w:val="（%1）"/>
      <w:lvlJc w:val="left"/>
      <w:pPr>
        <w:ind w:left="2641" w:hanging="901"/>
        <w:jc w:val="right"/>
      </w:pPr>
      <w:rPr>
        <w:rFonts w:ascii="黑体" w:eastAsia="黑体" w:hAnsi="黑体" w:cs="黑体" w:hint="default"/>
        <w:spacing w:val="-180"/>
        <w:w w:val="100"/>
        <w:sz w:val="34"/>
        <w:szCs w:val="34"/>
      </w:rPr>
    </w:lvl>
    <w:lvl w:ilvl="1">
      <w:start w:val="1"/>
      <w:numFmt w:val="decimal"/>
      <w:lvlText w:val="（%2）"/>
      <w:lvlJc w:val="left"/>
      <w:pPr>
        <w:ind w:left="2641" w:hanging="901"/>
        <w:jc w:val="left"/>
      </w:pPr>
      <w:rPr>
        <w:rFonts w:ascii="黑体" w:eastAsia="黑体" w:hAnsi="黑体" w:cs="黑体" w:hint="default"/>
        <w:spacing w:val="-180"/>
        <w:w w:val="100"/>
        <w:sz w:val="34"/>
        <w:szCs w:val="34"/>
      </w:rPr>
    </w:lvl>
    <w:lvl w:ilvl="2">
      <w:start w:val="0"/>
      <w:numFmt w:val="bullet"/>
      <w:lvlText w:val="•"/>
      <w:lvlJc w:val="left"/>
      <w:pPr>
        <w:ind w:left="5383" w:hanging="901"/>
      </w:pPr>
      <w:rPr>
        <w:rFonts w:hint="default"/>
      </w:rPr>
    </w:lvl>
    <w:lvl w:ilvl="3">
      <w:start w:val="0"/>
      <w:numFmt w:val="bullet"/>
      <w:lvlText w:val="•"/>
      <w:lvlJc w:val="left"/>
      <w:pPr>
        <w:ind w:left="6755" w:hanging="901"/>
      </w:pPr>
      <w:rPr>
        <w:rFonts w:hint="default"/>
      </w:rPr>
    </w:lvl>
    <w:lvl w:ilvl="4">
      <w:start w:val="0"/>
      <w:numFmt w:val="bullet"/>
      <w:lvlText w:val="•"/>
      <w:lvlJc w:val="left"/>
      <w:pPr>
        <w:ind w:left="8127" w:hanging="901"/>
      </w:pPr>
      <w:rPr>
        <w:rFonts w:hint="default"/>
      </w:rPr>
    </w:lvl>
    <w:lvl w:ilvl="5">
      <w:start w:val="0"/>
      <w:numFmt w:val="bullet"/>
      <w:lvlText w:val="•"/>
      <w:lvlJc w:val="left"/>
      <w:pPr>
        <w:ind w:left="9499" w:hanging="901"/>
      </w:pPr>
      <w:rPr>
        <w:rFonts w:hint="default"/>
      </w:rPr>
    </w:lvl>
    <w:lvl w:ilvl="6">
      <w:start w:val="0"/>
      <w:numFmt w:val="bullet"/>
      <w:lvlText w:val="•"/>
      <w:lvlJc w:val="left"/>
      <w:pPr>
        <w:ind w:left="10871" w:hanging="901"/>
      </w:pPr>
      <w:rPr>
        <w:rFonts w:hint="default"/>
      </w:rPr>
    </w:lvl>
    <w:lvl w:ilvl="7">
      <w:start w:val="0"/>
      <w:numFmt w:val="bullet"/>
      <w:lvlText w:val="•"/>
      <w:lvlJc w:val="left"/>
      <w:pPr>
        <w:ind w:left="12243" w:hanging="901"/>
      </w:pPr>
      <w:rPr>
        <w:rFonts w:hint="default"/>
      </w:rPr>
    </w:lvl>
    <w:lvl w:ilvl="8">
      <w:start w:val="0"/>
      <w:numFmt w:val="bullet"/>
      <w:lvlText w:val="•"/>
      <w:lvlJc w:val="left"/>
      <w:pPr>
        <w:ind w:left="13615" w:hanging="901"/>
      </w:pPr>
      <w:rPr>
        <w:rFonts w:hint="default"/>
      </w:rPr>
    </w:lvl>
  </w:abstractNum>
  <w:abstractNum w:abstractNumId="12">
    <w:nsid w:val="3D058BFA"/>
    <w:multiLevelType w:val="hybridMultilevel"/>
    <w:tmpl w:val="00000000"/>
    <w:lvl w:ilvl="0">
      <w:start w:val="1"/>
      <w:numFmt w:val="decimal"/>
      <w:lvlText w:val="（%1）"/>
      <w:lvlJc w:val="left"/>
      <w:pPr>
        <w:ind w:left="2461" w:hanging="901"/>
        <w:jc w:val="left"/>
      </w:pPr>
      <w:rPr>
        <w:rFonts w:ascii="黑体" w:eastAsia="黑体" w:hAnsi="黑体" w:cs="黑体" w:hint="default"/>
        <w:spacing w:val="-180"/>
        <w:w w:val="100"/>
        <w:sz w:val="34"/>
        <w:szCs w:val="34"/>
      </w:rPr>
    </w:lvl>
    <w:lvl w:ilvl="1">
      <w:start w:val="0"/>
      <w:numFmt w:val="bullet"/>
      <w:lvlText w:val="•"/>
      <w:lvlJc w:val="left"/>
      <w:pPr>
        <w:ind w:left="3849" w:hanging="901"/>
      </w:pPr>
      <w:rPr>
        <w:rFonts w:hint="default"/>
      </w:rPr>
    </w:lvl>
    <w:lvl w:ilvl="2">
      <w:start w:val="0"/>
      <w:numFmt w:val="bullet"/>
      <w:lvlText w:val="•"/>
      <w:lvlJc w:val="left"/>
      <w:pPr>
        <w:ind w:left="5239" w:hanging="901"/>
      </w:pPr>
      <w:rPr>
        <w:rFonts w:hint="default"/>
      </w:rPr>
    </w:lvl>
    <w:lvl w:ilvl="3">
      <w:start w:val="0"/>
      <w:numFmt w:val="bullet"/>
      <w:lvlText w:val="•"/>
      <w:lvlJc w:val="left"/>
      <w:pPr>
        <w:ind w:left="6629" w:hanging="901"/>
      </w:pPr>
      <w:rPr>
        <w:rFonts w:hint="default"/>
      </w:rPr>
    </w:lvl>
    <w:lvl w:ilvl="4">
      <w:start w:val="0"/>
      <w:numFmt w:val="bullet"/>
      <w:lvlText w:val="•"/>
      <w:lvlJc w:val="left"/>
      <w:pPr>
        <w:ind w:left="8019" w:hanging="901"/>
      </w:pPr>
      <w:rPr>
        <w:rFonts w:hint="default"/>
      </w:rPr>
    </w:lvl>
    <w:lvl w:ilvl="5">
      <w:start w:val="0"/>
      <w:numFmt w:val="bullet"/>
      <w:lvlText w:val="•"/>
      <w:lvlJc w:val="left"/>
      <w:pPr>
        <w:ind w:left="9409" w:hanging="901"/>
      </w:pPr>
      <w:rPr>
        <w:rFonts w:hint="default"/>
      </w:rPr>
    </w:lvl>
    <w:lvl w:ilvl="6">
      <w:start w:val="0"/>
      <w:numFmt w:val="bullet"/>
      <w:lvlText w:val="•"/>
      <w:lvlJc w:val="left"/>
      <w:pPr>
        <w:ind w:left="10799" w:hanging="901"/>
      </w:pPr>
      <w:rPr>
        <w:rFonts w:hint="default"/>
      </w:rPr>
    </w:lvl>
    <w:lvl w:ilvl="7">
      <w:start w:val="0"/>
      <w:numFmt w:val="bullet"/>
      <w:lvlText w:val="•"/>
      <w:lvlJc w:val="left"/>
      <w:pPr>
        <w:ind w:left="12189" w:hanging="901"/>
      </w:pPr>
      <w:rPr>
        <w:rFonts w:hint="default"/>
      </w:rPr>
    </w:lvl>
    <w:lvl w:ilvl="8">
      <w:start w:val="0"/>
      <w:numFmt w:val="bullet"/>
      <w:lvlText w:val="•"/>
      <w:lvlJc w:val="left"/>
      <w:pPr>
        <w:ind w:left="13579" w:hanging="901"/>
      </w:pPr>
      <w:rPr>
        <w:rFonts w:hint="default"/>
      </w:rPr>
    </w:lvl>
  </w:abstractNum>
  <w:abstractNum w:abstractNumId="13">
    <w:nsid w:val="4172A97C"/>
    <w:multiLevelType w:val="hybridMultilevel"/>
    <w:tmpl w:val="00000000"/>
    <w:lvl w:ilvl="0">
      <w:start w:val="1"/>
      <w:numFmt w:val="decimal"/>
      <w:lvlText w:val="（%1）"/>
      <w:lvlJc w:val="left"/>
      <w:pPr>
        <w:ind w:left="2641" w:hanging="901"/>
        <w:jc w:val="left"/>
      </w:pPr>
      <w:rPr>
        <w:rFonts w:ascii="黑体" w:eastAsia="黑体" w:hAnsi="黑体" w:cs="黑体" w:hint="default"/>
        <w:spacing w:val="-180"/>
        <w:w w:val="100"/>
        <w:sz w:val="34"/>
        <w:szCs w:val="34"/>
      </w:rPr>
    </w:lvl>
    <w:lvl w:ilvl="1">
      <w:start w:val="0"/>
      <w:numFmt w:val="bullet"/>
      <w:lvlText w:val="•"/>
      <w:lvlJc w:val="left"/>
      <w:pPr>
        <w:ind w:left="4011" w:hanging="901"/>
      </w:pPr>
      <w:rPr>
        <w:rFonts w:hint="default"/>
      </w:rPr>
    </w:lvl>
    <w:lvl w:ilvl="2">
      <w:start w:val="0"/>
      <w:numFmt w:val="bullet"/>
      <w:lvlText w:val="•"/>
      <w:lvlJc w:val="left"/>
      <w:pPr>
        <w:ind w:left="5383" w:hanging="901"/>
      </w:pPr>
      <w:rPr>
        <w:rFonts w:hint="default"/>
      </w:rPr>
    </w:lvl>
    <w:lvl w:ilvl="3">
      <w:start w:val="0"/>
      <w:numFmt w:val="bullet"/>
      <w:lvlText w:val="•"/>
      <w:lvlJc w:val="left"/>
      <w:pPr>
        <w:ind w:left="6755" w:hanging="901"/>
      </w:pPr>
      <w:rPr>
        <w:rFonts w:hint="default"/>
      </w:rPr>
    </w:lvl>
    <w:lvl w:ilvl="4">
      <w:start w:val="0"/>
      <w:numFmt w:val="bullet"/>
      <w:lvlText w:val="•"/>
      <w:lvlJc w:val="left"/>
      <w:pPr>
        <w:ind w:left="8127" w:hanging="901"/>
      </w:pPr>
      <w:rPr>
        <w:rFonts w:hint="default"/>
      </w:rPr>
    </w:lvl>
    <w:lvl w:ilvl="5">
      <w:start w:val="0"/>
      <w:numFmt w:val="bullet"/>
      <w:lvlText w:val="•"/>
      <w:lvlJc w:val="left"/>
      <w:pPr>
        <w:ind w:left="9499" w:hanging="901"/>
      </w:pPr>
      <w:rPr>
        <w:rFonts w:hint="default"/>
      </w:rPr>
    </w:lvl>
    <w:lvl w:ilvl="6">
      <w:start w:val="0"/>
      <w:numFmt w:val="bullet"/>
      <w:lvlText w:val="•"/>
      <w:lvlJc w:val="left"/>
      <w:pPr>
        <w:ind w:left="10871" w:hanging="901"/>
      </w:pPr>
      <w:rPr>
        <w:rFonts w:hint="default"/>
      </w:rPr>
    </w:lvl>
    <w:lvl w:ilvl="7">
      <w:start w:val="0"/>
      <w:numFmt w:val="bullet"/>
      <w:lvlText w:val="•"/>
      <w:lvlJc w:val="left"/>
      <w:pPr>
        <w:ind w:left="12243" w:hanging="901"/>
      </w:pPr>
      <w:rPr>
        <w:rFonts w:hint="default"/>
      </w:rPr>
    </w:lvl>
    <w:lvl w:ilvl="8">
      <w:start w:val="0"/>
      <w:numFmt w:val="bullet"/>
      <w:lvlText w:val="•"/>
      <w:lvlJc w:val="left"/>
      <w:pPr>
        <w:ind w:left="13615" w:hanging="901"/>
      </w:pPr>
      <w:rPr>
        <w:rFonts w:hint="default"/>
      </w:rPr>
    </w:lvl>
  </w:abstractNum>
  <w:abstractNum w:abstractNumId="14">
    <w:nsid w:val="46B073C8"/>
    <w:multiLevelType w:val="hybridMultilevel"/>
    <w:tmpl w:val="00000000"/>
    <w:lvl w:ilvl="0">
      <w:start w:val="6"/>
      <w:numFmt w:val="decimal"/>
      <w:lvlText w:val="(%1)"/>
      <w:lvlJc w:val="left"/>
      <w:pPr>
        <w:ind w:left="1200" w:hanging="541"/>
        <w:jc w:val="left"/>
      </w:pPr>
      <w:rPr>
        <w:rFonts w:ascii="黑体" w:eastAsia="黑体" w:hAnsi="黑体" w:cs="黑体" w:hint="default"/>
        <w:spacing w:val="-1"/>
        <w:w w:val="100"/>
        <w:sz w:val="34"/>
        <w:szCs w:val="34"/>
      </w:rPr>
    </w:lvl>
    <w:lvl w:ilvl="1">
      <w:start w:val="0"/>
      <w:numFmt w:val="bullet"/>
      <w:lvlText w:val="•"/>
      <w:lvlJc w:val="left"/>
      <w:pPr>
        <w:ind w:left="2715" w:hanging="541"/>
      </w:pPr>
      <w:rPr>
        <w:rFonts w:hint="default"/>
      </w:rPr>
    </w:lvl>
    <w:lvl w:ilvl="2">
      <w:start w:val="0"/>
      <w:numFmt w:val="bullet"/>
      <w:lvlText w:val="•"/>
      <w:lvlJc w:val="left"/>
      <w:pPr>
        <w:ind w:left="4231" w:hanging="541"/>
      </w:pPr>
      <w:rPr>
        <w:rFonts w:hint="default"/>
      </w:rPr>
    </w:lvl>
    <w:lvl w:ilvl="3">
      <w:start w:val="0"/>
      <w:numFmt w:val="bullet"/>
      <w:lvlText w:val="•"/>
      <w:lvlJc w:val="left"/>
      <w:pPr>
        <w:ind w:left="5747" w:hanging="541"/>
      </w:pPr>
      <w:rPr>
        <w:rFonts w:hint="default"/>
      </w:rPr>
    </w:lvl>
    <w:lvl w:ilvl="4">
      <w:start w:val="0"/>
      <w:numFmt w:val="bullet"/>
      <w:lvlText w:val="•"/>
      <w:lvlJc w:val="left"/>
      <w:pPr>
        <w:ind w:left="7263" w:hanging="541"/>
      </w:pPr>
      <w:rPr>
        <w:rFonts w:hint="default"/>
      </w:rPr>
    </w:lvl>
    <w:lvl w:ilvl="5">
      <w:start w:val="0"/>
      <w:numFmt w:val="bullet"/>
      <w:lvlText w:val="•"/>
      <w:lvlJc w:val="left"/>
      <w:pPr>
        <w:ind w:left="8779" w:hanging="541"/>
      </w:pPr>
      <w:rPr>
        <w:rFonts w:hint="default"/>
      </w:rPr>
    </w:lvl>
    <w:lvl w:ilvl="6">
      <w:start w:val="0"/>
      <w:numFmt w:val="bullet"/>
      <w:lvlText w:val="•"/>
      <w:lvlJc w:val="left"/>
      <w:pPr>
        <w:ind w:left="10295" w:hanging="541"/>
      </w:pPr>
      <w:rPr>
        <w:rFonts w:hint="default"/>
      </w:rPr>
    </w:lvl>
    <w:lvl w:ilvl="7">
      <w:start w:val="0"/>
      <w:numFmt w:val="bullet"/>
      <w:lvlText w:val="•"/>
      <w:lvlJc w:val="left"/>
      <w:pPr>
        <w:ind w:left="11811" w:hanging="541"/>
      </w:pPr>
      <w:rPr>
        <w:rFonts w:hint="default"/>
      </w:rPr>
    </w:lvl>
    <w:lvl w:ilvl="8">
      <w:start w:val="0"/>
      <w:numFmt w:val="bullet"/>
      <w:lvlText w:val="•"/>
      <w:lvlJc w:val="left"/>
      <w:pPr>
        <w:ind w:left="13327" w:hanging="541"/>
      </w:pPr>
      <w:rPr>
        <w:rFonts w:hint="default"/>
      </w:rPr>
    </w:lvl>
  </w:abstractNum>
  <w:abstractNum w:abstractNumId="15">
    <w:nsid w:val="490E5EB5"/>
    <w:multiLevelType w:val="hybridMultilevel"/>
    <w:tmpl w:val="00000000"/>
    <w:lvl w:ilvl="0">
      <w:start w:val="1"/>
      <w:numFmt w:val="decimal"/>
      <w:lvlText w:val="（%1）"/>
      <w:lvlJc w:val="left"/>
      <w:pPr>
        <w:ind w:left="2461" w:hanging="901"/>
        <w:jc w:val="left"/>
      </w:pPr>
      <w:rPr>
        <w:rFonts w:ascii="黑体" w:eastAsia="黑体" w:hAnsi="黑体" w:cs="黑体" w:hint="default"/>
        <w:spacing w:val="-180"/>
        <w:w w:val="100"/>
        <w:sz w:val="34"/>
        <w:szCs w:val="34"/>
      </w:rPr>
    </w:lvl>
    <w:lvl w:ilvl="1">
      <w:start w:val="1"/>
      <w:numFmt w:val="decimal"/>
      <w:lvlText w:val="（%2）"/>
      <w:lvlJc w:val="left"/>
      <w:pPr>
        <w:ind w:left="2641" w:hanging="901"/>
        <w:jc w:val="left"/>
      </w:pPr>
      <w:rPr>
        <w:rFonts w:ascii="黑体" w:eastAsia="黑体" w:hAnsi="黑体" w:cs="黑体" w:hint="default"/>
        <w:spacing w:val="-180"/>
        <w:w w:val="100"/>
        <w:sz w:val="34"/>
        <w:szCs w:val="34"/>
      </w:rPr>
    </w:lvl>
    <w:lvl w:ilvl="2">
      <w:start w:val="0"/>
      <w:numFmt w:val="bullet"/>
      <w:lvlText w:val="•"/>
      <w:lvlJc w:val="left"/>
      <w:pPr>
        <w:ind w:left="4164" w:hanging="901"/>
      </w:pPr>
      <w:rPr>
        <w:rFonts w:hint="default"/>
      </w:rPr>
    </w:lvl>
    <w:lvl w:ilvl="3">
      <w:start w:val="0"/>
      <w:numFmt w:val="bullet"/>
      <w:lvlText w:val="•"/>
      <w:lvlJc w:val="left"/>
      <w:pPr>
        <w:ind w:left="5688" w:hanging="901"/>
      </w:pPr>
      <w:rPr>
        <w:rFonts w:hint="default"/>
      </w:rPr>
    </w:lvl>
    <w:lvl w:ilvl="4">
      <w:start w:val="0"/>
      <w:numFmt w:val="bullet"/>
      <w:lvlText w:val="•"/>
      <w:lvlJc w:val="left"/>
      <w:pPr>
        <w:ind w:left="7213" w:hanging="901"/>
      </w:pPr>
      <w:rPr>
        <w:rFonts w:hint="default"/>
      </w:rPr>
    </w:lvl>
    <w:lvl w:ilvl="5">
      <w:start w:val="0"/>
      <w:numFmt w:val="bullet"/>
      <w:lvlText w:val="•"/>
      <w:lvlJc w:val="left"/>
      <w:pPr>
        <w:ind w:left="8737" w:hanging="901"/>
      </w:pPr>
      <w:rPr>
        <w:rFonts w:hint="default"/>
      </w:rPr>
    </w:lvl>
    <w:lvl w:ilvl="6">
      <w:start w:val="0"/>
      <w:numFmt w:val="bullet"/>
      <w:lvlText w:val="•"/>
      <w:lvlJc w:val="left"/>
      <w:pPr>
        <w:ind w:left="10262" w:hanging="901"/>
      </w:pPr>
      <w:rPr>
        <w:rFonts w:hint="default"/>
      </w:rPr>
    </w:lvl>
    <w:lvl w:ilvl="7">
      <w:start w:val="0"/>
      <w:numFmt w:val="bullet"/>
      <w:lvlText w:val="•"/>
      <w:lvlJc w:val="left"/>
      <w:pPr>
        <w:ind w:left="11786" w:hanging="901"/>
      </w:pPr>
      <w:rPr>
        <w:rFonts w:hint="default"/>
      </w:rPr>
    </w:lvl>
    <w:lvl w:ilvl="8">
      <w:start w:val="0"/>
      <w:numFmt w:val="bullet"/>
      <w:lvlText w:val="•"/>
      <w:lvlJc w:val="left"/>
      <w:pPr>
        <w:ind w:left="13310" w:hanging="901"/>
      </w:pPr>
      <w:rPr>
        <w:rFonts w:hint="default"/>
      </w:rPr>
    </w:lvl>
  </w:abstractNum>
  <w:abstractNum w:abstractNumId="16">
    <w:nsid w:val="499A998E"/>
    <w:multiLevelType w:val="hybridMultilevel"/>
    <w:tmpl w:val="00000000"/>
    <w:lvl w:ilvl="0">
      <w:start w:val="1"/>
      <w:numFmt w:val="decimal"/>
      <w:lvlText w:val="（%1）"/>
      <w:lvlJc w:val="left"/>
      <w:pPr>
        <w:ind w:left="2461" w:hanging="901"/>
        <w:jc w:val="left"/>
      </w:pPr>
      <w:rPr>
        <w:rFonts w:ascii="黑体" w:eastAsia="黑体" w:hAnsi="黑体" w:cs="黑体" w:hint="default"/>
        <w:spacing w:val="-180"/>
        <w:w w:val="100"/>
        <w:sz w:val="34"/>
        <w:szCs w:val="34"/>
      </w:rPr>
    </w:lvl>
    <w:lvl w:ilvl="1">
      <w:start w:val="0"/>
      <w:numFmt w:val="bullet"/>
      <w:lvlText w:val="•"/>
      <w:lvlJc w:val="left"/>
      <w:pPr>
        <w:ind w:left="3849" w:hanging="901"/>
      </w:pPr>
      <w:rPr>
        <w:rFonts w:hint="default"/>
      </w:rPr>
    </w:lvl>
    <w:lvl w:ilvl="2">
      <w:start w:val="0"/>
      <w:numFmt w:val="bullet"/>
      <w:lvlText w:val="•"/>
      <w:lvlJc w:val="left"/>
      <w:pPr>
        <w:ind w:left="5239" w:hanging="901"/>
      </w:pPr>
      <w:rPr>
        <w:rFonts w:hint="default"/>
      </w:rPr>
    </w:lvl>
    <w:lvl w:ilvl="3">
      <w:start w:val="0"/>
      <w:numFmt w:val="bullet"/>
      <w:lvlText w:val="•"/>
      <w:lvlJc w:val="left"/>
      <w:pPr>
        <w:ind w:left="6629" w:hanging="901"/>
      </w:pPr>
      <w:rPr>
        <w:rFonts w:hint="default"/>
      </w:rPr>
    </w:lvl>
    <w:lvl w:ilvl="4">
      <w:start w:val="0"/>
      <w:numFmt w:val="bullet"/>
      <w:lvlText w:val="•"/>
      <w:lvlJc w:val="left"/>
      <w:pPr>
        <w:ind w:left="8019" w:hanging="901"/>
      </w:pPr>
      <w:rPr>
        <w:rFonts w:hint="default"/>
      </w:rPr>
    </w:lvl>
    <w:lvl w:ilvl="5">
      <w:start w:val="0"/>
      <w:numFmt w:val="bullet"/>
      <w:lvlText w:val="•"/>
      <w:lvlJc w:val="left"/>
      <w:pPr>
        <w:ind w:left="9409" w:hanging="901"/>
      </w:pPr>
      <w:rPr>
        <w:rFonts w:hint="default"/>
      </w:rPr>
    </w:lvl>
    <w:lvl w:ilvl="6">
      <w:start w:val="0"/>
      <w:numFmt w:val="bullet"/>
      <w:lvlText w:val="•"/>
      <w:lvlJc w:val="left"/>
      <w:pPr>
        <w:ind w:left="10799" w:hanging="901"/>
      </w:pPr>
      <w:rPr>
        <w:rFonts w:hint="default"/>
      </w:rPr>
    </w:lvl>
    <w:lvl w:ilvl="7">
      <w:start w:val="0"/>
      <w:numFmt w:val="bullet"/>
      <w:lvlText w:val="•"/>
      <w:lvlJc w:val="left"/>
      <w:pPr>
        <w:ind w:left="12189" w:hanging="901"/>
      </w:pPr>
      <w:rPr>
        <w:rFonts w:hint="default"/>
      </w:rPr>
    </w:lvl>
    <w:lvl w:ilvl="8">
      <w:start w:val="0"/>
      <w:numFmt w:val="bullet"/>
      <w:lvlText w:val="•"/>
      <w:lvlJc w:val="left"/>
      <w:pPr>
        <w:ind w:left="13579" w:hanging="901"/>
      </w:pPr>
      <w:rPr>
        <w:rFonts w:hint="default"/>
      </w:rPr>
    </w:lvl>
  </w:abstractNum>
  <w:abstractNum w:abstractNumId="17">
    <w:nsid w:val="4A2CAF63"/>
    <w:multiLevelType w:val="hybridMultilevel"/>
    <w:tmpl w:val="00000000"/>
    <w:lvl w:ilvl="0">
      <w:start w:val="6"/>
      <w:numFmt w:val="decimal"/>
      <w:lvlText w:val="（%1）"/>
      <w:lvlJc w:val="left"/>
      <w:pPr>
        <w:ind w:left="2461" w:hanging="901"/>
        <w:jc w:val="left"/>
      </w:pPr>
      <w:rPr>
        <w:rFonts w:ascii="黑体" w:eastAsia="黑体" w:hAnsi="黑体" w:cs="黑体" w:hint="default"/>
        <w:spacing w:val="-180"/>
        <w:w w:val="100"/>
        <w:sz w:val="34"/>
        <w:szCs w:val="34"/>
      </w:rPr>
    </w:lvl>
    <w:lvl w:ilvl="1">
      <w:start w:val="0"/>
      <w:numFmt w:val="bullet"/>
      <w:lvlText w:val="•"/>
      <w:lvlJc w:val="left"/>
      <w:pPr>
        <w:ind w:left="3849" w:hanging="901"/>
      </w:pPr>
      <w:rPr>
        <w:rFonts w:hint="default"/>
      </w:rPr>
    </w:lvl>
    <w:lvl w:ilvl="2">
      <w:start w:val="0"/>
      <w:numFmt w:val="bullet"/>
      <w:lvlText w:val="•"/>
      <w:lvlJc w:val="left"/>
      <w:pPr>
        <w:ind w:left="5239" w:hanging="901"/>
      </w:pPr>
      <w:rPr>
        <w:rFonts w:hint="default"/>
      </w:rPr>
    </w:lvl>
    <w:lvl w:ilvl="3">
      <w:start w:val="0"/>
      <w:numFmt w:val="bullet"/>
      <w:lvlText w:val="•"/>
      <w:lvlJc w:val="left"/>
      <w:pPr>
        <w:ind w:left="6629" w:hanging="901"/>
      </w:pPr>
      <w:rPr>
        <w:rFonts w:hint="default"/>
      </w:rPr>
    </w:lvl>
    <w:lvl w:ilvl="4">
      <w:start w:val="0"/>
      <w:numFmt w:val="bullet"/>
      <w:lvlText w:val="•"/>
      <w:lvlJc w:val="left"/>
      <w:pPr>
        <w:ind w:left="8019" w:hanging="901"/>
      </w:pPr>
      <w:rPr>
        <w:rFonts w:hint="default"/>
      </w:rPr>
    </w:lvl>
    <w:lvl w:ilvl="5">
      <w:start w:val="0"/>
      <w:numFmt w:val="bullet"/>
      <w:lvlText w:val="•"/>
      <w:lvlJc w:val="left"/>
      <w:pPr>
        <w:ind w:left="9409" w:hanging="901"/>
      </w:pPr>
      <w:rPr>
        <w:rFonts w:hint="default"/>
      </w:rPr>
    </w:lvl>
    <w:lvl w:ilvl="6">
      <w:start w:val="0"/>
      <w:numFmt w:val="bullet"/>
      <w:lvlText w:val="•"/>
      <w:lvlJc w:val="left"/>
      <w:pPr>
        <w:ind w:left="10799" w:hanging="901"/>
      </w:pPr>
      <w:rPr>
        <w:rFonts w:hint="default"/>
      </w:rPr>
    </w:lvl>
    <w:lvl w:ilvl="7">
      <w:start w:val="0"/>
      <w:numFmt w:val="bullet"/>
      <w:lvlText w:val="•"/>
      <w:lvlJc w:val="left"/>
      <w:pPr>
        <w:ind w:left="12189" w:hanging="901"/>
      </w:pPr>
      <w:rPr>
        <w:rFonts w:hint="default"/>
      </w:rPr>
    </w:lvl>
    <w:lvl w:ilvl="8">
      <w:start w:val="0"/>
      <w:numFmt w:val="bullet"/>
      <w:lvlText w:val="•"/>
      <w:lvlJc w:val="left"/>
      <w:pPr>
        <w:ind w:left="13579" w:hanging="901"/>
      </w:pPr>
      <w:rPr>
        <w:rFonts w:hint="default"/>
      </w:rPr>
    </w:lvl>
  </w:abstractNum>
  <w:abstractNum w:abstractNumId="18">
    <w:nsid w:val="4B8BCE5D"/>
    <w:multiLevelType w:val="hybridMultilevel"/>
    <w:tmpl w:val="00000000"/>
    <w:lvl w:ilvl="0">
      <w:start w:val="1"/>
      <w:numFmt w:val="decimal"/>
      <w:lvlText w:val="（%1）"/>
      <w:lvlJc w:val="left"/>
      <w:pPr>
        <w:ind w:left="2461" w:hanging="901"/>
        <w:jc w:val="left"/>
      </w:pPr>
      <w:rPr>
        <w:rFonts w:ascii="黑体" w:eastAsia="黑体" w:hAnsi="黑体" w:cs="黑体" w:hint="default"/>
        <w:spacing w:val="-180"/>
        <w:w w:val="100"/>
        <w:sz w:val="34"/>
        <w:szCs w:val="34"/>
      </w:rPr>
    </w:lvl>
    <w:lvl w:ilvl="1">
      <w:start w:val="0"/>
      <w:numFmt w:val="bullet"/>
      <w:lvlText w:val="•"/>
      <w:lvlJc w:val="left"/>
      <w:pPr>
        <w:ind w:left="3849" w:hanging="901"/>
      </w:pPr>
      <w:rPr>
        <w:rFonts w:hint="default"/>
      </w:rPr>
    </w:lvl>
    <w:lvl w:ilvl="2">
      <w:start w:val="0"/>
      <w:numFmt w:val="bullet"/>
      <w:lvlText w:val="•"/>
      <w:lvlJc w:val="left"/>
      <w:pPr>
        <w:ind w:left="5239" w:hanging="901"/>
      </w:pPr>
      <w:rPr>
        <w:rFonts w:hint="default"/>
      </w:rPr>
    </w:lvl>
    <w:lvl w:ilvl="3">
      <w:start w:val="0"/>
      <w:numFmt w:val="bullet"/>
      <w:lvlText w:val="•"/>
      <w:lvlJc w:val="left"/>
      <w:pPr>
        <w:ind w:left="6629" w:hanging="901"/>
      </w:pPr>
      <w:rPr>
        <w:rFonts w:hint="default"/>
      </w:rPr>
    </w:lvl>
    <w:lvl w:ilvl="4">
      <w:start w:val="0"/>
      <w:numFmt w:val="bullet"/>
      <w:lvlText w:val="•"/>
      <w:lvlJc w:val="left"/>
      <w:pPr>
        <w:ind w:left="8019" w:hanging="901"/>
      </w:pPr>
      <w:rPr>
        <w:rFonts w:hint="default"/>
      </w:rPr>
    </w:lvl>
    <w:lvl w:ilvl="5">
      <w:start w:val="0"/>
      <w:numFmt w:val="bullet"/>
      <w:lvlText w:val="•"/>
      <w:lvlJc w:val="left"/>
      <w:pPr>
        <w:ind w:left="9409" w:hanging="901"/>
      </w:pPr>
      <w:rPr>
        <w:rFonts w:hint="default"/>
      </w:rPr>
    </w:lvl>
    <w:lvl w:ilvl="6">
      <w:start w:val="0"/>
      <w:numFmt w:val="bullet"/>
      <w:lvlText w:val="•"/>
      <w:lvlJc w:val="left"/>
      <w:pPr>
        <w:ind w:left="10799" w:hanging="901"/>
      </w:pPr>
      <w:rPr>
        <w:rFonts w:hint="default"/>
      </w:rPr>
    </w:lvl>
    <w:lvl w:ilvl="7">
      <w:start w:val="0"/>
      <w:numFmt w:val="bullet"/>
      <w:lvlText w:val="•"/>
      <w:lvlJc w:val="left"/>
      <w:pPr>
        <w:ind w:left="12189" w:hanging="901"/>
      </w:pPr>
      <w:rPr>
        <w:rFonts w:hint="default"/>
      </w:rPr>
    </w:lvl>
    <w:lvl w:ilvl="8">
      <w:start w:val="0"/>
      <w:numFmt w:val="bullet"/>
      <w:lvlText w:val="•"/>
      <w:lvlJc w:val="left"/>
      <w:pPr>
        <w:ind w:left="13579" w:hanging="901"/>
      </w:pPr>
      <w:rPr>
        <w:rFonts w:hint="default"/>
      </w:rPr>
    </w:lvl>
  </w:abstractNum>
  <w:abstractNum w:abstractNumId="19">
    <w:nsid w:val="4DA118CD"/>
    <w:multiLevelType w:val="hybridMultilevel"/>
    <w:tmpl w:val="00000000"/>
    <w:lvl w:ilvl="0">
      <w:start w:val="1"/>
      <w:numFmt w:val="decimal"/>
      <w:lvlText w:val="（%1）"/>
      <w:lvlJc w:val="left"/>
      <w:pPr>
        <w:ind w:left="1200" w:hanging="901"/>
        <w:jc w:val="left"/>
      </w:pPr>
      <w:rPr>
        <w:rFonts w:ascii="黑体" w:eastAsia="黑体" w:hAnsi="黑体" w:cs="黑体" w:hint="default"/>
        <w:spacing w:val="-180"/>
        <w:w w:val="100"/>
        <w:sz w:val="34"/>
        <w:szCs w:val="34"/>
      </w:rPr>
    </w:lvl>
    <w:lvl w:ilvl="1">
      <w:start w:val="1"/>
      <w:numFmt w:val="decimal"/>
      <w:lvlText w:val="%2）"/>
      <w:lvlJc w:val="left"/>
      <w:pPr>
        <w:ind w:left="2648" w:hanging="549"/>
        <w:jc w:val="left"/>
      </w:pPr>
      <w:rPr>
        <w:rFonts w:ascii="黑体" w:eastAsia="黑体" w:hAnsi="黑体" w:cs="黑体" w:hint="default"/>
        <w:spacing w:val="-173"/>
        <w:w w:val="100"/>
        <w:sz w:val="34"/>
        <w:szCs w:val="34"/>
      </w:rPr>
    </w:lvl>
    <w:lvl w:ilvl="2">
      <w:start w:val="0"/>
      <w:numFmt w:val="bullet"/>
      <w:lvlText w:val="•"/>
      <w:lvlJc w:val="left"/>
      <w:pPr>
        <w:ind w:left="4164" w:hanging="549"/>
      </w:pPr>
      <w:rPr>
        <w:rFonts w:hint="default"/>
      </w:rPr>
    </w:lvl>
    <w:lvl w:ilvl="3">
      <w:start w:val="0"/>
      <w:numFmt w:val="bullet"/>
      <w:lvlText w:val="•"/>
      <w:lvlJc w:val="left"/>
      <w:pPr>
        <w:ind w:left="5688" w:hanging="549"/>
      </w:pPr>
      <w:rPr>
        <w:rFonts w:hint="default"/>
      </w:rPr>
    </w:lvl>
    <w:lvl w:ilvl="4">
      <w:start w:val="0"/>
      <w:numFmt w:val="bullet"/>
      <w:lvlText w:val="•"/>
      <w:lvlJc w:val="left"/>
      <w:pPr>
        <w:ind w:left="7213" w:hanging="549"/>
      </w:pPr>
      <w:rPr>
        <w:rFonts w:hint="default"/>
      </w:rPr>
    </w:lvl>
    <w:lvl w:ilvl="5">
      <w:start w:val="0"/>
      <w:numFmt w:val="bullet"/>
      <w:lvlText w:val="•"/>
      <w:lvlJc w:val="left"/>
      <w:pPr>
        <w:ind w:left="8737" w:hanging="549"/>
      </w:pPr>
      <w:rPr>
        <w:rFonts w:hint="default"/>
      </w:rPr>
    </w:lvl>
    <w:lvl w:ilvl="6">
      <w:start w:val="0"/>
      <w:numFmt w:val="bullet"/>
      <w:lvlText w:val="•"/>
      <w:lvlJc w:val="left"/>
      <w:pPr>
        <w:ind w:left="10262" w:hanging="549"/>
      </w:pPr>
      <w:rPr>
        <w:rFonts w:hint="default"/>
      </w:rPr>
    </w:lvl>
    <w:lvl w:ilvl="7">
      <w:start w:val="0"/>
      <w:numFmt w:val="bullet"/>
      <w:lvlText w:val="•"/>
      <w:lvlJc w:val="left"/>
      <w:pPr>
        <w:ind w:left="11786" w:hanging="549"/>
      </w:pPr>
      <w:rPr>
        <w:rFonts w:hint="default"/>
      </w:rPr>
    </w:lvl>
    <w:lvl w:ilvl="8">
      <w:start w:val="0"/>
      <w:numFmt w:val="bullet"/>
      <w:lvlText w:val="•"/>
      <w:lvlJc w:val="left"/>
      <w:pPr>
        <w:ind w:left="13310" w:hanging="549"/>
      </w:pPr>
      <w:rPr>
        <w:rFonts w:hint="default"/>
      </w:rPr>
    </w:lvl>
  </w:abstractNum>
  <w:abstractNum w:abstractNumId="20">
    <w:nsid w:val="50A6373B"/>
    <w:multiLevelType w:val="hybridMultilevel"/>
    <w:tmpl w:val="00000000"/>
    <w:lvl w:ilvl="0">
      <w:start w:val="5"/>
      <w:numFmt w:val="decimal"/>
      <w:lvlText w:val="（%1）"/>
      <w:lvlJc w:val="left"/>
      <w:pPr>
        <w:ind w:left="2461" w:hanging="901"/>
        <w:jc w:val="left"/>
      </w:pPr>
      <w:rPr>
        <w:rFonts w:ascii="黑体" w:eastAsia="黑体" w:hAnsi="黑体" w:cs="黑体" w:hint="default"/>
        <w:spacing w:val="-180"/>
        <w:w w:val="100"/>
        <w:sz w:val="34"/>
        <w:szCs w:val="34"/>
      </w:rPr>
    </w:lvl>
    <w:lvl w:ilvl="1">
      <w:start w:val="1"/>
      <w:numFmt w:val="decimal"/>
      <w:lvlText w:val="（%2）"/>
      <w:lvlJc w:val="left"/>
      <w:pPr>
        <w:ind w:left="1200" w:hanging="901"/>
        <w:jc w:val="right"/>
      </w:pPr>
      <w:rPr>
        <w:rFonts w:ascii="黑体" w:eastAsia="黑体" w:hAnsi="黑体" w:cs="黑体" w:hint="default"/>
        <w:spacing w:val="-180"/>
        <w:w w:val="100"/>
        <w:sz w:val="34"/>
        <w:szCs w:val="34"/>
      </w:rPr>
    </w:lvl>
    <w:lvl w:ilvl="2">
      <w:start w:val="0"/>
      <w:numFmt w:val="bullet"/>
      <w:lvlText w:val="•"/>
      <w:lvlJc w:val="left"/>
      <w:pPr>
        <w:ind w:left="4004" w:hanging="901"/>
      </w:pPr>
      <w:rPr>
        <w:rFonts w:hint="default"/>
      </w:rPr>
    </w:lvl>
    <w:lvl w:ilvl="3">
      <w:start w:val="0"/>
      <w:numFmt w:val="bullet"/>
      <w:lvlText w:val="•"/>
      <w:lvlJc w:val="left"/>
      <w:pPr>
        <w:ind w:left="5548" w:hanging="901"/>
      </w:pPr>
      <w:rPr>
        <w:rFonts w:hint="default"/>
      </w:rPr>
    </w:lvl>
    <w:lvl w:ilvl="4">
      <w:start w:val="0"/>
      <w:numFmt w:val="bullet"/>
      <w:lvlText w:val="•"/>
      <w:lvlJc w:val="left"/>
      <w:pPr>
        <w:ind w:left="7093" w:hanging="901"/>
      </w:pPr>
      <w:rPr>
        <w:rFonts w:hint="default"/>
      </w:rPr>
    </w:lvl>
    <w:lvl w:ilvl="5">
      <w:start w:val="0"/>
      <w:numFmt w:val="bullet"/>
      <w:lvlText w:val="•"/>
      <w:lvlJc w:val="left"/>
      <w:pPr>
        <w:ind w:left="8637" w:hanging="901"/>
      </w:pPr>
      <w:rPr>
        <w:rFonts w:hint="default"/>
      </w:rPr>
    </w:lvl>
    <w:lvl w:ilvl="6">
      <w:start w:val="0"/>
      <w:numFmt w:val="bullet"/>
      <w:lvlText w:val="•"/>
      <w:lvlJc w:val="left"/>
      <w:pPr>
        <w:ind w:left="10182" w:hanging="901"/>
      </w:pPr>
      <w:rPr>
        <w:rFonts w:hint="default"/>
      </w:rPr>
    </w:lvl>
    <w:lvl w:ilvl="7">
      <w:start w:val="0"/>
      <w:numFmt w:val="bullet"/>
      <w:lvlText w:val="•"/>
      <w:lvlJc w:val="left"/>
      <w:pPr>
        <w:ind w:left="11726" w:hanging="901"/>
      </w:pPr>
      <w:rPr>
        <w:rFonts w:hint="default"/>
      </w:rPr>
    </w:lvl>
    <w:lvl w:ilvl="8">
      <w:start w:val="0"/>
      <w:numFmt w:val="bullet"/>
      <w:lvlText w:val="•"/>
      <w:lvlJc w:val="left"/>
      <w:pPr>
        <w:ind w:left="13270" w:hanging="901"/>
      </w:pPr>
      <w:rPr>
        <w:rFonts w:hint="default"/>
      </w:rPr>
    </w:lvl>
  </w:abstractNum>
  <w:abstractNum w:abstractNumId="21">
    <w:nsid w:val="546006BA"/>
    <w:multiLevelType w:val="hybridMultilevel"/>
    <w:tmpl w:val="00000000"/>
    <w:lvl w:ilvl="0">
      <w:start w:val="2"/>
      <w:numFmt w:val="decimal"/>
      <w:lvlText w:val="（%1）"/>
      <w:lvlJc w:val="left"/>
      <w:pPr>
        <w:ind w:left="2641" w:hanging="901"/>
        <w:jc w:val="right"/>
      </w:pPr>
      <w:rPr>
        <w:rFonts w:ascii="黑体" w:eastAsia="黑体" w:hAnsi="黑体" w:cs="黑体" w:hint="default"/>
        <w:spacing w:val="-180"/>
        <w:w w:val="100"/>
        <w:sz w:val="34"/>
        <w:szCs w:val="34"/>
      </w:rPr>
    </w:lvl>
    <w:lvl w:ilvl="1">
      <w:start w:val="1"/>
      <w:numFmt w:val="decimal"/>
      <w:lvlText w:val="（%2）"/>
      <w:lvlJc w:val="left"/>
      <w:pPr>
        <w:ind w:left="2641" w:hanging="901"/>
        <w:jc w:val="left"/>
      </w:pPr>
      <w:rPr>
        <w:rFonts w:ascii="黑体" w:eastAsia="黑体" w:hAnsi="黑体" w:cs="黑体" w:hint="default"/>
        <w:spacing w:val="-180"/>
        <w:w w:val="100"/>
        <w:sz w:val="34"/>
        <w:szCs w:val="34"/>
      </w:rPr>
    </w:lvl>
    <w:lvl w:ilvl="2">
      <w:start w:val="0"/>
      <w:numFmt w:val="bullet"/>
      <w:lvlText w:val="•"/>
      <w:lvlJc w:val="left"/>
      <w:pPr>
        <w:ind w:left="5383" w:hanging="901"/>
      </w:pPr>
      <w:rPr>
        <w:rFonts w:hint="default"/>
      </w:rPr>
    </w:lvl>
    <w:lvl w:ilvl="3">
      <w:start w:val="0"/>
      <w:numFmt w:val="bullet"/>
      <w:lvlText w:val="•"/>
      <w:lvlJc w:val="left"/>
      <w:pPr>
        <w:ind w:left="6755" w:hanging="901"/>
      </w:pPr>
      <w:rPr>
        <w:rFonts w:hint="default"/>
      </w:rPr>
    </w:lvl>
    <w:lvl w:ilvl="4">
      <w:start w:val="0"/>
      <w:numFmt w:val="bullet"/>
      <w:lvlText w:val="•"/>
      <w:lvlJc w:val="left"/>
      <w:pPr>
        <w:ind w:left="8127" w:hanging="901"/>
      </w:pPr>
      <w:rPr>
        <w:rFonts w:hint="default"/>
      </w:rPr>
    </w:lvl>
    <w:lvl w:ilvl="5">
      <w:start w:val="0"/>
      <w:numFmt w:val="bullet"/>
      <w:lvlText w:val="•"/>
      <w:lvlJc w:val="left"/>
      <w:pPr>
        <w:ind w:left="9499" w:hanging="901"/>
      </w:pPr>
      <w:rPr>
        <w:rFonts w:hint="default"/>
      </w:rPr>
    </w:lvl>
    <w:lvl w:ilvl="6">
      <w:start w:val="0"/>
      <w:numFmt w:val="bullet"/>
      <w:lvlText w:val="•"/>
      <w:lvlJc w:val="left"/>
      <w:pPr>
        <w:ind w:left="10871" w:hanging="901"/>
      </w:pPr>
      <w:rPr>
        <w:rFonts w:hint="default"/>
      </w:rPr>
    </w:lvl>
    <w:lvl w:ilvl="7">
      <w:start w:val="0"/>
      <w:numFmt w:val="bullet"/>
      <w:lvlText w:val="•"/>
      <w:lvlJc w:val="left"/>
      <w:pPr>
        <w:ind w:left="12243" w:hanging="901"/>
      </w:pPr>
      <w:rPr>
        <w:rFonts w:hint="default"/>
      </w:rPr>
    </w:lvl>
    <w:lvl w:ilvl="8">
      <w:start w:val="0"/>
      <w:numFmt w:val="bullet"/>
      <w:lvlText w:val="•"/>
      <w:lvlJc w:val="left"/>
      <w:pPr>
        <w:ind w:left="13615" w:hanging="901"/>
      </w:pPr>
      <w:rPr>
        <w:rFonts w:hint="default"/>
      </w:rPr>
    </w:lvl>
  </w:abstractNum>
  <w:abstractNum w:abstractNumId="22">
    <w:nsid w:val="583B2793"/>
    <w:multiLevelType w:val="hybridMultilevel"/>
    <w:tmpl w:val="00000000"/>
    <w:lvl w:ilvl="0">
      <w:start w:val="1"/>
      <w:numFmt w:val="decimal"/>
      <w:lvlText w:val="（%1）"/>
      <w:lvlJc w:val="left"/>
      <w:pPr>
        <w:ind w:left="2461" w:hanging="901"/>
        <w:jc w:val="left"/>
      </w:pPr>
      <w:rPr>
        <w:rFonts w:ascii="黑体" w:eastAsia="黑体" w:hAnsi="黑体" w:cs="黑体" w:hint="default"/>
        <w:spacing w:val="-180"/>
        <w:w w:val="100"/>
        <w:sz w:val="34"/>
        <w:szCs w:val="34"/>
      </w:rPr>
    </w:lvl>
    <w:lvl w:ilvl="1">
      <w:start w:val="0"/>
      <w:numFmt w:val="bullet"/>
      <w:lvlText w:val="•"/>
      <w:lvlJc w:val="left"/>
      <w:pPr>
        <w:ind w:left="3849" w:hanging="901"/>
      </w:pPr>
      <w:rPr>
        <w:rFonts w:hint="default"/>
      </w:rPr>
    </w:lvl>
    <w:lvl w:ilvl="2">
      <w:start w:val="0"/>
      <w:numFmt w:val="bullet"/>
      <w:lvlText w:val="•"/>
      <w:lvlJc w:val="left"/>
      <w:pPr>
        <w:ind w:left="5239" w:hanging="901"/>
      </w:pPr>
      <w:rPr>
        <w:rFonts w:hint="default"/>
      </w:rPr>
    </w:lvl>
    <w:lvl w:ilvl="3">
      <w:start w:val="0"/>
      <w:numFmt w:val="bullet"/>
      <w:lvlText w:val="•"/>
      <w:lvlJc w:val="left"/>
      <w:pPr>
        <w:ind w:left="6629" w:hanging="901"/>
      </w:pPr>
      <w:rPr>
        <w:rFonts w:hint="default"/>
      </w:rPr>
    </w:lvl>
    <w:lvl w:ilvl="4">
      <w:start w:val="0"/>
      <w:numFmt w:val="bullet"/>
      <w:lvlText w:val="•"/>
      <w:lvlJc w:val="left"/>
      <w:pPr>
        <w:ind w:left="8019" w:hanging="901"/>
      </w:pPr>
      <w:rPr>
        <w:rFonts w:hint="default"/>
      </w:rPr>
    </w:lvl>
    <w:lvl w:ilvl="5">
      <w:start w:val="0"/>
      <w:numFmt w:val="bullet"/>
      <w:lvlText w:val="•"/>
      <w:lvlJc w:val="left"/>
      <w:pPr>
        <w:ind w:left="9409" w:hanging="901"/>
      </w:pPr>
      <w:rPr>
        <w:rFonts w:hint="default"/>
      </w:rPr>
    </w:lvl>
    <w:lvl w:ilvl="6">
      <w:start w:val="0"/>
      <w:numFmt w:val="bullet"/>
      <w:lvlText w:val="•"/>
      <w:lvlJc w:val="left"/>
      <w:pPr>
        <w:ind w:left="10799" w:hanging="901"/>
      </w:pPr>
      <w:rPr>
        <w:rFonts w:hint="default"/>
      </w:rPr>
    </w:lvl>
    <w:lvl w:ilvl="7">
      <w:start w:val="0"/>
      <w:numFmt w:val="bullet"/>
      <w:lvlText w:val="•"/>
      <w:lvlJc w:val="left"/>
      <w:pPr>
        <w:ind w:left="12189" w:hanging="901"/>
      </w:pPr>
      <w:rPr>
        <w:rFonts w:hint="default"/>
      </w:rPr>
    </w:lvl>
    <w:lvl w:ilvl="8">
      <w:start w:val="0"/>
      <w:numFmt w:val="bullet"/>
      <w:lvlText w:val="•"/>
      <w:lvlJc w:val="left"/>
      <w:pPr>
        <w:ind w:left="13579" w:hanging="901"/>
      </w:pPr>
      <w:rPr>
        <w:rFonts w:hint="default"/>
      </w:rPr>
    </w:lvl>
  </w:abstractNum>
  <w:abstractNum w:abstractNumId="23">
    <w:nsid w:val="60079BEE"/>
    <w:multiLevelType w:val="hybridMultilevel"/>
    <w:tmpl w:val="00000000"/>
    <w:lvl w:ilvl="0">
      <w:start w:val="1"/>
      <w:numFmt w:val="decimal"/>
      <w:lvlText w:val="（%1）"/>
      <w:lvlJc w:val="left"/>
      <w:pPr>
        <w:ind w:left="2461" w:hanging="901"/>
        <w:jc w:val="left"/>
      </w:pPr>
      <w:rPr>
        <w:rFonts w:ascii="黑体" w:eastAsia="黑体" w:hAnsi="黑体" w:cs="黑体" w:hint="default"/>
        <w:spacing w:val="-180"/>
        <w:w w:val="100"/>
        <w:sz w:val="34"/>
        <w:szCs w:val="34"/>
      </w:rPr>
    </w:lvl>
    <w:lvl w:ilvl="1">
      <w:start w:val="0"/>
      <w:numFmt w:val="bullet"/>
      <w:lvlText w:val="•"/>
      <w:lvlJc w:val="left"/>
      <w:pPr>
        <w:ind w:left="3849" w:hanging="901"/>
      </w:pPr>
      <w:rPr>
        <w:rFonts w:hint="default"/>
      </w:rPr>
    </w:lvl>
    <w:lvl w:ilvl="2">
      <w:start w:val="0"/>
      <w:numFmt w:val="bullet"/>
      <w:lvlText w:val="•"/>
      <w:lvlJc w:val="left"/>
      <w:pPr>
        <w:ind w:left="5239" w:hanging="901"/>
      </w:pPr>
      <w:rPr>
        <w:rFonts w:hint="default"/>
      </w:rPr>
    </w:lvl>
    <w:lvl w:ilvl="3">
      <w:start w:val="0"/>
      <w:numFmt w:val="bullet"/>
      <w:lvlText w:val="•"/>
      <w:lvlJc w:val="left"/>
      <w:pPr>
        <w:ind w:left="6629" w:hanging="901"/>
      </w:pPr>
      <w:rPr>
        <w:rFonts w:hint="default"/>
      </w:rPr>
    </w:lvl>
    <w:lvl w:ilvl="4">
      <w:start w:val="0"/>
      <w:numFmt w:val="bullet"/>
      <w:lvlText w:val="•"/>
      <w:lvlJc w:val="left"/>
      <w:pPr>
        <w:ind w:left="8019" w:hanging="901"/>
      </w:pPr>
      <w:rPr>
        <w:rFonts w:hint="default"/>
      </w:rPr>
    </w:lvl>
    <w:lvl w:ilvl="5">
      <w:start w:val="0"/>
      <w:numFmt w:val="bullet"/>
      <w:lvlText w:val="•"/>
      <w:lvlJc w:val="left"/>
      <w:pPr>
        <w:ind w:left="9409" w:hanging="901"/>
      </w:pPr>
      <w:rPr>
        <w:rFonts w:hint="default"/>
      </w:rPr>
    </w:lvl>
    <w:lvl w:ilvl="6">
      <w:start w:val="0"/>
      <w:numFmt w:val="bullet"/>
      <w:lvlText w:val="•"/>
      <w:lvlJc w:val="left"/>
      <w:pPr>
        <w:ind w:left="10799" w:hanging="901"/>
      </w:pPr>
      <w:rPr>
        <w:rFonts w:hint="default"/>
      </w:rPr>
    </w:lvl>
    <w:lvl w:ilvl="7">
      <w:start w:val="0"/>
      <w:numFmt w:val="bullet"/>
      <w:lvlText w:val="•"/>
      <w:lvlJc w:val="left"/>
      <w:pPr>
        <w:ind w:left="12189" w:hanging="901"/>
      </w:pPr>
      <w:rPr>
        <w:rFonts w:hint="default"/>
      </w:rPr>
    </w:lvl>
    <w:lvl w:ilvl="8">
      <w:start w:val="0"/>
      <w:numFmt w:val="bullet"/>
      <w:lvlText w:val="•"/>
      <w:lvlJc w:val="left"/>
      <w:pPr>
        <w:ind w:left="13579" w:hanging="901"/>
      </w:pPr>
      <w:rPr>
        <w:rFonts w:hint="default"/>
      </w:rPr>
    </w:lvl>
  </w:abstractNum>
  <w:abstractNum w:abstractNumId="24">
    <w:nsid w:val="633314B1"/>
    <w:multiLevelType w:val="hybridMultilevel"/>
    <w:tmpl w:val="00000000"/>
    <w:lvl w:ilvl="0">
      <w:start w:val="1"/>
      <w:numFmt w:val="decimal"/>
      <w:lvlText w:val="（%1）"/>
      <w:lvlJc w:val="left"/>
      <w:pPr>
        <w:ind w:left="2461" w:hanging="901"/>
        <w:jc w:val="left"/>
      </w:pPr>
      <w:rPr>
        <w:rFonts w:ascii="黑体" w:eastAsia="黑体" w:hAnsi="黑体" w:cs="黑体" w:hint="default"/>
        <w:spacing w:val="-180"/>
        <w:w w:val="100"/>
        <w:sz w:val="34"/>
        <w:szCs w:val="34"/>
      </w:rPr>
    </w:lvl>
    <w:lvl w:ilvl="1">
      <w:start w:val="1"/>
      <w:numFmt w:val="decimal"/>
      <w:lvlText w:val="(%2)"/>
      <w:lvlJc w:val="left"/>
      <w:pPr>
        <w:ind w:left="2641" w:hanging="541"/>
        <w:jc w:val="left"/>
      </w:pPr>
      <w:rPr>
        <w:rFonts w:ascii="黑体" w:eastAsia="黑体" w:hAnsi="黑体" w:cs="黑体" w:hint="default"/>
        <w:spacing w:val="-1"/>
        <w:w w:val="100"/>
        <w:sz w:val="34"/>
        <w:szCs w:val="34"/>
      </w:rPr>
    </w:lvl>
    <w:lvl w:ilvl="2">
      <w:start w:val="0"/>
      <w:numFmt w:val="bullet"/>
      <w:lvlText w:val="•"/>
      <w:lvlJc w:val="left"/>
      <w:pPr>
        <w:ind w:left="4164" w:hanging="541"/>
      </w:pPr>
      <w:rPr>
        <w:rFonts w:hint="default"/>
      </w:rPr>
    </w:lvl>
    <w:lvl w:ilvl="3">
      <w:start w:val="0"/>
      <w:numFmt w:val="bullet"/>
      <w:lvlText w:val="•"/>
      <w:lvlJc w:val="left"/>
      <w:pPr>
        <w:ind w:left="5688" w:hanging="541"/>
      </w:pPr>
      <w:rPr>
        <w:rFonts w:hint="default"/>
      </w:rPr>
    </w:lvl>
    <w:lvl w:ilvl="4">
      <w:start w:val="0"/>
      <w:numFmt w:val="bullet"/>
      <w:lvlText w:val="•"/>
      <w:lvlJc w:val="left"/>
      <w:pPr>
        <w:ind w:left="7213" w:hanging="541"/>
      </w:pPr>
      <w:rPr>
        <w:rFonts w:hint="default"/>
      </w:rPr>
    </w:lvl>
    <w:lvl w:ilvl="5">
      <w:start w:val="0"/>
      <w:numFmt w:val="bullet"/>
      <w:lvlText w:val="•"/>
      <w:lvlJc w:val="left"/>
      <w:pPr>
        <w:ind w:left="8737" w:hanging="541"/>
      </w:pPr>
      <w:rPr>
        <w:rFonts w:hint="default"/>
      </w:rPr>
    </w:lvl>
    <w:lvl w:ilvl="6">
      <w:start w:val="0"/>
      <w:numFmt w:val="bullet"/>
      <w:lvlText w:val="•"/>
      <w:lvlJc w:val="left"/>
      <w:pPr>
        <w:ind w:left="10262" w:hanging="541"/>
      </w:pPr>
      <w:rPr>
        <w:rFonts w:hint="default"/>
      </w:rPr>
    </w:lvl>
    <w:lvl w:ilvl="7">
      <w:start w:val="0"/>
      <w:numFmt w:val="bullet"/>
      <w:lvlText w:val="•"/>
      <w:lvlJc w:val="left"/>
      <w:pPr>
        <w:ind w:left="11786" w:hanging="541"/>
      </w:pPr>
      <w:rPr>
        <w:rFonts w:hint="default"/>
      </w:rPr>
    </w:lvl>
    <w:lvl w:ilvl="8">
      <w:start w:val="0"/>
      <w:numFmt w:val="bullet"/>
      <w:lvlText w:val="•"/>
      <w:lvlJc w:val="left"/>
      <w:pPr>
        <w:ind w:left="13310" w:hanging="541"/>
      </w:pPr>
      <w:rPr>
        <w:rFonts w:hint="default"/>
      </w:rPr>
    </w:lvl>
  </w:abstractNum>
  <w:abstractNum w:abstractNumId="25">
    <w:nsid w:val="68E71AD7"/>
    <w:multiLevelType w:val="hybridMultilevel"/>
    <w:tmpl w:val="00000000"/>
    <w:lvl w:ilvl="0">
      <w:start w:val="1"/>
      <w:numFmt w:val="decimal"/>
      <w:lvlText w:val="（%1）"/>
      <w:lvlJc w:val="left"/>
      <w:pPr>
        <w:ind w:left="3001" w:hanging="901"/>
        <w:jc w:val="left"/>
      </w:pPr>
      <w:rPr>
        <w:rFonts w:ascii="黑体" w:eastAsia="黑体" w:hAnsi="黑体" w:cs="黑体" w:hint="default"/>
        <w:spacing w:val="-180"/>
        <w:w w:val="100"/>
        <w:sz w:val="34"/>
        <w:szCs w:val="34"/>
      </w:rPr>
    </w:lvl>
    <w:lvl w:ilvl="1">
      <w:start w:val="0"/>
      <w:numFmt w:val="bullet"/>
      <w:lvlText w:val="•"/>
      <w:lvlJc w:val="left"/>
      <w:pPr>
        <w:ind w:left="4335" w:hanging="901"/>
      </w:pPr>
      <w:rPr>
        <w:rFonts w:hint="default"/>
      </w:rPr>
    </w:lvl>
    <w:lvl w:ilvl="2">
      <w:start w:val="0"/>
      <w:numFmt w:val="bullet"/>
      <w:lvlText w:val="•"/>
      <w:lvlJc w:val="left"/>
      <w:pPr>
        <w:ind w:left="5671" w:hanging="901"/>
      </w:pPr>
      <w:rPr>
        <w:rFonts w:hint="default"/>
      </w:rPr>
    </w:lvl>
    <w:lvl w:ilvl="3">
      <w:start w:val="0"/>
      <w:numFmt w:val="bullet"/>
      <w:lvlText w:val="•"/>
      <w:lvlJc w:val="left"/>
      <w:pPr>
        <w:ind w:left="7007" w:hanging="901"/>
      </w:pPr>
      <w:rPr>
        <w:rFonts w:hint="default"/>
      </w:rPr>
    </w:lvl>
    <w:lvl w:ilvl="4">
      <w:start w:val="0"/>
      <w:numFmt w:val="bullet"/>
      <w:lvlText w:val="•"/>
      <w:lvlJc w:val="left"/>
      <w:pPr>
        <w:ind w:left="8343" w:hanging="901"/>
      </w:pPr>
      <w:rPr>
        <w:rFonts w:hint="default"/>
      </w:rPr>
    </w:lvl>
    <w:lvl w:ilvl="5">
      <w:start w:val="0"/>
      <w:numFmt w:val="bullet"/>
      <w:lvlText w:val="•"/>
      <w:lvlJc w:val="left"/>
      <w:pPr>
        <w:ind w:left="9679" w:hanging="901"/>
      </w:pPr>
      <w:rPr>
        <w:rFonts w:hint="default"/>
      </w:rPr>
    </w:lvl>
    <w:lvl w:ilvl="6">
      <w:start w:val="0"/>
      <w:numFmt w:val="bullet"/>
      <w:lvlText w:val="•"/>
      <w:lvlJc w:val="left"/>
      <w:pPr>
        <w:ind w:left="11015" w:hanging="901"/>
      </w:pPr>
      <w:rPr>
        <w:rFonts w:hint="default"/>
      </w:rPr>
    </w:lvl>
    <w:lvl w:ilvl="7">
      <w:start w:val="0"/>
      <w:numFmt w:val="bullet"/>
      <w:lvlText w:val="•"/>
      <w:lvlJc w:val="left"/>
      <w:pPr>
        <w:ind w:left="12351" w:hanging="901"/>
      </w:pPr>
      <w:rPr>
        <w:rFonts w:hint="default"/>
      </w:rPr>
    </w:lvl>
    <w:lvl w:ilvl="8">
      <w:start w:val="0"/>
      <w:numFmt w:val="bullet"/>
      <w:lvlText w:val="•"/>
      <w:lvlJc w:val="left"/>
      <w:pPr>
        <w:ind w:left="13687" w:hanging="901"/>
      </w:pPr>
      <w:rPr>
        <w:rFonts w:hint="default"/>
      </w:rPr>
    </w:lvl>
  </w:abstractNum>
  <w:abstractNum w:abstractNumId="26">
    <w:nsid w:val="6F435D8E"/>
    <w:multiLevelType w:val="hybridMultilevel"/>
    <w:tmpl w:val="00000000"/>
    <w:lvl w:ilvl="0">
      <w:start w:val="2"/>
      <w:numFmt w:val="decimal"/>
      <w:lvlText w:val="（%1）"/>
      <w:lvlJc w:val="left"/>
      <w:pPr>
        <w:ind w:left="1740" w:hanging="901"/>
        <w:jc w:val="left"/>
      </w:pPr>
      <w:rPr>
        <w:rFonts w:ascii="黑体" w:eastAsia="黑体" w:hAnsi="黑体" w:cs="黑体" w:hint="default"/>
        <w:spacing w:val="-180"/>
        <w:w w:val="100"/>
        <w:sz w:val="34"/>
        <w:szCs w:val="34"/>
      </w:rPr>
    </w:lvl>
    <w:lvl w:ilvl="1">
      <w:start w:val="1"/>
      <w:numFmt w:val="decimal"/>
      <w:lvlText w:val="(%2)"/>
      <w:lvlJc w:val="left"/>
      <w:pPr>
        <w:ind w:left="2281" w:hanging="541"/>
        <w:jc w:val="left"/>
      </w:pPr>
      <w:rPr>
        <w:rFonts w:ascii="黑体" w:eastAsia="黑体" w:hAnsi="黑体" w:cs="黑体" w:hint="default"/>
        <w:spacing w:val="-1"/>
        <w:w w:val="100"/>
        <w:sz w:val="34"/>
        <w:szCs w:val="34"/>
      </w:rPr>
    </w:lvl>
    <w:lvl w:ilvl="2">
      <w:start w:val="0"/>
      <w:numFmt w:val="bullet"/>
      <w:lvlText w:val="•"/>
      <w:lvlJc w:val="left"/>
      <w:pPr>
        <w:ind w:left="3844" w:hanging="541"/>
      </w:pPr>
      <w:rPr>
        <w:rFonts w:hint="default"/>
      </w:rPr>
    </w:lvl>
    <w:lvl w:ilvl="3">
      <w:start w:val="0"/>
      <w:numFmt w:val="bullet"/>
      <w:lvlText w:val="•"/>
      <w:lvlJc w:val="left"/>
      <w:pPr>
        <w:ind w:left="5408" w:hanging="541"/>
      </w:pPr>
      <w:rPr>
        <w:rFonts w:hint="default"/>
      </w:rPr>
    </w:lvl>
    <w:lvl w:ilvl="4">
      <w:start w:val="0"/>
      <w:numFmt w:val="bullet"/>
      <w:lvlText w:val="•"/>
      <w:lvlJc w:val="left"/>
      <w:pPr>
        <w:ind w:left="6973" w:hanging="541"/>
      </w:pPr>
      <w:rPr>
        <w:rFonts w:hint="default"/>
      </w:rPr>
    </w:lvl>
    <w:lvl w:ilvl="5">
      <w:start w:val="0"/>
      <w:numFmt w:val="bullet"/>
      <w:lvlText w:val="•"/>
      <w:lvlJc w:val="left"/>
      <w:pPr>
        <w:ind w:left="8537" w:hanging="541"/>
      </w:pPr>
      <w:rPr>
        <w:rFonts w:hint="default"/>
      </w:rPr>
    </w:lvl>
    <w:lvl w:ilvl="6">
      <w:start w:val="0"/>
      <w:numFmt w:val="bullet"/>
      <w:lvlText w:val="•"/>
      <w:lvlJc w:val="left"/>
      <w:pPr>
        <w:ind w:left="10102" w:hanging="541"/>
      </w:pPr>
      <w:rPr>
        <w:rFonts w:hint="default"/>
      </w:rPr>
    </w:lvl>
    <w:lvl w:ilvl="7">
      <w:start w:val="0"/>
      <w:numFmt w:val="bullet"/>
      <w:lvlText w:val="•"/>
      <w:lvlJc w:val="left"/>
      <w:pPr>
        <w:ind w:left="11666" w:hanging="541"/>
      </w:pPr>
      <w:rPr>
        <w:rFonts w:hint="default"/>
      </w:rPr>
    </w:lvl>
    <w:lvl w:ilvl="8">
      <w:start w:val="0"/>
      <w:numFmt w:val="bullet"/>
      <w:lvlText w:val="•"/>
      <w:lvlJc w:val="left"/>
      <w:pPr>
        <w:ind w:left="13230" w:hanging="541"/>
      </w:pPr>
      <w:rPr>
        <w:rFonts w:hint="default"/>
      </w:rPr>
    </w:lvl>
  </w:abstractNum>
  <w:abstractNum w:abstractNumId="27">
    <w:nsid w:val="71530A8B"/>
    <w:multiLevelType w:val="hybridMultilevel"/>
    <w:tmpl w:val="00000000"/>
    <w:lvl w:ilvl="0">
      <w:start w:val="1"/>
      <w:numFmt w:val="decimal"/>
      <w:lvlText w:val="（%1）"/>
      <w:lvlJc w:val="left"/>
      <w:pPr>
        <w:ind w:left="1200" w:hanging="901"/>
        <w:jc w:val="left"/>
      </w:pPr>
      <w:rPr>
        <w:rFonts w:ascii="黑体" w:eastAsia="黑体" w:hAnsi="黑体" w:cs="黑体" w:hint="default"/>
        <w:spacing w:val="-180"/>
        <w:w w:val="100"/>
        <w:sz w:val="34"/>
        <w:szCs w:val="34"/>
      </w:rPr>
    </w:lvl>
    <w:lvl w:ilvl="1">
      <w:start w:val="1"/>
      <w:numFmt w:val="decimal"/>
      <w:lvlText w:val="%2）"/>
      <w:lvlJc w:val="left"/>
      <w:pPr>
        <w:ind w:left="2648" w:hanging="549"/>
        <w:jc w:val="left"/>
      </w:pPr>
      <w:rPr>
        <w:rFonts w:ascii="黑体" w:eastAsia="黑体" w:hAnsi="黑体" w:cs="黑体" w:hint="default"/>
        <w:spacing w:val="-173"/>
        <w:w w:val="100"/>
        <w:sz w:val="34"/>
        <w:szCs w:val="34"/>
      </w:rPr>
    </w:lvl>
    <w:lvl w:ilvl="2">
      <w:start w:val="0"/>
      <w:numFmt w:val="bullet"/>
      <w:lvlText w:val="•"/>
      <w:lvlJc w:val="left"/>
      <w:pPr>
        <w:ind w:left="4164" w:hanging="549"/>
      </w:pPr>
      <w:rPr>
        <w:rFonts w:hint="default"/>
      </w:rPr>
    </w:lvl>
    <w:lvl w:ilvl="3">
      <w:start w:val="0"/>
      <w:numFmt w:val="bullet"/>
      <w:lvlText w:val="•"/>
      <w:lvlJc w:val="left"/>
      <w:pPr>
        <w:ind w:left="5688" w:hanging="549"/>
      </w:pPr>
      <w:rPr>
        <w:rFonts w:hint="default"/>
      </w:rPr>
    </w:lvl>
    <w:lvl w:ilvl="4">
      <w:start w:val="0"/>
      <w:numFmt w:val="bullet"/>
      <w:lvlText w:val="•"/>
      <w:lvlJc w:val="left"/>
      <w:pPr>
        <w:ind w:left="7213" w:hanging="549"/>
      </w:pPr>
      <w:rPr>
        <w:rFonts w:hint="default"/>
      </w:rPr>
    </w:lvl>
    <w:lvl w:ilvl="5">
      <w:start w:val="0"/>
      <w:numFmt w:val="bullet"/>
      <w:lvlText w:val="•"/>
      <w:lvlJc w:val="left"/>
      <w:pPr>
        <w:ind w:left="8737" w:hanging="549"/>
      </w:pPr>
      <w:rPr>
        <w:rFonts w:hint="default"/>
      </w:rPr>
    </w:lvl>
    <w:lvl w:ilvl="6">
      <w:start w:val="0"/>
      <w:numFmt w:val="bullet"/>
      <w:lvlText w:val="•"/>
      <w:lvlJc w:val="left"/>
      <w:pPr>
        <w:ind w:left="10262" w:hanging="549"/>
      </w:pPr>
      <w:rPr>
        <w:rFonts w:hint="default"/>
      </w:rPr>
    </w:lvl>
    <w:lvl w:ilvl="7">
      <w:start w:val="0"/>
      <w:numFmt w:val="bullet"/>
      <w:lvlText w:val="•"/>
      <w:lvlJc w:val="left"/>
      <w:pPr>
        <w:ind w:left="11786" w:hanging="549"/>
      </w:pPr>
      <w:rPr>
        <w:rFonts w:hint="default"/>
      </w:rPr>
    </w:lvl>
    <w:lvl w:ilvl="8">
      <w:start w:val="0"/>
      <w:numFmt w:val="bullet"/>
      <w:lvlText w:val="•"/>
      <w:lvlJc w:val="left"/>
      <w:pPr>
        <w:ind w:left="13310" w:hanging="549"/>
      </w:pPr>
      <w:rPr>
        <w:rFonts w:hint="default"/>
      </w:rPr>
    </w:lvl>
  </w:abstractNum>
  <w:abstractNum w:abstractNumId="28">
    <w:nsid w:val="76503A74"/>
    <w:multiLevelType w:val="hybridMultilevel"/>
    <w:tmpl w:val="00000000"/>
    <w:lvl w:ilvl="0">
      <w:start w:val="1"/>
      <w:numFmt w:val="decimal"/>
      <w:lvlText w:val="（%1）"/>
      <w:lvlJc w:val="left"/>
      <w:pPr>
        <w:ind w:left="2461" w:hanging="901"/>
        <w:jc w:val="left"/>
      </w:pPr>
      <w:rPr>
        <w:rFonts w:ascii="黑体" w:eastAsia="黑体" w:hAnsi="黑体" w:cs="黑体" w:hint="default"/>
        <w:spacing w:val="-180"/>
        <w:w w:val="100"/>
        <w:sz w:val="34"/>
        <w:szCs w:val="34"/>
      </w:rPr>
    </w:lvl>
    <w:lvl w:ilvl="1">
      <w:start w:val="1"/>
      <w:numFmt w:val="decimal"/>
      <w:lvlText w:val="（%2）"/>
      <w:lvlJc w:val="left"/>
      <w:pPr>
        <w:ind w:left="2800" w:hanging="901"/>
        <w:jc w:val="right"/>
      </w:pPr>
      <w:rPr>
        <w:rFonts w:ascii="黑体" w:eastAsia="黑体" w:hAnsi="黑体" w:cs="黑体" w:hint="default"/>
        <w:spacing w:val="-180"/>
        <w:w w:val="100"/>
        <w:sz w:val="34"/>
        <w:szCs w:val="34"/>
      </w:rPr>
    </w:lvl>
    <w:lvl w:ilvl="2">
      <w:start w:val="1"/>
      <w:numFmt w:val="decimal"/>
      <w:lvlText w:val="（%3）"/>
      <w:lvlJc w:val="left"/>
      <w:pPr>
        <w:ind w:left="1200" w:hanging="901"/>
        <w:jc w:val="left"/>
      </w:pPr>
      <w:rPr>
        <w:rFonts w:ascii="黑体" w:eastAsia="黑体" w:hAnsi="黑体" w:cs="黑体" w:hint="default"/>
        <w:spacing w:val="-180"/>
        <w:w w:val="100"/>
        <w:sz w:val="34"/>
        <w:szCs w:val="34"/>
      </w:rPr>
    </w:lvl>
    <w:lvl w:ilvl="3">
      <w:start w:val="1"/>
      <w:numFmt w:val="decimal"/>
      <w:lvlText w:val="（%4）"/>
      <w:lvlJc w:val="left"/>
      <w:pPr>
        <w:ind w:left="1200" w:hanging="901"/>
        <w:jc w:val="left"/>
      </w:pPr>
      <w:rPr>
        <w:rFonts w:ascii="黑体" w:eastAsia="黑体" w:hAnsi="黑体" w:cs="黑体" w:hint="default"/>
        <w:spacing w:val="-180"/>
        <w:w w:val="100"/>
        <w:sz w:val="34"/>
        <w:szCs w:val="34"/>
      </w:rPr>
    </w:lvl>
    <w:lvl w:ilvl="4">
      <w:start w:val="0"/>
      <w:numFmt w:val="bullet"/>
      <w:lvlText w:val="•"/>
      <w:lvlJc w:val="left"/>
      <w:pPr>
        <w:ind w:left="6189" w:hanging="901"/>
      </w:pPr>
      <w:rPr>
        <w:rFonts w:hint="default"/>
      </w:rPr>
    </w:lvl>
    <w:lvl w:ilvl="5">
      <w:start w:val="0"/>
      <w:numFmt w:val="bullet"/>
      <w:lvlText w:val="•"/>
      <w:lvlJc w:val="left"/>
      <w:pPr>
        <w:ind w:left="7884" w:hanging="901"/>
      </w:pPr>
      <w:rPr>
        <w:rFonts w:hint="default"/>
      </w:rPr>
    </w:lvl>
    <w:lvl w:ilvl="6">
      <w:start w:val="0"/>
      <w:numFmt w:val="bullet"/>
      <w:lvlText w:val="•"/>
      <w:lvlJc w:val="left"/>
      <w:pPr>
        <w:ind w:left="9579" w:hanging="901"/>
      </w:pPr>
      <w:rPr>
        <w:rFonts w:hint="default"/>
      </w:rPr>
    </w:lvl>
    <w:lvl w:ilvl="7">
      <w:start w:val="0"/>
      <w:numFmt w:val="bullet"/>
      <w:lvlText w:val="•"/>
      <w:lvlJc w:val="left"/>
      <w:pPr>
        <w:ind w:left="11274" w:hanging="901"/>
      </w:pPr>
      <w:rPr>
        <w:rFonts w:hint="default"/>
      </w:rPr>
    </w:lvl>
    <w:lvl w:ilvl="8">
      <w:start w:val="0"/>
      <w:numFmt w:val="bullet"/>
      <w:lvlText w:val="•"/>
      <w:lvlJc w:val="left"/>
      <w:pPr>
        <w:ind w:left="12969" w:hanging="901"/>
      </w:pPr>
      <w:rPr>
        <w:rFonts w:hint="default"/>
      </w:rPr>
    </w:lvl>
  </w:abstractNum>
  <w:num w:numId="1">
    <w:abstractNumId w:val="12"/>
  </w:num>
  <w:num w:numId="2">
    <w:abstractNumId w:val="8"/>
  </w:num>
  <w:num w:numId="3">
    <w:abstractNumId w:val="7"/>
  </w:num>
  <w:num w:numId="4">
    <w:abstractNumId w:val="16"/>
  </w:num>
  <w:num w:numId="5">
    <w:abstractNumId w:val="22"/>
  </w:num>
  <w:num w:numId="6">
    <w:abstractNumId w:val="18"/>
  </w:num>
  <w:num w:numId="7">
    <w:abstractNumId w:val="13"/>
  </w:num>
  <w:num w:numId="8">
    <w:abstractNumId w:val="15"/>
  </w:num>
  <w:num w:numId="9">
    <w:abstractNumId w:val="14"/>
  </w:num>
  <w:num w:numId="10">
    <w:abstractNumId w:val="24"/>
  </w:num>
  <w:num w:numId="11">
    <w:abstractNumId w:val="10"/>
  </w:num>
  <w:num w:numId="12">
    <w:abstractNumId w:val="20"/>
  </w:num>
  <w:num w:numId="13">
    <w:abstractNumId w:val="2"/>
  </w:num>
  <w:num w:numId="14">
    <w:abstractNumId w:val="26"/>
  </w:num>
  <w:num w:numId="15">
    <w:abstractNumId w:val="0"/>
  </w:num>
  <w:num w:numId="16">
    <w:abstractNumId w:val="3"/>
  </w:num>
  <w:num w:numId="17">
    <w:abstractNumId w:val="4"/>
  </w:num>
  <w:num w:numId="18">
    <w:abstractNumId w:val="5"/>
  </w:num>
  <w:num w:numId="19">
    <w:abstractNumId w:val="1"/>
  </w:num>
  <w:num w:numId="20">
    <w:abstractNumId w:val="25"/>
  </w:num>
  <w:num w:numId="21">
    <w:abstractNumId w:val="28"/>
  </w:num>
  <w:num w:numId="22">
    <w:abstractNumId w:val="19"/>
  </w:num>
  <w:num w:numId="23">
    <w:abstractNumId w:val="6"/>
  </w:num>
  <w:num w:numId="24">
    <w:abstractNumId w:val="21"/>
  </w:num>
  <w:num w:numId="25">
    <w:abstractNumId w:val="17"/>
  </w:num>
  <w:num w:numId="26">
    <w:abstractNumId w:val="23"/>
  </w:num>
  <w:num w:numId="27">
    <w:abstractNumId w:val="9"/>
  </w:num>
  <w:num w:numId="28">
    <w:abstractNumId w:val="11"/>
  </w:num>
  <w:num w:numId="29">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spacing w:line="822" w:lineRule="exact"/>
      <w:outlineLvl w:val="0"/>
    </w:pPr>
    <w:rPr>
      <w:rFonts w:ascii="黑体" w:eastAsia="黑体" w:hAnsi="黑体" w:cs="黑体"/>
      <w:b/>
      <w:bCs/>
      <w:sz w:val="66"/>
      <w:szCs w:val="66"/>
    </w:rPr>
  </w:style>
  <w:style w:type="paragraph" w:styleId="Heading2">
    <w:name w:val="heading 2"/>
    <w:basedOn w:val="Normal"/>
    <w:uiPriority w:val="1"/>
    <w:qFormat/>
    <w:pPr>
      <w:ind w:left="1200"/>
      <w:outlineLvl w:val="1"/>
    </w:pPr>
    <w:rPr>
      <w:rFonts w:ascii="黑体" w:eastAsia="黑体" w:hAnsi="黑体" w:cs="黑体"/>
      <w:b/>
      <w:bCs/>
      <w:sz w:val="45"/>
      <w:szCs w:val="4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sz w:val="36"/>
      <w:szCs w:val="36"/>
    </w:rPr>
  </w:style>
  <w:style w:type="paragraph" w:styleId="Title">
    <w:name w:val="Title"/>
    <w:basedOn w:val="Normal"/>
    <w:uiPriority w:val="1"/>
    <w:qFormat/>
    <w:pPr>
      <w:ind w:left="6957" w:right="8618"/>
      <w:jc w:val="both"/>
    </w:pPr>
    <w:rPr>
      <w:rFonts w:ascii="宋体" w:eastAsia="宋体" w:hAnsi="宋体" w:cs="宋体"/>
      <w:b/>
      <w:bCs/>
      <w:sz w:val="78"/>
      <w:szCs w:val="78"/>
    </w:rPr>
  </w:style>
  <w:style w:type="paragraph" w:styleId="ListParagraph">
    <w:name w:val="List Paragraph"/>
    <w:basedOn w:val="Normal"/>
    <w:uiPriority w:val="1"/>
    <w:qFormat/>
    <w:pPr>
      <w:spacing w:before="241"/>
      <w:ind w:left="1200" w:hanging="902"/>
    </w:pPr>
    <w:rPr>
      <w:rFonts w:ascii="黑体" w:eastAsia="黑体" w:hAnsi="黑体" w:cs="黑体"/>
    </w:rPr>
  </w:style>
  <w:style w:type="paragraph" w:customStyle="1" w:styleId="TableParagraph">
    <w:name w:val="Table Paragraph"/>
    <w:basedOn w:val="Normal"/>
    <w:uiPriority w:val="1"/>
    <w:qFormat/>
    <w:pPr>
      <w:jc w:val="center"/>
    </w:pPr>
    <w:rPr>
      <w:rFonts w:ascii="黑体" w:eastAsia="黑体" w:hAnsi="黑体" w:cs="黑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hyperlink" Target="https://d.book118.com/875002143134011111" TargetMode="Externa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2024-01-29T02:51:21Z</dcterms:created>
  <dcterms:modified xsi:type="dcterms:W3CDTF">2024-01-29T02:51:21Z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2022-11-13T00:00:00Z</vt:filetime>
  </property>
  <property fmtid="{D5CDD505-2E9C-101B-9397-08002B2CF9AE}" pid="3" name="LastSaved">
    <vt:filetime>2024-01-29T00:00:00Z</vt:filetime>
  </property>
</Properties>
</file>