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42" w:line="964" w:lineRule="exact"/>
      </w:pPr>
      <w:r>
        <w:rPr>
          <w:position w:val="-19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i1025" type="#_x0000_t202" style="width:595.35pt;height:48.25pt;mso-position-horizontal-relative:char;mso-position-vertical-relative:line" filled="t" fillcolor="#c00000" stroked="f">
            <o:lock v:ext="edit" aspectratio="f"/>
            <v:textbox inset="0,0,0,0">
              <w:txbxContent>
                <w:p>
                  <w:pPr>
                    <w:spacing w:line="251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before="91" w:line="211" w:lineRule="auto"/>
                    <w:ind w:left="1136"/>
                    <w:rPr>
                      <w:rFonts w:ascii="SimHei" w:eastAsia="SimHei" w:hAnsi="SimHei" w:cs="SimHei"/>
                      <w:sz w:val="28"/>
                      <w:szCs w:val="28"/>
                    </w:rPr>
                  </w:pPr>
                  <w:r>
                    <w:rPr>
                      <w:rFonts w:ascii="SimHei" w:eastAsia="SimHei" w:hAnsi="SimHei" w:cs="SimHei"/>
                      <w:color w:val="FFFFFF"/>
                      <w:spacing w:val="-16"/>
                      <w:sz w:val="28"/>
                      <w:szCs w:val="28"/>
                      <w14:textOutline w14:w="5094">
                        <w14:solidFill>
                          <w14:srgbClr w14:val="FFFFFF"/>
                        </w14:solidFill>
                        <w14:prstDash w14:val="solid"/>
                        <w14:round/>
                      </w14:textOutline>
                    </w:rPr>
                    <w:t>保利华南：</w:t>
                  </w:r>
                  <w:r>
                    <w:rPr>
                      <w:rFonts w:ascii="SimHei" w:eastAsia="SimHei" w:hAnsi="SimHei" w:cs="SimHei"/>
                      <w:color w:val="FFFFFF"/>
                      <w:spacing w:val="-16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color w:val="FFFFFF"/>
                      <w:spacing w:val="-16"/>
                      <w:sz w:val="28"/>
                      <w:szCs w:val="28"/>
                      <w14:textOutline w14:w="5094">
                        <w14:solidFill>
                          <w14:srgbClr w14:val="FFFFFF"/>
                        </w14:solidFill>
                        <w14:prstDash w14:val="solid"/>
                        <w14:round/>
                      </w14:textOutline>
                    </w:rPr>
                    <w:t>业绩五连冠，</w:t>
                  </w:r>
                  <w:r>
                    <w:rPr>
                      <w:rFonts w:ascii="SimHei" w:eastAsia="SimHei" w:hAnsi="SimHei" w:cs="SimHei"/>
                      <w:color w:val="FFFFFF"/>
                      <w:spacing w:val="103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color w:val="FFFFFF"/>
                      <w:spacing w:val="-16"/>
                      <w:sz w:val="28"/>
                      <w:szCs w:val="28"/>
                      <w14:textOutline w14:w="5094">
                        <w14:solidFill>
                          <w14:srgbClr w14:val="FFFFFF"/>
                        </w14:solidFill>
                        <w14:prstDash w14:val="solid"/>
                        <w14:round/>
                      </w14:textOutline>
                    </w:rPr>
                    <w:t>品质升级助力高质量发展</w:t>
                  </w:r>
                </w:p>
              </w:txbxContent>
            </v:textbox>
            <w10:wrap type="none"/>
          </v:shape>
        </w:pict>
      </w:r>
    </w:p>
    <w:p>
      <w:pPr>
        <w:spacing w:line="468" w:lineRule="auto"/>
        <w:rPr>
          <w:rFonts w:ascii="Arial"/>
          <w:sz w:val="21"/>
        </w:rPr>
      </w:pPr>
    </w:p>
    <w:p>
      <w:pPr>
        <w:pStyle w:val="BodyText"/>
        <w:spacing w:before="68" w:line="359" w:lineRule="auto"/>
        <w:ind w:left="1354" w:right="1100" w:firstLine="420"/>
      </w:pPr>
      <w:r>
        <w:rPr>
          <w:spacing w:val="-3"/>
        </w:rPr>
        <w:t>2023</w:t>
      </w:r>
      <w:r>
        <w:rPr>
          <w:spacing w:val="-37"/>
        </w:rPr>
        <w:t xml:space="preserve"> </w:t>
      </w:r>
      <w:r>
        <w:rPr>
          <w:spacing w:val="-3"/>
        </w:rPr>
        <w:t>年，</w:t>
      </w:r>
      <w:r>
        <w:rPr>
          <w:spacing w:val="-39"/>
        </w:rPr>
        <w:t xml:space="preserve"> </w:t>
      </w:r>
      <w:r>
        <w:rPr>
          <w:spacing w:val="-3"/>
        </w:rPr>
        <w:t>各级政府部门持续优化楼市政策力促房地产市场平稳运行，政策效果正在累积，市场修复</w:t>
      </w:r>
      <w:r>
        <w:t xml:space="preserve"> </w:t>
      </w:r>
      <w:r>
        <w:rPr>
          <w:spacing w:val="-5"/>
        </w:rPr>
        <w:t>正在酝酿。据中指研究院监测，</w:t>
      </w:r>
      <w:r>
        <w:rPr>
          <w:spacing w:val="-16"/>
        </w:rPr>
        <w:t xml:space="preserve"> </w:t>
      </w:r>
      <w:r>
        <w:rPr>
          <w:spacing w:val="-5"/>
        </w:rPr>
        <w:t>2023</w:t>
      </w:r>
      <w:r>
        <w:rPr>
          <w:spacing w:val="-46"/>
        </w:rPr>
        <w:t xml:space="preserve"> </w:t>
      </w:r>
      <w:r>
        <w:rPr>
          <w:spacing w:val="-5"/>
        </w:rPr>
        <w:t>年重点</w:t>
      </w:r>
      <w:r>
        <w:rPr>
          <w:spacing w:val="-28"/>
        </w:rPr>
        <w:t xml:space="preserve"> </w:t>
      </w:r>
      <w:r>
        <w:rPr>
          <w:spacing w:val="-5"/>
        </w:rPr>
        <w:t>100</w:t>
      </w:r>
      <w:r>
        <w:rPr>
          <w:spacing w:val="-44"/>
        </w:rPr>
        <w:t xml:space="preserve"> </w:t>
      </w:r>
      <w:r>
        <w:rPr>
          <w:spacing w:val="-5"/>
        </w:rPr>
        <w:t>城新建商品住宅销售面积同比下降约</w:t>
      </w:r>
      <w:r>
        <w:rPr>
          <w:spacing w:val="-42"/>
        </w:rPr>
        <w:t xml:space="preserve"> </w:t>
      </w:r>
      <w:r>
        <w:rPr>
          <w:spacing w:val="-5"/>
        </w:rPr>
        <w:t>6%，改善性住房需</w:t>
      </w:r>
      <w:r>
        <w:t xml:space="preserve"> </w:t>
      </w:r>
      <w:r>
        <w:rPr>
          <w:spacing w:val="-2"/>
        </w:rPr>
        <w:t>求仍为新房市场关键支撑。中央经济工作会议明确指出， 必须把坚</w:t>
      </w:r>
      <w:r>
        <w:rPr>
          <w:spacing w:val="-3"/>
        </w:rPr>
        <w:t>持高质量发展作为新时代的硬道理。</w:t>
      </w:r>
    </w:p>
    <w:p>
      <w:pPr>
        <w:pStyle w:val="BodyText"/>
        <w:spacing w:line="219" w:lineRule="auto"/>
        <w:ind w:left="1352"/>
      </w:pPr>
      <w:r>
        <w:t>全国住房城乡建设工作会议明确</w:t>
      </w:r>
      <w:r>
        <w:rPr>
          <w:spacing w:val="-42"/>
        </w:rPr>
        <w:t xml:space="preserve"> </w:t>
      </w:r>
      <w:r>
        <w:t>2024</w:t>
      </w:r>
      <w:r>
        <w:rPr>
          <w:spacing w:val="-43"/>
        </w:rPr>
        <w:t xml:space="preserve"> </w:t>
      </w:r>
      <w:r>
        <w:t>年重点任</w:t>
      </w:r>
      <w:r>
        <w:rPr>
          <w:spacing w:val="-1"/>
        </w:rPr>
        <w:t>务，推动住房城乡建设事业高质量发展再上新台阶。</w:t>
      </w:r>
    </w:p>
    <w:p>
      <w:pPr>
        <w:spacing w:line="242" w:lineRule="auto"/>
        <w:rPr>
          <w:rFonts w:ascii="Arial"/>
          <w:sz w:val="21"/>
        </w:rPr>
      </w:pPr>
    </w:p>
    <w:p>
      <w:pPr>
        <w:pStyle w:val="BodyText"/>
        <w:spacing w:before="68" w:line="360" w:lineRule="auto"/>
        <w:ind w:left="1353" w:right="1102" w:firstLine="432"/>
        <w:jc w:val="both"/>
      </w:pPr>
      <w:r>
        <w:rPr>
          <w:spacing w:val="-5"/>
        </w:rPr>
        <w:t>当前， 房地产市场供求关系发生重大变化， 房地产行业在连续多年高速增长后“有没有”的问题基</w:t>
      </w:r>
      <w:r>
        <w:rPr>
          <w:spacing w:val="2"/>
        </w:rPr>
        <w:t xml:space="preserve"> </w:t>
      </w:r>
      <w:r>
        <w:rPr>
          <w:spacing w:val="-2"/>
        </w:rPr>
        <w:t>本得到解决，但结构性不足问题仍然存在。整体来看，房地产行业发</w:t>
      </w:r>
      <w:r>
        <w:rPr>
          <w:spacing w:val="-3"/>
        </w:rPr>
        <w:t>展有较强的现实和政策支撑， 目前</w:t>
      </w:r>
      <w:r>
        <w:t xml:space="preserve"> </w:t>
      </w:r>
      <w:r>
        <w:t>需要构建新的发展模式，满足高质量发展阶段的新要求。部分房企主动适应新形势，轻重并举迈向</w:t>
      </w:r>
      <w:r>
        <w:rPr>
          <w:spacing w:val="-1"/>
        </w:rPr>
        <w:t>高质</w:t>
      </w:r>
    </w:p>
    <w:p>
      <w:pPr>
        <w:pStyle w:val="BodyText"/>
        <w:spacing w:before="1" w:line="221" w:lineRule="auto"/>
        <w:ind w:left="1352"/>
      </w:pPr>
      <w:r>
        <w:rPr>
          <w:spacing w:val="-2"/>
        </w:rPr>
        <w:t>量发展。</w:t>
      </w:r>
    </w:p>
    <w:p>
      <w:pPr>
        <w:spacing w:line="243" w:lineRule="auto"/>
        <w:rPr>
          <w:rFonts w:ascii="Arial"/>
          <w:sz w:val="21"/>
        </w:rPr>
      </w:pPr>
    </w:p>
    <w:p>
      <w:pPr>
        <w:pStyle w:val="BodyText"/>
        <w:spacing w:before="68" w:line="359" w:lineRule="auto"/>
        <w:ind w:left="1353" w:right="1099" w:firstLine="418"/>
      </w:pPr>
      <w:r>
        <w:rPr>
          <w:spacing w:val="-1"/>
        </w:rPr>
        <w:t>据中指研究院监测，2023</w:t>
      </w:r>
      <w:r>
        <w:rPr>
          <w:spacing w:val="-45"/>
        </w:rPr>
        <w:t xml:space="preserve"> </w:t>
      </w:r>
      <w:r>
        <w:rPr>
          <w:spacing w:val="-1"/>
        </w:rPr>
        <w:t>年保利发展全口径销售额全年稳居行业第一，</w:t>
      </w:r>
      <w:r>
        <w:rPr>
          <w:spacing w:val="-2"/>
        </w:rPr>
        <w:t>领先地位稳固。在做强做优</w:t>
      </w:r>
      <w:r>
        <w:t xml:space="preserve"> </w:t>
      </w:r>
      <w:r>
        <w:rPr>
          <w:spacing w:val="-2"/>
        </w:rPr>
        <w:t>开发主业的同时， 保利发展围绕美好生活服务和产业金融服务布局</w:t>
      </w:r>
      <w:r>
        <w:rPr>
          <w:spacing w:val="-3"/>
        </w:rPr>
        <w:t>相关业务，打造具有卓越竞争力的不</w:t>
      </w:r>
      <w:r>
        <w:t xml:space="preserve"> </w:t>
      </w:r>
      <w:r>
        <w:rPr>
          <w:spacing w:val="-2"/>
        </w:rPr>
        <w:t>动产生态平台。中指研究院于</w:t>
      </w:r>
      <w:r>
        <w:rPr>
          <w:spacing w:val="-19"/>
        </w:rPr>
        <w:t xml:space="preserve"> </w:t>
      </w:r>
      <w:r>
        <w:rPr>
          <w:spacing w:val="-2"/>
        </w:rPr>
        <w:t>2023</w:t>
      </w:r>
      <w:r>
        <w:rPr>
          <w:spacing w:val="-26"/>
        </w:rPr>
        <w:t xml:space="preserve"> </w:t>
      </w:r>
      <w:r>
        <w:rPr>
          <w:spacing w:val="-2"/>
        </w:rPr>
        <w:t>年 12</w:t>
      </w:r>
      <w:r>
        <w:rPr>
          <w:spacing w:val="-22"/>
        </w:rPr>
        <w:t xml:space="preserve"> </w:t>
      </w:r>
      <w:r>
        <w:rPr>
          <w:spacing w:val="-2"/>
        </w:rPr>
        <w:t>月发布粤港澳大湾区房地产</w:t>
      </w:r>
      <w:r>
        <w:rPr>
          <w:spacing w:val="-23"/>
        </w:rPr>
        <w:t xml:space="preserve"> </w:t>
      </w:r>
      <w:r>
        <w:rPr>
          <w:spacing w:val="-2"/>
        </w:rPr>
        <w:t>30</w:t>
      </w:r>
      <w:r>
        <w:rPr>
          <w:spacing w:val="-22"/>
        </w:rPr>
        <w:t xml:space="preserve"> </w:t>
      </w:r>
      <w:r>
        <w:rPr>
          <w:spacing w:val="-2"/>
        </w:rPr>
        <w:t>强企业与中国房地产交付力优</w:t>
      </w:r>
      <w:r>
        <w:t xml:space="preserve"> </w:t>
      </w:r>
      <w:r>
        <w:rPr>
          <w:spacing w:val="-2"/>
        </w:rPr>
        <w:t>秀企业，保利发展均位居榜首。作为保利发展重要的区域平台之一，</w:t>
      </w:r>
      <w:r>
        <w:rPr>
          <w:spacing w:val="-3"/>
        </w:rPr>
        <w:t>保利华南坚持区域深耕， 不断迭代</w:t>
      </w:r>
      <w:r>
        <w:t xml:space="preserve"> </w:t>
      </w:r>
      <w:r>
        <w:rPr>
          <w:spacing w:val="-6"/>
        </w:rPr>
        <w:t>升级产品与服务， 推出“三好五力”价值体系，</w:t>
      </w:r>
      <w:r>
        <w:rPr>
          <w:spacing w:val="-24"/>
        </w:rPr>
        <w:t xml:space="preserve"> </w:t>
      </w:r>
      <w:r>
        <w:rPr>
          <w:spacing w:val="-6"/>
        </w:rPr>
        <w:t>将“保交付”升级为“优交付”</w:t>
      </w:r>
      <w:r>
        <w:rPr>
          <w:spacing w:val="-7"/>
        </w:rPr>
        <w:t>， 助力业绩持续领先，</w:t>
      </w:r>
    </w:p>
    <w:p>
      <w:pPr>
        <w:pStyle w:val="BodyText"/>
        <w:spacing w:before="1" w:line="220" w:lineRule="auto"/>
        <w:ind w:left="1355"/>
      </w:pPr>
      <w:r>
        <w:rPr>
          <w:spacing w:val="-1"/>
        </w:rPr>
        <w:t>走高质量发展道路。</w:t>
      </w:r>
    </w:p>
    <w:p>
      <w:pPr>
        <w:spacing w:line="242" w:lineRule="auto"/>
        <w:rPr>
          <w:rFonts w:ascii="Arial"/>
          <w:sz w:val="21"/>
        </w:rPr>
      </w:pPr>
    </w:p>
    <w:p>
      <w:pPr>
        <w:pStyle w:val="BodyText"/>
        <w:spacing w:before="69" w:line="221" w:lineRule="auto"/>
        <w:ind w:left="1774"/>
      </w:pPr>
      <w:r>
        <w:rPr>
          <w:spacing w:val="-5"/>
          <w14:textOutline w14:w="3831">
            <w14:solidFill>
              <w14:srgbClr w14:val="000000"/>
            </w14:solidFill>
            <w14:prstDash w14:val="solid"/>
            <w14:round/>
          </w14:textOutline>
        </w:rPr>
        <w:t>业绩区域持续领先，</w:t>
      </w:r>
      <w:r>
        <w:rPr>
          <w:spacing w:val="-5"/>
        </w:rPr>
        <w:t xml:space="preserve"> </w:t>
      </w:r>
      <w:r>
        <w:rPr>
          <w:spacing w:val="-5"/>
          <w14:textOutline w14:w="3831">
            <w14:solidFill>
              <w14:srgbClr w14:val="000000"/>
            </w14:solidFill>
            <w14:prstDash w14:val="solid"/>
            <w14:round/>
          </w14:textOutline>
        </w:rPr>
        <w:t>稳健投资彰显央企实力</w:t>
      </w:r>
    </w:p>
    <w:p>
      <w:pPr>
        <w:spacing w:line="245" w:lineRule="auto"/>
        <w:rPr>
          <w:rFonts w:ascii="Arial"/>
          <w:sz w:val="21"/>
        </w:rPr>
      </w:pPr>
    </w:p>
    <w:p>
      <w:pPr>
        <w:pStyle w:val="BodyText"/>
        <w:spacing w:before="68" w:line="359" w:lineRule="auto"/>
        <w:ind w:left="1352" w:right="1101" w:firstLine="420"/>
        <w:jc w:val="both"/>
      </w:pPr>
      <w:r>
        <w:t xml:space="preserve">保利发展取得行业领先地位益于各区域公司的业绩贡献。其中，保利华南是保利发展业绩突出的主 </w:t>
      </w:r>
      <w:r>
        <w:rPr>
          <w:spacing w:val="-3"/>
        </w:rPr>
        <w:t>要贡献者之一。保利华南在进驻的七城里面销售额均位居</w:t>
      </w:r>
      <w:r>
        <w:rPr>
          <w:spacing w:val="-47"/>
        </w:rPr>
        <w:t xml:space="preserve"> </w:t>
      </w:r>
      <w:r>
        <w:rPr>
          <w:spacing w:val="-3"/>
        </w:rPr>
        <w:t>TOP1</w:t>
      </w:r>
      <w:r>
        <w:rPr>
          <w:spacing w:val="-4"/>
        </w:rPr>
        <w:t>0，其中在佛山、肇庆、茂名位列第一，在</w:t>
      </w:r>
      <w:r>
        <w:t xml:space="preserve"> </w:t>
      </w:r>
      <w:r>
        <w:rPr>
          <w:spacing w:val="-3"/>
        </w:rPr>
        <w:t>清远、韶关位列第二。据中指研究院监测，自</w:t>
      </w:r>
      <w:r>
        <w:rPr>
          <w:spacing w:val="-23"/>
        </w:rPr>
        <w:t xml:space="preserve"> </w:t>
      </w:r>
      <w:r>
        <w:rPr>
          <w:spacing w:val="-3"/>
        </w:rPr>
        <w:t>2019</w:t>
      </w:r>
      <w:r>
        <w:rPr>
          <w:spacing w:val="-46"/>
        </w:rPr>
        <w:t xml:space="preserve"> </w:t>
      </w:r>
      <w:r>
        <w:rPr>
          <w:spacing w:val="-3"/>
        </w:rPr>
        <w:t>年首登佛山全口径销售金额榜首以来，保利华南已连</w:t>
      </w:r>
    </w:p>
    <w:p>
      <w:pPr>
        <w:pStyle w:val="BodyText"/>
        <w:spacing w:before="1" w:line="219" w:lineRule="auto"/>
        <w:ind w:left="1355"/>
      </w:pPr>
      <w:r>
        <w:rPr>
          <w:spacing w:val="-1"/>
        </w:rPr>
        <w:t>续五年霸榜第一，市场领先地位明显。</w:t>
      </w:r>
    </w:p>
    <w:p>
      <w:pPr>
        <w:spacing w:line="219" w:lineRule="auto"/>
        <w:sectPr>
          <w:headerReference w:type="default" r:id="rId4"/>
          <w:footerReference w:type="default" r:id="rId5"/>
          <w:pgSz w:w="11907" w:h="16839"/>
          <w:pgMar w:top="1214" w:right="0" w:bottom="760" w:left="0" w:header="567" w:footer="494" w:gutter="0"/>
          <w:cols w:space="708"/>
        </w:sectPr>
      </w:pPr>
    </w:p>
    <w:p>
      <w:pPr>
        <w:spacing w:line="319" w:lineRule="auto"/>
        <w:rPr>
          <w:rFonts w:ascii="Arial"/>
          <w:sz w:val="21"/>
        </w:rPr>
      </w:pPr>
    </w:p>
    <w:p>
      <w:pPr>
        <w:spacing w:before="77" w:line="193" w:lineRule="auto"/>
        <w:ind w:left="2394"/>
        <w:rPr>
          <w:rFonts w:ascii="Microsoft YaHei" w:eastAsia="Microsoft YaHei" w:hAnsi="Microsoft YaHei" w:cs="Microsoft YaHei"/>
          <w:sz w:val="18"/>
          <w:szCs w:val="18"/>
        </w:rPr>
      </w:pPr>
      <w:r>
        <w:rPr>
          <w:rFonts w:ascii="Microsoft YaHei" w:eastAsia="Microsoft YaHei" w:hAnsi="Microsoft YaHei" w:cs="Microsoft YaHei"/>
          <w:b/>
          <w:bCs/>
          <w:spacing w:val="-1"/>
          <w:sz w:val="18"/>
          <w:szCs w:val="18"/>
        </w:rPr>
        <w:t>图：保利华南领跑 2019-2023 年佛山房地产企业销售业绩</w:t>
      </w:r>
    </w:p>
    <w:p>
      <w:pPr>
        <w:spacing w:line="291" w:lineRule="auto"/>
        <w:rPr>
          <w:rFonts w:ascii="Arial"/>
          <w:sz w:val="21"/>
        </w:rPr>
      </w:pPr>
    </w:p>
    <w:p>
      <w:pPr>
        <w:spacing w:line="4175" w:lineRule="exact"/>
        <w:ind w:firstLine="1109"/>
      </w:pPr>
      <w:r>
        <w:rPr>
          <w:position w:val="-83"/>
        </w:rPr>
        <w:drawing>
          <wp:inline distT="0" distB="0" distL="0" distR="0">
            <wp:extent cx="4565015" cy="2651125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65015" cy="265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08" w:lineRule="auto"/>
        <w:rPr>
          <w:rFonts w:ascii="Arial"/>
          <w:sz w:val="21"/>
        </w:rPr>
      </w:pPr>
    </w:p>
    <w:p>
      <w:pPr>
        <w:spacing w:line="3936" w:lineRule="exact"/>
        <w:ind w:firstLine="1112"/>
      </w:pPr>
      <w:r>
        <w:rPr>
          <w:position w:val="-78"/>
        </w:rPr>
        <w:drawing>
          <wp:inline distT="0" distB="0" distL="0" distR="0">
            <wp:extent cx="4569332" cy="249936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69332" cy="249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08" w:lineRule="auto"/>
        <w:rPr>
          <w:rFonts w:ascii="Arial"/>
          <w:sz w:val="21"/>
        </w:rPr>
        <w:sectPr>
          <w:headerReference w:type="default" r:id="rId8"/>
          <w:footerReference w:type="default" r:id="rId9"/>
          <w:pgSz w:w="11907" w:h="16839"/>
          <w:pgMar w:top="1376" w:right="1032" w:bottom="885" w:left="1360" w:header="579" w:footer="425" w:gutter="0"/>
          <w:pgNumType w:start="2"/>
          <w:cols w:space="708"/>
        </w:sectPr>
      </w:pPr>
    </w:p>
    <w:p>
      <w:pPr>
        <w:spacing w:line="4499" w:lineRule="exact"/>
        <w:ind w:firstLine="1286"/>
      </w:pPr>
      <w:r>
        <w:rPr>
          <w:position w:val="-89"/>
        </w:rPr>
        <w:drawing>
          <wp:inline distT="0" distB="0" distL="0" distR="0">
            <wp:extent cx="4350384" cy="2857119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50384" cy="2857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499" w:lineRule="exact"/>
      </w:pPr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1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https://d.book118.com/875002240014011041</w:t>
        </w:r>
      </w:hyperlink>
    </w:p>
    <w:p>
      <w:pPr>
        <w:spacing w:line="4499" w:lineRule="exact"/>
      </w:pPr>
    </w:p>
    <w:sectPr>
      <w:headerReference w:type="default" r:id="rId12"/>
      <w:footerReference w:type="default" r:id="rId13"/>
      <w:type w:val="nextPage"/>
      <w:pgSz w:w="11907" w:h="16839"/>
      <w:pgMar w:top="1376" w:right="1032" w:bottom="885" w:left="1360" w:header="579" w:footer="425" w:gutter="0"/>
      <w:pgNumType w:start="3"/>
      <w:cols w:space="708"/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after="15" w:line="74" w:lineRule="exact"/>
      <w:ind w:firstLine="1345"/>
    </w:pPr>
    <w:r>
      <w:rPr>
        <w:position w:val="-1"/>
      </w:rPr>
      <w:pict>
        <v:shape id="_x0000_i2050" style="width:472.2pt;height:3.75pt;mso-position-horizontal-relative:char;mso-position-vertical-relative:line" coordorigin="0,0" coordsize="9444,75" path="m,22l9443,52e" filled="f" strokecolor="#c00000" strokeweight="2.25pt">
          <w10:wrap type="none"/>
        </v:shape>
      </w:pict>
    </w:r>
  </w:p>
  <w:p>
    <w:pPr>
      <w:spacing w:line="203" w:lineRule="auto"/>
      <w:ind w:left="1360"/>
      <w:rPr>
        <w:rFonts w:ascii="KaiTi" w:eastAsia="KaiTi" w:hAnsi="KaiTi" w:cs="KaiTi"/>
        <w:sz w:val="15"/>
        <w:szCs w:val="15"/>
      </w:rPr>
    </w:pPr>
    <w:r>
      <w:rPr>
        <w:rFonts w:ascii="KaiTi" w:eastAsia="KaiTi" w:hAnsi="KaiTi" w:cs="KaiTi"/>
        <w:spacing w:val="-1"/>
        <w:sz w:val="15"/>
        <w:szCs w:val="15"/>
        <w14:textOutline w14:w="2743">
          <w14:solidFill>
            <w14:srgbClr w14:val="000000"/>
          </w14:solidFill>
          <w14:prstDash w14:val="solid"/>
          <w14:miter w14:lim="10"/>
        </w14:textOutline>
      </w:rPr>
      <w:t>本报告数据来自</w:t>
    </w:r>
    <w:r>
      <w:rPr>
        <w:rFonts w:ascii="KaiTi" w:eastAsia="KaiTi" w:hAnsi="KaiTi" w:cs="KaiTi"/>
        <w:spacing w:val="-27"/>
        <w:sz w:val="15"/>
        <w:szCs w:val="15"/>
      </w:rPr>
      <w:t xml:space="preserve"> </w:t>
    </w:r>
    <w:r>
      <w:rPr>
        <w:rFonts w:ascii="Arial" w:eastAsia="Arial" w:hAnsi="Arial" w:cs="Arial"/>
        <w:b/>
        <w:bCs/>
        <w:spacing w:val="-1"/>
        <w:sz w:val="15"/>
        <w:szCs w:val="15"/>
      </w:rPr>
      <w:t>CREIS</w:t>
    </w:r>
    <w:r>
      <w:rPr>
        <w:rFonts w:ascii="Arial" w:eastAsia="Arial" w:hAnsi="Arial" w:cs="Arial"/>
        <w:b/>
        <w:bCs/>
        <w:spacing w:val="16"/>
        <w:sz w:val="15"/>
        <w:szCs w:val="15"/>
      </w:rPr>
      <w:t xml:space="preserve"> </w:t>
    </w:r>
    <w:r>
      <w:rPr>
        <w:rFonts w:ascii="KaiTi" w:eastAsia="KaiTi" w:hAnsi="KaiTi" w:cs="KaiTi"/>
        <w:spacing w:val="-1"/>
        <w:sz w:val="15"/>
        <w:szCs w:val="15"/>
        <w14:textOutline w14:w="2743">
          <w14:solidFill>
            <w14:srgbClr w14:val="000000"/>
          </w14:solidFill>
          <w14:prstDash w14:val="solid"/>
          <w14:miter w14:lim="10"/>
        </w14:textOutline>
      </w:rPr>
      <w:t>中指数据。详情请查询</w:t>
    </w:r>
    <w:r>
      <w:rPr>
        <w:rFonts w:ascii="KaiTi" w:eastAsia="KaiTi" w:hAnsi="KaiTi" w:cs="KaiTi"/>
        <w:spacing w:val="-23"/>
        <w:sz w:val="15"/>
        <w:szCs w:val="15"/>
      </w:rPr>
      <w:t xml:space="preserve"> </w:t>
    </w:r>
    <w:hyperlink r:id="rId1" w:history="1">
      <w:r>
        <w:rPr>
          <w:rFonts w:ascii="Arial" w:eastAsia="Arial" w:hAnsi="Arial" w:cs="Arial"/>
          <w:b/>
          <w:bCs/>
          <w:spacing w:val="-1"/>
          <w:sz w:val="15"/>
          <w:szCs w:val="15"/>
        </w:rPr>
        <w:t>https://www.cih-index.com</w:t>
      </w:r>
    </w:hyperlink>
    <w:r>
      <w:rPr>
        <w:rFonts w:ascii="Arial" w:eastAsia="Arial" w:hAnsi="Arial" w:cs="Arial"/>
        <w:b/>
        <w:bCs/>
        <w:spacing w:val="-1"/>
        <w:sz w:val="15"/>
        <w:szCs w:val="15"/>
      </w:rPr>
      <w:t xml:space="preserve">  </w:t>
    </w:r>
    <w:r>
      <w:rPr>
        <w:rFonts w:ascii="KaiTi" w:eastAsia="KaiTi" w:hAnsi="KaiTi" w:cs="KaiTi"/>
        <w:spacing w:val="-1"/>
        <w:sz w:val="15"/>
        <w:szCs w:val="15"/>
        <w14:textOutline w14:w="2743">
          <w14:solidFill>
            <w14:srgbClr w14:val="000000"/>
          </w14:solidFill>
          <w14:prstDash w14:val="solid"/>
          <w14:miter w14:lim="10"/>
        </w14:textOutline>
      </w:rPr>
      <w:t>或致电</w:t>
    </w:r>
    <w:r>
      <w:rPr>
        <w:rFonts w:ascii="KaiTi" w:eastAsia="KaiTi" w:hAnsi="KaiTi" w:cs="KaiTi"/>
        <w:spacing w:val="-28"/>
        <w:sz w:val="15"/>
        <w:szCs w:val="15"/>
      </w:rPr>
      <w:t xml:space="preserve"> </w:t>
    </w:r>
    <w:r>
      <w:rPr>
        <w:rFonts w:ascii="Arial" w:eastAsia="Arial" w:hAnsi="Arial" w:cs="Arial"/>
        <w:b/>
        <w:bCs/>
        <w:spacing w:val="-1"/>
        <w:sz w:val="15"/>
        <w:szCs w:val="15"/>
      </w:rPr>
      <w:t>010-5631922</w:t>
    </w:r>
    <w:r>
      <w:rPr>
        <w:rFonts w:ascii="Arial" w:eastAsia="Arial" w:hAnsi="Arial" w:cs="Arial"/>
        <w:b/>
        <w:bCs/>
        <w:spacing w:val="-2"/>
        <w:sz w:val="15"/>
        <w:szCs w:val="15"/>
      </w:rPr>
      <w:t>4</w:t>
    </w:r>
    <w:r>
      <w:rPr>
        <w:rFonts w:ascii="KaiTi" w:eastAsia="KaiTi" w:hAnsi="KaiTi" w:cs="KaiTi"/>
        <w:color w:val="244061"/>
        <w:spacing w:val="-2"/>
        <w:sz w:val="15"/>
        <w:szCs w:val="15"/>
        <w14:textOutline w14:w="2743">
          <w14:solidFill>
            <w14:srgbClr w14:val="244061"/>
          </w14:solidFill>
          <w14:prstDash w14:val="solid"/>
          <w14:miter w14:lim="10"/>
        </w14:textOutline>
      </w:rPr>
      <w:t>。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after="210" w:line="74" w:lineRule="exact"/>
      <w:ind w:firstLine="13"/>
    </w:pPr>
    <w:r>
      <w:rPr>
        <w:position w:val="-1"/>
      </w:rPr>
      <w:pict>
        <v:shape id="_x0000_i2053" style="width:472.2pt;height:3.75pt;mso-position-horizontal-relative:char;mso-position-vertical-relative:line" coordorigin="0,0" coordsize="9444,75" path="m,22l9443,52e" filled="f" strokecolor="#c00000" strokeweight="2.25pt">
          <w10:wrap type="none"/>
        </v:shape>
      </w:pict>
    </w:r>
  </w:p>
  <w:p>
    <w:pPr>
      <w:spacing w:line="203" w:lineRule="auto"/>
      <w:rPr>
        <w:rFonts w:ascii="KaiTi" w:eastAsia="KaiTi" w:hAnsi="KaiTi" w:cs="KaiTi"/>
        <w:sz w:val="15"/>
        <w:szCs w:val="15"/>
      </w:rPr>
    </w:pPr>
    <w:r>
      <w:rPr>
        <w:rFonts w:ascii="KaiTi" w:eastAsia="KaiTi" w:hAnsi="KaiTi" w:cs="KaiTi"/>
        <w:color w:val="244061"/>
        <w:spacing w:val="-1"/>
        <w:sz w:val="15"/>
        <w:szCs w:val="15"/>
        <w14:textOutline w14:w="2743">
          <w14:solidFill>
            <w14:srgbClr w14:val="244061"/>
          </w14:solidFill>
          <w14:prstDash w14:val="solid"/>
          <w14:miter w14:lim="10"/>
        </w14:textOutline>
      </w:rPr>
      <w:t>本报告数据来自</w:t>
    </w:r>
    <w:r>
      <w:rPr>
        <w:rFonts w:ascii="KaiTi" w:eastAsia="KaiTi" w:hAnsi="KaiTi" w:cs="KaiTi"/>
        <w:color w:val="244061"/>
        <w:spacing w:val="-27"/>
        <w:sz w:val="15"/>
        <w:szCs w:val="15"/>
      </w:rPr>
      <w:t xml:space="preserve"> </w:t>
    </w:r>
    <w:r>
      <w:rPr>
        <w:rFonts w:ascii="Arial" w:eastAsia="Arial" w:hAnsi="Arial" w:cs="Arial"/>
        <w:b/>
        <w:bCs/>
        <w:color w:val="244061"/>
        <w:spacing w:val="-1"/>
        <w:sz w:val="15"/>
        <w:szCs w:val="15"/>
      </w:rPr>
      <w:t>CREIS</w:t>
    </w:r>
    <w:r>
      <w:rPr>
        <w:rFonts w:ascii="Arial" w:eastAsia="Arial" w:hAnsi="Arial" w:cs="Arial"/>
        <w:b/>
        <w:bCs/>
        <w:color w:val="244061"/>
        <w:spacing w:val="15"/>
        <w:w w:val="101"/>
        <w:sz w:val="15"/>
        <w:szCs w:val="15"/>
      </w:rPr>
      <w:t xml:space="preserve"> </w:t>
    </w:r>
    <w:r>
      <w:rPr>
        <w:rFonts w:ascii="KaiTi" w:eastAsia="KaiTi" w:hAnsi="KaiTi" w:cs="KaiTi"/>
        <w:color w:val="244061"/>
        <w:spacing w:val="-1"/>
        <w:sz w:val="15"/>
        <w:szCs w:val="15"/>
        <w14:textOutline w14:w="2743">
          <w14:solidFill>
            <w14:srgbClr w14:val="244061"/>
          </w14:solidFill>
          <w14:prstDash w14:val="solid"/>
          <w14:miter w14:lim="10"/>
        </w14:textOutline>
      </w:rPr>
      <w:t>中指数据、中房指数系统。详情请查询</w:t>
    </w:r>
    <w:r>
      <w:rPr>
        <w:rFonts w:ascii="KaiTi" w:eastAsia="KaiTi" w:hAnsi="KaiTi" w:cs="KaiTi"/>
        <w:color w:val="244061"/>
        <w:spacing w:val="-23"/>
        <w:sz w:val="15"/>
        <w:szCs w:val="15"/>
      </w:rPr>
      <w:t xml:space="preserve"> </w:t>
    </w:r>
    <w:hyperlink r:id="rId1" w:history="1">
      <w:r>
        <w:rPr>
          <w:rFonts w:ascii="Arial" w:eastAsia="Arial" w:hAnsi="Arial" w:cs="Arial"/>
          <w:b/>
          <w:bCs/>
          <w:color w:val="244061"/>
          <w:spacing w:val="-1"/>
          <w:sz w:val="15"/>
          <w:szCs w:val="15"/>
        </w:rPr>
        <w:t>https://www.cih-index.com</w:t>
      </w:r>
    </w:hyperlink>
    <w:r>
      <w:rPr>
        <w:rFonts w:ascii="Arial" w:eastAsia="Arial" w:hAnsi="Arial" w:cs="Arial"/>
        <w:b/>
        <w:bCs/>
        <w:color w:val="244061"/>
        <w:spacing w:val="-2"/>
        <w:sz w:val="15"/>
        <w:szCs w:val="15"/>
      </w:rPr>
      <w:t xml:space="preserve">  </w:t>
    </w:r>
    <w:r>
      <w:rPr>
        <w:rFonts w:ascii="KaiTi" w:eastAsia="KaiTi" w:hAnsi="KaiTi" w:cs="KaiTi"/>
        <w:color w:val="244061"/>
        <w:spacing w:val="-2"/>
        <w:sz w:val="15"/>
        <w:szCs w:val="15"/>
        <w14:textOutline w14:w="2743">
          <w14:solidFill>
            <w14:srgbClr w14:val="244061"/>
          </w14:solidFill>
          <w14:prstDash w14:val="solid"/>
          <w14:miter w14:lim="10"/>
        </w14:textOutline>
      </w:rPr>
      <w:t>或致电</w:t>
    </w:r>
    <w:r>
      <w:rPr>
        <w:rFonts w:ascii="KaiTi" w:eastAsia="KaiTi" w:hAnsi="KaiTi" w:cs="KaiTi"/>
        <w:color w:val="244061"/>
        <w:spacing w:val="-31"/>
        <w:sz w:val="15"/>
        <w:szCs w:val="15"/>
      </w:rPr>
      <w:t xml:space="preserve"> </w:t>
    </w:r>
    <w:r>
      <w:rPr>
        <w:rFonts w:ascii="Arial" w:eastAsia="Arial" w:hAnsi="Arial" w:cs="Arial"/>
        <w:b/>
        <w:bCs/>
        <w:color w:val="244061"/>
        <w:spacing w:val="-2"/>
        <w:sz w:val="15"/>
        <w:szCs w:val="15"/>
      </w:rPr>
      <w:t>400-630-1230</w:t>
    </w:r>
    <w:r>
      <w:rPr>
        <w:rFonts w:ascii="KaiTi" w:eastAsia="KaiTi" w:hAnsi="KaiTi" w:cs="KaiTi"/>
        <w:color w:val="244061"/>
        <w:spacing w:val="-2"/>
        <w:sz w:val="15"/>
        <w:szCs w:val="15"/>
        <w14:textOutline w14:w="2743">
          <w14:solidFill>
            <w14:srgbClr w14:val="244061"/>
          </w14:solidFill>
          <w14:prstDash w14:val="solid"/>
          <w14:miter w14:lim="10"/>
        </w14:textOutline>
      </w:rPr>
      <w:t>、</w:t>
    </w:r>
    <w:r>
      <w:rPr>
        <w:rFonts w:ascii="Arial" w:eastAsia="Arial" w:hAnsi="Arial" w:cs="Arial"/>
        <w:b/>
        <w:bCs/>
        <w:color w:val="244061"/>
        <w:spacing w:val="-2"/>
        <w:sz w:val="15"/>
        <w:szCs w:val="15"/>
      </w:rPr>
      <w:t>010-56319253</w:t>
    </w:r>
    <w:r>
      <w:rPr>
        <w:rFonts w:ascii="KaiTi" w:eastAsia="KaiTi" w:hAnsi="KaiTi" w:cs="KaiTi"/>
        <w:color w:val="244061"/>
        <w:spacing w:val="-2"/>
        <w:sz w:val="15"/>
        <w:szCs w:val="15"/>
        <w14:textOutline w14:w="2743">
          <w14:solidFill>
            <w14:srgbClr w14:val="244061"/>
          </w14:solidFill>
          <w14:prstDash w14:val="solid"/>
          <w14:miter w14:lim="10"/>
        </w14:textOutline>
      </w:rPr>
      <w:t>。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after="210" w:line="74" w:lineRule="exact"/>
      <w:ind w:firstLine="13"/>
    </w:pPr>
    <w:r>
      <w:rPr>
        <w:position w:val="-1"/>
      </w:rPr>
      <w:pict>
        <v:shape id="_x0000_i2056" style="width:472.2pt;height:3.75pt;mso-position-horizontal-relative:char;mso-position-vertical-relative:line" coordorigin="0,0" coordsize="9444,75" path="m,22l9443,52e" filled="f" strokecolor="#c00000" strokeweight="2.25pt">
          <w10:wrap type="none"/>
        </v:shape>
      </w:pict>
    </w:r>
  </w:p>
  <w:p>
    <w:pPr>
      <w:spacing w:line="203" w:lineRule="auto"/>
      <w:rPr>
        <w:rFonts w:ascii="KaiTi" w:eastAsia="KaiTi" w:hAnsi="KaiTi" w:cs="KaiTi"/>
        <w:sz w:val="15"/>
        <w:szCs w:val="15"/>
      </w:rPr>
    </w:pPr>
    <w:r>
      <w:rPr>
        <w:rFonts w:ascii="KaiTi" w:eastAsia="KaiTi" w:hAnsi="KaiTi" w:cs="KaiTi"/>
        <w:color w:val="244061"/>
        <w:spacing w:val="-1"/>
        <w:sz w:val="15"/>
        <w:szCs w:val="15"/>
        <w14:textOutline w14:w="2743">
          <w14:solidFill>
            <w14:srgbClr w14:val="244061"/>
          </w14:solidFill>
          <w14:prstDash w14:val="solid"/>
          <w14:miter w14:lim="10"/>
        </w14:textOutline>
      </w:rPr>
      <w:t>本报告数据来自</w:t>
    </w:r>
    <w:r>
      <w:rPr>
        <w:rFonts w:ascii="KaiTi" w:eastAsia="KaiTi" w:hAnsi="KaiTi" w:cs="KaiTi"/>
        <w:color w:val="244061"/>
        <w:spacing w:val="-27"/>
        <w:sz w:val="15"/>
        <w:szCs w:val="15"/>
      </w:rPr>
      <w:t xml:space="preserve"> </w:t>
    </w:r>
    <w:r>
      <w:rPr>
        <w:rFonts w:ascii="Arial" w:eastAsia="Arial" w:hAnsi="Arial" w:cs="Arial"/>
        <w:b/>
        <w:bCs/>
        <w:color w:val="244061"/>
        <w:spacing w:val="-1"/>
        <w:sz w:val="15"/>
        <w:szCs w:val="15"/>
      </w:rPr>
      <w:t>CREIS</w:t>
    </w:r>
    <w:r>
      <w:rPr>
        <w:rFonts w:ascii="Arial" w:eastAsia="Arial" w:hAnsi="Arial" w:cs="Arial"/>
        <w:b/>
        <w:bCs/>
        <w:color w:val="244061"/>
        <w:spacing w:val="15"/>
        <w:w w:val="101"/>
        <w:sz w:val="15"/>
        <w:szCs w:val="15"/>
      </w:rPr>
      <w:t xml:space="preserve"> </w:t>
    </w:r>
    <w:r>
      <w:rPr>
        <w:rFonts w:ascii="KaiTi" w:eastAsia="KaiTi" w:hAnsi="KaiTi" w:cs="KaiTi"/>
        <w:color w:val="244061"/>
        <w:spacing w:val="-1"/>
        <w:sz w:val="15"/>
        <w:szCs w:val="15"/>
        <w14:textOutline w14:w="2743">
          <w14:solidFill>
            <w14:srgbClr w14:val="244061"/>
          </w14:solidFill>
          <w14:prstDash w14:val="solid"/>
          <w14:miter w14:lim="10"/>
        </w14:textOutline>
      </w:rPr>
      <w:t>中指数据、中房指数系统。详情请查询</w:t>
    </w:r>
    <w:r>
      <w:rPr>
        <w:rFonts w:ascii="KaiTi" w:eastAsia="KaiTi" w:hAnsi="KaiTi" w:cs="KaiTi"/>
        <w:color w:val="244061"/>
        <w:spacing w:val="-23"/>
        <w:sz w:val="15"/>
        <w:szCs w:val="15"/>
      </w:rPr>
      <w:t xml:space="preserve"> </w:t>
    </w:r>
    <w:hyperlink r:id="rId1" w:history="1">
      <w:r>
        <w:rPr>
          <w:rFonts w:ascii="Arial" w:eastAsia="Arial" w:hAnsi="Arial" w:cs="Arial"/>
          <w:b/>
          <w:bCs/>
          <w:color w:val="244061"/>
          <w:spacing w:val="-1"/>
          <w:sz w:val="15"/>
          <w:szCs w:val="15"/>
        </w:rPr>
        <w:t>https://www.cih-index.com</w:t>
      </w:r>
    </w:hyperlink>
    <w:r>
      <w:rPr>
        <w:rFonts w:ascii="Arial" w:eastAsia="Arial" w:hAnsi="Arial" w:cs="Arial"/>
        <w:b/>
        <w:bCs/>
        <w:color w:val="244061"/>
        <w:spacing w:val="-2"/>
        <w:sz w:val="15"/>
        <w:szCs w:val="15"/>
      </w:rPr>
      <w:t xml:space="preserve">  </w:t>
    </w:r>
    <w:r>
      <w:rPr>
        <w:rFonts w:ascii="KaiTi" w:eastAsia="KaiTi" w:hAnsi="KaiTi" w:cs="KaiTi"/>
        <w:color w:val="244061"/>
        <w:spacing w:val="-2"/>
        <w:sz w:val="15"/>
        <w:szCs w:val="15"/>
        <w14:textOutline w14:w="2743">
          <w14:solidFill>
            <w14:srgbClr w14:val="244061"/>
          </w14:solidFill>
          <w14:prstDash w14:val="solid"/>
          <w14:miter w14:lim="10"/>
        </w14:textOutline>
      </w:rPr>
      <w:t>或致电</w:t>
    </w:r>
    <w:r>
      <w:rPr>
        <w:rFonts w:ascii="KaiTi" w:eastAsia="KaiTi" w:hAnsi="KaiTi" w:cs="KaiTi"/>
        <w:color w:val="244061"/>
        <w:spacing w:val="-31"/>
        <w:sz w:val="15"/>
        <w:szCs w:val="15"/>
      </w:rPr>
      <w:t xml:space="preserve"> </w:t>
    </w:r>
    <w:r>
      <w:rPr>
        <w:rFonts w:ascii="Arial" w:eastAsia="Arial" w:hAnsi="Arial" w:cs="Arial"/>
        <w:b/>
        <w:bCs/>
        <w:color w:val="244061"/>
        <w:spacing w:val="-2"/>
        <w:sz w:val="15"/>
        <w:szCs w:val="15"/>
      </w:rPr>
      <w:t>400-630-1230</w:t>
    </w:r>
    <w:r>
      <w:rPr>
        <w:rFonts w:ascii="KaiTi" w:eastAsia="KaiTi" w:hAnsi="KaiTi" w:cs="KaiTi"/>
        <w:color w:val="244061"/>
        <w:spacing w:val="-2"/>
        <w:sz w:val="15"/>
        <w:szCs w:val="15"/>
        <w14:textOutline w14:w="2743">
          <w14:solidFill>
            <w14:srgbClr w14:val="244061"/>
          </w14:solidFill>
          <w14:prstDash w14:val="solid"/>
          <w14:miter w14:lim="10"/>
        </w14:textOutline>
      </w:rPr>
      <w:t>、</w:t>
    </w:r>
    <w:r>
      <w:rPr>
        <w:rFonts w:ascii="Arial" w:eastAsia="Arial" w:hAnsi="Arial" w:cs="Arial"/>
        <w:b/>
        <w:bCs/>
        <w:color w:val="244061"/>
        <w:spacing w:val="-2"/>
        <w:sz w:val="15"/>
        <w:szCs w:val="15"/>
      </w:rPr>
      <w:t>010-56319253</w:t>
    </w:r>
    <w:r>
      <w:rPr>
        <w:rFonts w:ascii="KaiTi" w:eastAsia="KaiTi" w:hAnsi="KaiTi" w:cs="KaiTi"/>
        <w:color w:val="244061"/>
        <w:spacing w:val="-2"/>
        <w:sz w:val="15"/>
        <w:szCs w:val="15"/>
        <w14:textOutline w14:w="2743">
          <w14:solidFill>
            <w14:srgbClr w14:val="244061"/>
          </w14:solidFill>
          <w14:prstDash w14:val="solid"/>
          <w14:miter w14:lim="10"/>
        </w14:textOutline>
      </w:rPr>
      <w:t>。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before="180" w:line="206" w:lineRule="auto"/>
      <w:ind w:left="2285"/>
      <w:rPr>
        <w:rFonts w:ascii="STXihei" w:eastAsia="STXihei" w:hAnsi="STXihei" w:cs="STXihei"/>
        <w:sz w:val="18"/>
        <w:szCs w:val="18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width:430.8pt;height:412.65pt;margin-top:232.14pt;margin-left:95.32pt;mso-position-horizontal-relative:page;mso-position-vertical-relative:page;position:absolute;z-index:-251658240" o:allowincell="f" filled="f" stroked="f">
          <v:imagedata r:id="rId1" o:title=""/>
        </v:shape>
      </w:pict>
    </w:r>
    <w:r>
      <w:drawing>
        <wp:anchor distT="0" distB="0" distL="0" distR="0" simplePos="0" relativeHeight="251659264" behindDoc="0" locked="0" layoutInCell="0" allowOverlap="1">
          <wp:simplePos x="0" y="0"/>
          <wp:positionH relativeFrom="page">
            <wp:posOffset>865755</wp:posOffset>
          </wp:positionH>
          <wp:positionV relativeFrom="page">
            <wp:posOffset>360543</wp:posOffset>
          </wp:positionV>
          <wp:extent cx="418732" cy="410604"/>
          <wp:effectExtent l="0" t="0" r="0" b="0"/>
          <wp:wrapNone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418732" cy="4106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STXihei" w:eastAsia="STXihei" w:hAnsi="STXihei" w:cs="STXihei"/>
        <w:color w:val="990000"/>
        <w:spacing w:val="-4"/>
        <w:sz w:val="18"/>
        <w:szCs w:val="18"/>
        <w14:textOutline w14:w="3265">
          <w14:solidFill>
            <w14:srgbClr w14:val="990000"/>
          </w14:solidFill>
          <w14:prstDash w14:val="solid"/>
          <w14:miter w14:lim="10"/>
        </w14:textOutline>
      </w:rPr>
      <w:t>中指研究院</w:t>
    </w:r>
  </w:p>
  <w:p>
    <w:pPr>
      <w:spacing w:before="38" w:line="191" w:lineRule="auto"/>
      <w:ind w:left="2285"/>
      <w:rPr>
        <w:rFonts w:ascii="STXihei" w:eastAsia="STXihei" w:hAnsi="STXihei" w:cs="STXihei"/>
        <w:sz w:val="18"/>
        <w:szCs w:val="18"/>
      </w:rPr>
    </w:pPr>
    <w:r>
      <w:rPr>
        <w:rFonts w:ascii="STXihei" w:eastAsia="STXihei" w:hAnsi="STXihei" w:cs="STXihei"/>
        <w:color w:val="990000"/>
        <w:spacing w:val="-4"/>
        <w:sz w:val="18"/>
        <w:szCs w:val="18"/>
        <w14:textOutline w14:w="3265">
          <w14:solidFill>
            <w14:srgbClr w14:val="990000"/>
          </w14:solidFill>
          <w14:prstDash w14:val="solid"/>
          <w14:miter w14:lim="10"/>
        </w14:textOutline>
      </w:rPr>
      <w:t>中指企业专题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before="168" w:line="206" w:lineRule="auto"/>
      <w:ind w:left="924"/>
      <w:rPr>
        <w:rFonts w:ascii="STXihei" w:eastAsia="STXihei" w:hAnsi="STXihei" w:cs="STXihei"/>
        <w:sz w:val="18"/>
        <w:szCs w:val="18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width:430.8pt;height:412.65pt;margin-top:232.14pt;margin-left:95.32pt;mso-position-horizontal-relative:page;mso-position-vertical-relative:page;position:absolute;z-index:-251656192" o:allowincell="f" filled="f" stroked="f">
          <v:imagedata r:id="rId1" o:title=""/>
        </v:shape>
      </w:pict>
    </w:r>
    <w:r>
      <w:drawing>
        <wp:anchor distT="0" distB="0" distL="0" distR="0" simplePos="0" relativeHeight="251661312" behindDoc="0" locked="0" layoutInCell="0" allowOverlap="1">
          <wp:simplePos x="0" y="0"/>
          <wp:positionH relativeFrom="page">
            <wp:posOffset>865755</wp:posOffset>
          </wp:positionH>
          <wp:positionV relativeFrom="page">
            <wp:posOffset>368163</wp:posOffset>
          </wp:positionV>
          <wp:extent cx="418732" cy="410604"/>
          <wp:effectExtent l="0" t="0" r="0" b="0"/>
          <wp:wrapNone/>
          <wp:docPr id="4" name="IM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 4"/>
                  <pic:cNvPicPr/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418732" cy="4106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STXihei" w:eastAsia="STXihei" w:hAnsi="STXihei" w:cs="STXihei"/>
        <w:color w:val="990000"/>
        <w:spacing w:val="-4"/>
        <w:sz w:val="18"/>
        <w:szCs w:val="18"/>
        <w14:textOutline w14:w="3265">
          <w14:solidFill>
            <w14:srgbClr w14:val="990000"/>
          </w14:solidFill>
          <w14:prstDash w14:val="solid"/>
          <w14:miter w14:lim="10"/>
        </w14:textOutline>
      </w:rPr>
      <w:t>中指研究院</w:t>
    </w:r>
  </w:p>
  <w:p>
    <w:pPr>
      <w:spacing w:before="37" w:line="204" w:lineRule="auto"/>
      <w:ind w:left="924"/>
      <w:rPr>
        <w:rFonts w:ascii="STXihei" w:eastAsia="STXihei" w:hAnsi="STXihei" w:cs="STXihei"/>
        <w:sz w:val="18"/>
        <w:szCs w:val="18"/>
      </w:rPr>
    </w:pPr>
    <w:r>
      <w:rPr>
        <w:rFonts w:ascii="STXihei" w:eastAsia="STXihei" w:hAnsi="STXihei" w:cs="STXihei"/>
        <w:color w:val="990000"/>
        <w:spacing w:val="-4"/>
        <w:sz w:val="18"/>
        <w:szCs w:val="18"/>
        <w14:textOutline w14:w="3265">
          <w14:solidFill>
            <w14:srgbClr w14:val="990000"/>
          </w14:solidFill>
          <w14:prstDash w14:val="solid"/>
          <w14:miter w14:lim="10"/>
        </w14:textOutline>
      </w:rPr>
      <w:t>中指企业专题</w:t>
    </w:r>
  </w:p>
  <w:p>
    <w:pPr>
      <w:spacing w:before="83" w:line="65" w:lineRule="exact"/>
      <w:ind w:firstLine="70"/>
    </w:pPr>
    <w:r>
      <w:rPr>
        <w:position w:val="-2"/>
      </w:rPr>
      <w:pict>
        <v:shape id="_x0000_i2052" style="width:472.2pt;height:3.75pt;mso-position-horizontal-relative:char;mso-position-vertical-relative:line" coordorigin="0,0" coordsize="9444,75" path="m,22l9443,52e" filled="f" strokecolor="#c00000" strokeweight="2.25pt">
          <w10:wrap type="non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before="168" w:line="206" w:lineRule="auto"/>
      <w:ind w:left="924"/>
      <w:rPr>
        <w:rFonts w:ascii="STXihei" w:eastAsia="STXihei" w:hAnsi="STXihei" w:cs="STXihei"/>
        <w:sz w:val="18"/>
        <w:szCs w:val="18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width:430.8pt;height:412.65pt;margin-top:232.14pt;margin-left:95.32pt;mso-position-horizontal-relative:page;mso-position-vertical-relative:page;position:absolute;z-index:-251654144" o:allowincell="f" filled="f" stroked="f">
          <v:imagedata r:id="rId1" o:title=""/>
        </v:shape>
      </w:pict>
    </w:r>
    <w:r>
      <w:drawing>
        <wp:anchor distT="0" distB="0" distL="0" distR="0" simplePos="0" relativeHeight="251663360" behindDoc="0" locked="0" layoutInCell="0" allowOverlap="1">
          <wp:simplePos x="0" y="0"/>
          <wp:positionH relativeFrom="page">
            <wp:posOffset>865755</wp:posOffset>
          </wp:positionH>
          <wp:positionV relativeFrom="page">
            <wp:posOffset>368163</wp:posOffset>
          </wp:positionV>
          <wp:extent cx="418732" cy="410604"/>
          <wp:effectExtent l="0" t="0" r="0" b="0"/>
          <wp:wrapNone/>
          <wp:docPr id="1017362459" name="IM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7362459" name="IM 4"/>
                  <pic:cNvPicPr/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418732" cy="4106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STXihei" w:eastAsia="STXihei" w:hAnsi="STXihei" w:cs="STXihei"/>
        <w:color w:val="990000"/>
        <w:spacing w:val="-4"/>
        <w:sz w:val="18"/>
        <w:szCs w:val="18"/>
        <w14:textOutline w14:w="3265">
          <w14:solidFill>
            <w14:srgbClr w14:val="990000"/>
          </w14:solidFill>
          <w14:prstDash w14:val="solid"/>
          <w14:miter w14:lim="10"/>
        </w14:textOutline>
      </w:rPr>
      <w:t>中指研究院</w:t>
    </w:r>
  </w:p>
  <w:p>
    <w:pPr>
      <w:spacing w:before="37" w:line="204" w:lineRule="auto"/>
      <w:ind w:left="924"/>
      <w:rPr>
        <w:rFonts w:ascii="STXihei" w:eastAsia="STXihei" w:hAnsi="STXihei" w:cs="STXihei"/>
        <w:sz w:val="18"/>
        <w:szCs w:val="18"/>
      </w:rPr>
    </w:pPr>
    <w:r>
      <w:rPr>
        <w:rFonts w:ascii="STXihei" w:eastAsia="STXihei" w:hAnsi="STXihei" w:cs="STXihei"/>
        <w:color w:val="990000"/>
        <w:spacing w:val="-4"/>
        <w:sz w:val="18"/>
        <w:szCs w:val="18"/>
        <w14:textOutline w14:w="3265">
          <w14:solidFill>
            <w14:srgbClr w14:val="990000"/>
          </w14:solidFill>
          <w14:prstDash w14:val="solid"/>
          <w14:miter w14:lim="10"/>
        </w14:textOutline>
      </w:rPr>
      <w:t>中指企业专题</w:t>
    </w:r>
  </w:p>
  <w:p>
    <w:pPr>
      <w:spacing w:before="83" w:line="65" w:lineRule="exact"/>
      <w:ind w:firstLine="70"/>
    </w:pPr>
    <w:r>
      <w:rPr>
        <w:position w:val="-2"/>
      </w:rPr>
      <w:pict>
        <v:shape id="_x0000_i2055" style="width:472.2pt;height:3.75pt;mso-position-horizontal-relative:char;mso-position-vertical-relative:line" coordorigin="0,0" coordsize="9444,75" path="m,22l9443,52e" filled="f" strokecolor="#c00000" strokeweight="2.25pt">
          <w10:wrap type="non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SimSun" w:eastAsia="SimSun" w:hAnsi="SimSun" w:cs="SimSun"/>
      <w:sz w:val="21"/>
      <w:szCs w:val="21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jpeg" /><Relationship Id="rId11" Type="http://schemas.openxmlformats.org/officeDocument/2006/relationships/hyperlink" Target="https://d.book118.com/875002240014011041" TargetMode="Externa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header" Target="header2.xml" /><Relationship Id="rId9" Type="http://schemas.openxmlformats.org/officeDocument/2006/relationships/footer" Target="footer2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ih-index.com" TargetMode="Externa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hyperlink" Target="https://www.cih-index.com" TargetMode="External" /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hyperlink" Target="https://www.cih-index.com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2024-01-10T16:06:44Z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2024-01-10T21:01:56Z</vt:filetime>
  </property>
  <property fmtid="{D5CDD505-2E9C-101B-9397-08002B2CF9AE}" pid="3" name="CRO">
    <vt:lpwstr>wqlLaW5nc29mdCBQREYgdG8gV1BTIDkw</vt:lpwstr>
  </property>
</Properties>
</file>