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体育专用地坪漆项目规划设计蓝图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980" w:history="1">
        <w:r>
          <w:rPr>
            <w:rFonts w:ascii="仿宋" w:eastAsia="仿宋" w:hAnsi="仿宋" w:cs="仿宋" w:hint="eastAsia"/>
            <w:lang w:eastAsia="zh-CN"/>
          </w:rPr>
          <w:t>前言</w:t>
        </w:r>
        <w:r>
          <w:tab/>
        </w:r>
        <w:r>
          <w:fldChar w:fldCharType="begin"/>
        </w:r>
        <w:r>
          <w:instrText xml:space="preserve"> PAGEREF _Toc21980 \h </w:instrText>
        </w:r>
        <w:r>
          <w:fldChar w:fldCharType="separate"/>
        </w:r>
        <w:r>
          <w:t>3</w:t>
        </w:r>
        <w:r>
          <w:fldChar w:fldCharType="end"/>
        </w:r>
      </w:hyperlink>
    </w:p>
    <w:p>
      <w:pPr>
        <w:pStyle w:val="TOC1"/>
        <w:tabs>
          <w:tab w:val="right" w:leader="dot" w:pos="8306"/>
        </w:tabs>
      </w:pPr>
      <w:hyperlink w:anchor="_Toc28201" w:history="1">
        <w:r>
          <w:rPr>
            <w:rFonts w:ascii="仿宋" w:eastAsia="仿宋" w:hAnsi="仿宋" w:cs="仿宋" w:hint="eastAsia"/>
            <w:lang w:eastAsia="zh-CN"/>
          </w:rPr>
          <w:t>一、体育专用地坪漆项目文档管理</w:t>
        </w:r>
        <w:r>
          <w:tab/>
        </w:r>
        <w:r>
          <w:fldChar w:fldCharType="begin"/>
        </w:r>
        <w:r>
          <w:instrText xml:space="preserve"> PAGEREF _Toc28201 \h </w:instrText>
        </w:r>
        <w:r>
          <w:fldChar w:fldCharType="separate"/>
        </w:r>
        <w:r>
          <w:t>3</w:t>
        </w:r>
        <w:r>
          <w:fldChar w:fldCharType="end"/>
        </w:r>
      </w:hyperlink>
    </w:p>
    <w:p>
      <w:pPr>
        <w:pStyle w:val="TOC2"/>
        <w:tabs>
          <w:tab w:val="right" w:leader="dot" w:pos="8306"/>
        </w:tabs>
      </w:pPr>
      <w:hyperlink w:anchor="_Toc561" w:history="1">
        <w:r>
          <w:rPr>
            <w:rFonts w:ascii="仿宋" w:eastAsia="仿宋" w:hAnsi="仿宋" w:cs="仿宋" w:hint="eastAsia"/>
            <w:lang w:eastAsia="zh-CN"/>
          </w:rPr>
          <w:t>(一)、文档编制与审查</w:t>
        </w:r>
        <w:r>
          <w:tab/>
        </w:r>
        <w:r>
          <w:fldChar w:fldCharType="begin"/>
        </w:r>
        <w:r>
          <w:instrText xml:space="preserve"> PAGEREF _Toc561 \h </w:instrText>
        </w:r>
        <w:r>
          <w:fldChar w:fldCharType="separate"/>
        </w:r>
        <w:r>
          <w:t>3</w:t>
        </w:r>
        <w:r>
          <w:fldChar w:fldCharType="end"/>
        </w:r>
      </w:hyperlink>
    </w:p>
    <w:p>
      <w:pPr>
        <w:pStyle w:val="TOC2"/>
        <w:tabs>
          <w:tab w:val="right" w:leader="dot" w:pos="8306"/>
        </w:tabs>
      </w:pPr>
      <w:hyperlink w:anchor="_Toc9727" w:history="1">
        <w:r>
          <w:rPr>
            <w:rFonts w:ascii="仿宋" w:eastAsia="仿宋" w:hAnsi="仿宋" w:cs="仿宋" w:hint="eastAsia"/>
            <w:lang w:eastAsia="zh-CN"/>
          </w:rPr>
          <w:t>(二)、文档发布与分发</w:t>
        </w:r>
        <w:r>
          <w:tab/>
        </w:r>
        <w:r>
          <w:fldChar w:fldCharType="begin"/>
        </w:r>
        <w:r>
          <w:instrText xml:space="preserve"> PAGEREF _Toc9727 \h </w:instrText>
        </w:r>
        <w:r>
          <w:fldChar w:fldCharType="separate"/>
        </w:r>
        <w:r>
          <w:t>4</w:t>
        </w:r>
        <w:r>
          <w:fldChar w:fldCharType="end"/>
        </w:r>
      </w:hyperlink>
    </w:p>
    <w:p>
      <w:pPr>
        <w:pStyle w:val="TOC2"/>
        <w:tabs>
          <w:tab w:val="right" w:leader="dot" w:pos="8306"/>
        </w:tabs>
      </w:pPr>
      <w:hyperlink w:anchor="_Toc30417" w:history="1">
        <w:r>
          <w:rPr>
            <w:rFonts w:ascii="仿宋" w:eastAsia="仿宋" w:hAnsi="仿宋" w:cs="仿宋" w:hint="eastAsia"/>
            <w:lang w:eastAsia="zh-CN"/>
          </w:rPr>
          <w:t>(三)、文档存档与归档</w:t>
        </w:r>
        <w:r>
          <w:tab/>
        </w:r>
        <w:r>
          <w:fldChar w:fldCharType="begin"/>
        </w:r>
        <w:r>
          <w:instrText xml:space="preserve"> PAGEREF _Toc30417 \h </w:instrText>
        </w:r>
        <w:r>
          <w:fldChar w:fldCharType="separate"/>
        </w:r>
        <w:r>
          <w:t>5</w:t>
        </w:r>
        <w:r>
          <w:fldChar w:fldCharType="end"/>
        </w:r>
      </w:hyperlink>
    </w:p>
    <w:p>
      <w:pPr>
        <w:pStyle w:val="TOC1"/>
        <w:tabs>
          <w:tab w:val="right" w:leader="dot" w:pos="8306"/>
        </w:tabs>
      </w:pPr>
      <w:hyperlink w:anchor="_Toc31700" w:history="1">
        <w:r>
          <w:rPr>
            <w:rFonts w:ascii="仿宋" w:eastAsia="仿宋" w:hAnsi="仿宋" w:cs="仿宋" w:hint="eastAsia"/>
            <w:lang w:eastAsia="zh-CN"/>
          </w:rPr>
          <w:t>二、市场分析、调研</w:t>
        </w:r>
        <w:r>
          <w:tab/>
        </w:r>
        <w:r>
          <w:fldChar w:fldCharType="begin"/>
        </w:r>
        <w:r>
          <w:instrText xml:space="preserve"> PAGEREF _Toc31700 \h </w:instrText>
        </w:r>
        <w:r>
          <w:fldChar w:fldCharType="separate"/>
        </w:r>
        <w:r>
          <w:t>6</w:t>
        </w:r>
        <w:r>
          <w:fldChar w:fldCharType="end"/>
        </w:r>
      </w:hyperlink>
    </w:p>
    <w:p>
      <w:pPr>
        <w:pStyle w:val="TOC2"/>
        <w:tabs>
          <w:tab w:val="right" w:leader="dot" w:pos="8306"/>
        </w:tabs>
      </w:pPr>
      <w:hyperlink w:anchor="_Toc16852" w:history="1">
        <w:r>
          <w:rPr>
            <w:rFonts w:ascii="仿宋" w:eastAsia="仿宋" w:hAnsi="仿宋" w:cs="仿宋" w:hint="eastAsia"/>
            <w:lang w:eastAsia="zh-CN"/>
          </w:rPr>
          <w:t>(一)、体育专用地坪漆行业分析</w:t>
        </w:r>
        <w:r>
          <w:tab/>
        </w:r>
        <w:r>
          <w:fldChar w:fldCharType="begin"/>
        </w:r>
        <w:r>
          <w:instrText xml:space="preserve"> PAGEREF _Toc16852 \h </w:instrText>
        </w:r>
        <w:r>
          <w:fldChar w:fldCharType="separate"/>
        </w:r>
        <w:r>
          <w:t>6</w:t>
        </w:r>
        <w:r>
          <w:fldChar w:fldCharType="end"/>
        </w:r>
      </w:hyperlink>
    </w:p>
    <w:p>
      <w:pPr>
        <w:pStyle w:val="TOC2"/>
        <w:tabs>
          <w:tab w:val="right" w:leader="dot" w:pos="8306"/>
        </w:tabs>
      </w:pPr>
      <w:hyperlink w:anchor="_Toc32364" w:history="1">
        <w:r>
          <w:rPr>
            <w:rFonts w:ascii="仿宋" w:eastAsia="仿宋" w:hAnsi="仿宋" w:cs="仿宋" w:hint="eastAsia"/>
            <w:lang w:eastAsia="zh-CN"/>
          </w:rPr>
          <w:t>(二)、体育专用地坪漆市场分析预测</w:t>
        </w:r>
        <w:r>
          <w:tab/>
        </w:r>
        <w:r>
          <w:fldChar w:fldCharType="begin"/>
        </w:r>
        <w:r>
          <w:instrText xml:space="preserve"> PAGEREF _Toc32364 \h </w:instrText>
        </w:r>
        <w:r>
          <w:fldChar w:fldCharType="separate"/>
        </w:r>
        <w:r>
          <w:t>7</w:t>
        </w:r>
        <w:r>
          <w:fldChar w:fldCharType="end"/>
        </w:r>
      </w:hyperlink>
    </w:p>
    <w:p>
      <w:pPr>
        <w:pStyle w:val="TOC1"/>
        <w:tabs>
          <w:tab w:val="right" w:leader="dot" w:pos="8306"/>
        </w:tabs>
      </w:pPr>
      <w:hyperlink w:anchor="_Toc13258" w:history="1">
        <w:r>
          <w:rPr>
            <w:rFonts w:ascii="仿宋" w:eastAsia="仿宋" w:hAnsi="仿宋" w:cs="仿宋" w:hint="eastAsia"/>
            <w:lang w:eastAsia="zh-CN"/>
          </w:rPr>
          <w:t>三、体育专用地坪漆项目危机管理</w:t>
        </w:r>
        <w:r>
          <w:tab/>
        </w:r>
        <w:r>
          <w:fldChar w:fldCharType="begin"/>
        </w:r>
        <w:r>
          <w:instrText xml:space="preserve"> PAGEREF _Toc13258 \h </w:instrText>
        </w:r>
        <w:r>
          <w:fldChar w:fldCharType="separate"/>
        </w:r>
        <w:r>
          <w:t>8</w:t>
        </w:r>
        <w:r>
          <w:fldChar w:fldCharType="end"/>
        </w:r>
      </w:hyperlink>
    </w:p>
    <w:p>
      <w:pPr>
        <w:pStyle w:val="TOC2"/>
        <w:tabs>
          <w:tab w:val="right" w:leader="dot" w:pos="8306"/>
        </w:tabs>
      </w:pPr>
      <w:hyperlink w:anchor="_Toc19824" w:history="1">
        <w:r>
          <w:rPr>
            <w:rFonts w:ascii="仿宋" w:eastAsia="仿宋" w:hAnsi="仿宋" w:cs="仿宋" w:hint="eastAsia"/>
            <w:lang w:eastAsia="zh-CN"/>
          </w:rPr>
          <w:t>(一)、危机预警与识别</w:t>
        </w:r>
        <w:r>
          <w:tab/>
        </w:r>
        <w:r>
          <w:fldChar w:fldCharType="begin"/>
        </w:r>
        <w:r>
          <w:instrText xml:space="preserve"> PAGEREF _Toc19824 \h </w:instrText>
        </w:r>
        <w:r>
          <w:fldChar w:fldCharType="separate"/>
        </w:r>
        <w:r>
          <w:t>8</w:t>
        </w:r>
        <w:r>
          <w:fldChar w:fldCharType="end"/>
        </w:r>
      </w:hyperlink>
    </w:p>
    <w:p>
      <w:pPr>
        <w:pStyle w:val="TOC2"/>
        <w:tabs>
          <w:tab w:val="right" w:leader="dot" w:pos="8306"/>
        </w:tabs>
      </w:pPr>
      <w:hyperlink w:anchor="_Toc8620" w:history="1">
        <w:r>
          <w:rPr>
            <w:rFonts w:ascii="仿宋" w:eastAsia="仿宋" w:hAnsi="仿宋" w:cs="仿宋" w:hint="eastAsia"/>
            <w:lang w:eastAsia="zh-CN"/>
          </w:rPr>
          <w:t>(二)、危机应对与恢复</w:t>
        </w:r>
        <w:r>
          <w:tab/>
        </w:r>
        <w:r>
          <w:fldChar w:fldCharType="begin"/>
        </w:r>
        <w:r>
          <w:instrText xml:space="preserve"> PAGEREF _Toc8620 \h </w:instrText>
        </w:r>
        <w:r>
          <w:fldChar w:fldCharType="separate"/>
        </w:r>
        <w:r>
          <w:t>9</w:t>
        </w:r>
        <w:r>
          <w:fldChar w:fldCharType="end"/>
        </w:r>
      </w:hyperlink>
    </w:p>
    <w:p>
      <w:pPr>
        <w:pStyle w:val="TOC1"/>
        <w:tabs>
          <w:tab w:val="right" w:leader="dot" w:pos="8306"/>
        </w:tabs>
      </w:pPr>
      <w:hyperlink w:anchor="_Toc5663" w:history="1">
        <w:r>
          <w:rPr>
            <w:rFonts w:ascii="仿宋" w:eastAsia="仿宋" w:hAnsi="仿宋" w:cs="仿宋" w:hint="eastAsia"/>
            <w:lang w:eastAsia="zh-CN"/>
          </w:rPr>
          <w:t>四、体育专用地坪漆项目选址可行性分析</w:t>
        </w:r>
        <w:r>
          <w:tab/>
        </w:r>
        <w:r>
          <w:fldChar w:fldCharType="begin"/>
        </w:r>
        <w:r>
          <w:instrText xml:space="preserve"> PAGEREF _Toc5663 \h </w:instrText>
        </w:r>
        <w:r>
          <w:fldChar w:fldCharType="separate"/>
        </w:r>
        <w:r>
          <w:t>11</w:t>
        </w:r>
        <w:r>
          <w:fldChar w:fldCharType="end"/>
        </w:r>
      </w:hyperlink>
    </w:p>
    <w:p>
      <w:pPr>
        <w:pStyle w:val="TOC2"/>
        <w:tabs>
          <w:tab w:val="right" w:leader="dot" w:pos="8306"/>
        </w:tabs>
      </w:pPr>
      <w:hyperlink w:anchor="_Toc10047" w:history="1">
        <w:r>
          <w:rPr>
            <w:rFonts w:ascii="仿宋" w:eastAsia="仿宋" w:hAnsi="仿宋" w:cs="仿宋" w:hint="eastAsia"/>
            <w:lang w:eastAsia="zh-CN"/>
          </w:rPr>
          <w:t>(一)、体育专用地坪漆项目选址</w:t>
        </w:r>
        <w:r>
          <w:tab/>
        </w:r>
        <w:r>
          <w:fldChar w:fldCharType="begin"/>
        </w:r>
        <w:r>
          <w:instrText xml:space="preserve"> PAGEREF _Toc10047 \h </w:instrText>
        </w:r>
        <w:r>
          <w:fldChar w:fldCharType="separate"/>
        </w:r>
        <w:r>
          <w:t>11</w:t>
        </w:r>
        <w:r>
          <w:fldChar w:fldCharType="end"/>
        </w:r>
      </w:hyperlink>
    </w:p>
    <w:p>
      <w:pPr>
        <w:pStyle w:val="TOC2"/>
        <w:tabs>
          <w:tab w:val="right" w:leader="dot" w:pos="8306"/>
        </w:tabs>
      </w:pPr>
      <w:hyperlink w:anchor="_Toc8868" w:history="1">
        <w:r>
          <w:rPr>
            <w:rFonts w:ascii="仿宋" w:eastAsia="仿宋" w:hAnsi="仿宋" w:cs="仿宋" w:hint="eastAsia"/>
            <w:lang w:eastAsia="zh-CN"/>
          </w:rPr>
          <w:t>(二)、用地控制指标</w:t>
        </w:r>
        <w:r>
          <w:tab/>
        </w:r>
        <w:r>
          <w:fldChar w:fldCharType="begin"/>
        </w:r>
        <w:r>
          <w:instrText xml:space="preserve"> PAGEREF _Toc8868 \h </w:instrText>
        </w:r>
        <w:r>
          <w:fldChar w:fldCharType="separate"/>
        </w:r>
        <w:r>
          <w:t>11</w:t>
        </w:r>
        <w:r>
          <w:fldChar w:fldCharType="end"/>
        </w:r>
      </w:hyperlink>
    </w:p>
    <w:p>
      <w:pPr>
        <w:pStyle w:val="TOC2"/>
        <w:tabs>
          <w:tab w:val="right" w:leader="dot" w:pos="8306"/>
        </w:tabs>
      </w:pPr>
      <w:hyperlink w:anchor="_Toc30102" w:history="1">
        <w:r>
          <w:rPr>
            <w:rFonts w:ascii="仿宋" w:eastAsia="仿宋" w:hAnsi="仿宋" w:cs="仿宋" w:hint="eastAsia"/>
            <w:lang w:eastAsia="zh-CN"/>
          </w:rPr>
          <w:t>(三)、节约用地措施</w:t>
        </w:r>
        <w:r>
          <w:tab/>
        </w:r>
        <w:r>
          <w:fldChar w:fldCharType="begin"/>
        </w:r>
        <w:r>
          <w:instrText xml:space="preserve"> PAGEREF _Toc30102 \h </w:instrText>
        </w:r>
        <w:r>
          <w:fldChar w:fldCharType="separate"/>
        </w:r>
        <w:r>
          <w:t>13</w:t>
        </w:r>
        <w:r>
          <w:fldChar w:fldCharType="end"/>
        </w:r>
      </w:hyperlink>
    </w:p>
    <w:p>
      <w:pPr>
        <w:pStyle w:val="TOC2"/>
        <w:tabs>
          <w:tab w:val="right" w:leader="dot" w:pos="8306"/>
        </w:tabs>
      </w:pPr>
      <w:hyperlink w:anchor="_Toc30995" w:history="1">
        <w:r>
          <w:rPr>
            <w:rFonts w:ascii="仿宋" w:eastAsia="仿宋" w:hAnsi="仿宋" w:cs="仿宋" w:hint="eastAsia"/>
            <w:lang w:eastAsia="zh-CN"/>
          </w:rPr>
          <w:t>(四)、总图布置方案</w:t>
        </w:r>
        <w:r>
          <w:tab/>
        </w:r>
        <w:r>
          <w:fldChar w:fldCharType="begin"/>
        </w:r>
        <w:r>
          <w:instrText xml:space="preserve"> PAGEREF _Toc30995 \h </w:instrText>
        </w:r>
        <w:r>
          <w:fldChar w:fldCharType="separate"/>
        </w:r>
        <w:r>
          <w:t>14</w:t>
        </w:r>
        <w:r>
          <w:fldChar w:fldCharType="end"/>
        </w:r>
      </w:hyperlink>
    </w:p>
    <w:p>
      <w:pPr>
        <w:pStyle w:val="TOC2"/>
        <w:tabs>
          <w:tab w:val="right" w:leader="dot" w:pos="8306"/>
        </w:tabs>
      </w:pPr>
      <w:hyperlink w:anchor="_Toc22163" w:history="1">
        <w:r>
          <w:rPr>
            <w:rFonts w:ascii="仿宋" w:eastAsia="仿宋" w:hAnsi="仿宋" w:cs="仿宋" w:hint="eastAsia"/>
            <w:lang w:eastAsia="zh-CN"/>
          </w:rPr>
          <w:t>(五)、选址综合评价</w:t>
        </w:r>
        <w:r>
          <w:tab/>
        </w:r>
        <w:r>
          <w:fldChar w:fldCharType="begin"/>
        </w:r>
        <w:r>
          <w:instrText xml:space="preserve"> PAGEREF _Toc22163 \h </w:instrText>
        </w:r>
        <w:r>
          <w:fldChar w:fldCharType="separate"/>
        </w:r>
        <w:r>
          <w:t>15</w:t>
        </w:r>
        <w:r>
          <w:fldChar w:fldCharType="end"/>
        </w:r>
      </w:hyperlink>
    </w:p>
    <w:p>
      <w:pPr>
        <w:pStyle w:val="TOC1"/>
        <w:tabs>
          <w:tab w:val="right" w:leader="dot" w:pos="8306"/>
        </w:tabs>
      </w:pPr>
      <w:hyperlink w:anchor="_Toc12122" w:history="1">
        <w:r>
          <w:rPr>
            <w:rFonts w:ascii="仿宋" w:eastAsia="仿宋" w:hAnsi="仿宋" w:cs="仿宋" w:hint="eastAsia"/>
            <w:lang w:eastAsia="zh-CN"/>
          </w:rPr>
          <w:t>五、体育专用地坪漆项目概论</w:t>
        </w:r>
        <w:r>
          <w:tab/>
        </w:r>
        <w:r>
          <w:fldChar w:fldCharType="begin"/>
        </w:r>
        <w:r>
          <w:instrText xml:space="preserve"> PAGEREF _Toc12122 \h </w:instrText>
        </w:r>
        <w:r>
          <w:fldChar w:fldCharType="separate"/>
        </w:r>
        <w:r>
          <w:t>16</w:t>
        </w:r>
        <w:r>
          <w:fldChar w:fldCharType="end"/>
        </w:r>
      </w:hyperlink>
    </w:p>
    <w:p>
      <w:pPr>
        <w:pStyle w:val="TOC2"/>
        <w:tabs>
          <w:tab w:val="right" w:leader="dot" w:pos="8306"/>
        </w:tabs>
      </w:pPr>
      <w:hyperlink w:anchor="_Toc5536" w:history="1">
        <w:r>
          <w:rPr>
            <w:rFonts w:ascii="仿宋" w:eastAsia="仿宋" w:hAnsi="仿宋" w:cs="仿宋" w:hint="eastAsia"/>
            <w:lang w:eastAsia="zh-CN"/>
          </w:rPr>
          <w:t>(一)、体育专用地坪漆项目概况</w:t>
        </w:r>
        <w:r>
          <w:tab/>
        </w:r>
        <w:r>
          <w:fldChar w:fldCharType="begin"/>
        </w:r>
        <w:r>
          <w:instrText xml:space="preserve"> PAGEREF _Toc5536 \h </w:instrText>
        </w:r>
        <w:r>
          <w:fldChar w:fldCharType="separate"/>
        </w:r>
        <w:r>
          <w:t>16</w:t>
        </w:r>
        <w:r>
          <w:fldChar w:fldCharType="end"/>
        </w:r>
      </w:hyperlink>
    </w:p>
    <w:p>
      <w:pPr>
        <w:pStyle w:val="TOC2"/>
        <w:tabs>
          <w:tab w:val="right" w:leader="dot" w:pos="8306"/>
        </w:tabs>
      </w:pPr>
      <w:hyperlink w:anchor="_Toc937" w:history="1">
        <w:r>
          <w:rPr>
            <w:rFonts w:ascii="仿宋" w:eastAsia="仿宋" w:hAnsi="仿宋" w:cs="仿宋" w:hint="eastAsia"/>
            <w:lang w:eastAsia="zh-CN"/>
          </w:rPr>
          <w:t>(二)、体育专用地坪漆项目目标</w:t>
        </w:r>
        <w:r>
          <w:tab/>
        </w:r>
        <w:r>
          <w:fldChar w:fldCharType="begin"/>
        </w:r>
        <w:r>
          <w:instrText xml:space="preserve"> PAGEREF _Toc937 \h </w:instrText>
        </w:r>
        <w:r>
          <w:fldChar w:fldCharType="separate"/>
        </w:r>
        <w:r>
          <w:t>19</w:t>
        </w:r>
        <w:r>
          <w:fldChar w:fldCharType="end"/>
        </w:r>
      </w:hyperlink>
    </w:p>
    <w:p>
      <w:pPr>
        <w:pStyle w:val="TOC2"/>
        <w:tabs>
          <w:tab w:val="right" w:leader="dot" w:pos="8306"/>
        </w:tabs>
      </w:pPr>
      <w:hyperlink w:anchor="_Toc16115" w:history="1">
        <w:r>
          <w:rPr>
            <w:rFonts w:ascii="仿宋" w:eastAsia="仿宋" w:hAnsi="仿宋" w:cs="仿宋" w:hint="eastAsia"/>
            <w:lang w:eastAsia="zh-CN"/>
          </w:rPr>
          <w:t>(三)、体育专用地坪漆项目提出的理由</w:t>
        </w:r>
        <w:r>
          <w:tab/>
        </w:r>
        <w:r>
          <w:fldChar w:fldCharType="begin"/>
        </w:r>
        <w:r>
          <w:instrText xml:space="preserve"> PAGEREF _Toc16115 \h </w:instrText>
        </w:r>
        <w:r>
          <w:fldChar w:fldCharType="separate"/>
        </w:r>
        <w:r>
          <w:t>19</w:t>
        </w:r>
        <w:r>
          <w:fldChar w:fldCharType="end"/>
        </w:r>
      </w:hyperlink>
    </w:p>
    <w:p>
      <w:pPr>
        <w:pStyle w:val="TOC2"/>
        <w:tabs>
          <w:tab w:val="right" w:leader="dot" w:pos="8306"/>
        </w:tabs>
      </w:pPr>
      <w:hyperlink w:anchor="_Toc1303" w:history="1">
        <w:r>
          <w:rPr>
            <w:rFonts w:ascii="仿宋" w:eastAsia="仿宋" w:hAnsi="仿宋" w:cs="仿宋" w:hint="eastAsia"/>
            <w:lang w:eastAsia="zh-CN"/>
          </w:rPr>
          <w:t>(四)、体育专用地坪漆项目意义</w:t>
        </w:r>
        <w:r>
          <w:tab/>
        </w:r>
        <w:r>
          <w:fldChar w:fldCharType="begin"/>
        </w:r>
        <w:r>
          <w:instrText xml:space="preserve"> PAGEREF _Toc1303 \h </w:instrText>
        </w:r>
        <w:r>
          <w:fldChar w:fldCharType="separate"/>
        </w:r>
        <w:r>
          <w:t>21</w:t>
        </w:r>
        <w:r>
          <w:fldChar w:fldCharType="end"/>
        </w:r>
      </w:hyperlink>
    </w:p>
    <w:p>
      <w:pPr>
        <w:pStyle w:val="TOC2"/>
        <w:tabs>
          <w:tab w:val="right" w:leader="dot" w:pos="8306"/>
        </w:tabs>
      </w:pPr>
      <w:hyperlink w:anchor="_Toc29203" w:history="1">
        <w:r>
          <w:rPr>
            <w:rFonts w:ascii="仿宋" w:eastAsia="仿宋" w:hAnsi="仿宋" w:cs="仿宋" w:hint="eastAsia"/>
            <w:lang w:eastAsia="zh-CN"/>
          </w:rPr>
          <w:t>(五)、体育专用地坪漆项目背景</w:t>
        </w:r>
        <w:r>
          <w:tab/>
        </w:r>
        <w:r>
          <w:fldChar w:fldCharType="begin"/>
        </w:r>
        <w:r>
          <w:instrText xml:space="preserve"> PAGEREF _Toc29203 \h </w:instrText>
        </w:r>
        <w:r>
          <w:fldChar w:fldCharType="separate"/>
        </w:r>
        <w:r>
          <w:t>22</w:t>
        </w:r>
        <w:r>
          <w:fldChar w:fldCharType="end"/>
        </w:r>
      </w:hyperlink>
    </w:p>
    <w:p>
      <w:pPr>
        <w:pStyle w:val="TOC1"/>
        <w:tabs>
          <w:tab w:val="right" w:leader="dot" w:pos="8306"/>
        </w:tabs>
      </w:pPr>
      <w:hyperlink w:anchor="_Toc13978" w:history="1">
        <w:r>
          <w:rPr>
            <w:rFonts w:ascii="仿宋" w:eastAsia="仿宋" w:hAnsi="仿宋" w:cs="仿宋" w:hint="eastAsia"/>
            <w:lang w:eastAsia="zh-CN"/>
          </w:rPr>
          <w:t>六、产品规划分析</w:t>
        </w:r>
        <w:r>
          <w:tab/>
        </w:r>
        <w:r>
          <w:fldChar w:fldCharType="begin"/>
        </w:r>
        <w:r>
          <w:instrText xml:space="preserve"> PAGEREF _Toc13978 \h </w:instrText>
        </w:r>
        <w:r>
          <w:fldChar w:fldCharType="separate"/>
        </w:r>
        <w:r>
          <w:t>23</w:t>
        </w:r>
        <w:r>
          <w:fldChar w:fldCharType="end"/>
        </w:r>
      </w:hyperlink>
    </w:p>
    <w:p>
      <w:pPr>
        <w:pStyle w:val="TOC2"/>
        <w:tabs>
          <w:tab w:val="right" w:leader="dot" w:pos="8306"/>
        </w:tabs>
      </w:pPr>
      <w:hyperlink w:anchor="_Toc10625" w:history="1">
        <w:r>
          <w:rPr>
            <w:rFonts w:ascii="仿宋" w:eastAsia="仿宋" w:hAnsi="仿宋" w:cs="仿宋" w:hint="eastAsia"/>
            <w:lang w:eastAsia="zh-CN"/>
          </w:rPr>
          <w:t>(一)、产品规划</w:t>
        </w:r>
        <w:r>
          <w:tab/>
        </w:r>
        <w:r>
          <w:fldChar w:fldCharType="begin"/>
        </w:r>
        <w:r>
          <w:instrText xml:space="preserve"> PAGEREF _Toc10625 \h </w:instrText>
        </w:r>
        <w:r>
          <w:fldChar w:fldCharType="separate"/>
        </w:r>
        <w:r>
          <w:t>23</w:t>
        </w:r>
        <w:r>
          <w:fldChar w:fldCharType="end"/>
        </w:r>
      </w:hyperlink>
    </w:p>
    <w:p>
      <w:pPr>
        <w:pStyle w:val="TOC2"/>
        <w:tabs>
          <w:tab w:val="right" w:leader="dot" w:pos="8306"/>
        </w:tabs>
      </w:pPr>
      <w:hyperlink w:anchor="_Toc9863" w:history="1">
        <w:r>
          <w:rPr>
            <w:rFonts w:ascii="仿宋" w:eastAsia="仿宋" w:hAnsi="仿宋" w:cs="仿宋" w:hint="eastAsia"/>
            <w:lang w:eastAsia="zh-CN"/>
          </w:rPr>
          <w:t>(二)、建设规模</w:t>
        </w:r>
        <w:r>
          <w:tab/>
        </w:r>
        <w:r>
          <w:fldChar w:fldCharType="begin"/>
        </w:r>
        <w:r>
          <w:instrText xml:space="preserve"> PAGEREF _Toc9863 \h </w:instrText>
        </w:r>
        <w:r>
          <w:fldChar w:fldCharType="separate"/>
        </w:r>
        <w:r>
          <w:t>24</w:t>
        </w:r>
        <w:r>
          <w:fldChar w:fldCharType="end"/>
        </w:r>
      </w:hyperlink>
    </w:p>
    <w:p>
      <w:pPr>
        <w:pStyle w:val="TOC1"/>
        <w:tabs>
          <w:tab w:val="right" w:leader="dot" w:pos="8306"/>
        </w:tabs>
      </w:pPr>
      <w:hyperlink w:anchor="_Toc10417" w:history="1">
        <w:r>
          <w:rPr>
            <w:rFonts w:ascii="仿宋" w:eastAsia="仿宋" w:hAnsi="仿宋" w:cs="仿宋" w:hint="eastAsia"/>
            <w:lang w:eastAsia="zh-CN"/>
          </w:rPr>
          <w:t>七、体育专用地坪漆项目技术管理</w:t>
        </w:r>
        <w:r>
          <w:tab/>
        </w:r>
        <w:r>
          <w:fldChar w:fldCharType="begin"/>
        </w:r>
        <w:r>
          <w:instrText xml:space="preserve"> PAGEREF _Toc10417 \h </w:instrText>
        </w:r>
        <w:r>
          <w:fldChar w:fldCharType="separate"/>
        </w:r>
        <w:r>
          <w:t>25</w:t>
        </w:r>
        <w:r>
          <w:fldChar w:fldCharType="end"/>
        </w:r>
      </w:hyperlink>
    </w:p>
    <w:p>
      <w:pPr>
        <w:pStyle w:val="TOC2"/>
        <w:tabs>
          <w:tab w:val="right" w:leader="dot" w:pos="8306"/>
        </w:tabs>
      </w:pPr>
      <w:hyperlink w:anchor="_Toc1840" w:history="1">
        <w:r>
          <w:rPr>
            <w:rFonts w:ascii="仿宋" w:eastAsia="仿宋" w:hAnsi="仿宋" w:cs="仿宋" w:hint="eastAsia"/>
            <w:lang w:eastAsia="zh-CN"/>
          </w:rPr>
          <w:t>(一)、技术方案选用方向</w:t>
        </w:r>
        <w:r>
          <w:tab/>
        </w:r>
        <w:r>
          <w:fldChar w:fldCharType="begin"/>
        </w:r>
        <w:r>
          <w:instrText xml:space="preserve"> PAGEREF _Toc1840 \h </w:instrText>
        </w:r>
        <w:r>
          <w:fldChar w:fldCharType="separate"/>
        </w:r>
        <w:r>
          <w:t>25</w:t>
        </w:r>
        <w:r>
          <w:fldChar w:fldCharType="end"/>
        </w:r>
      </w:hyperlink>
    </w:p>
    <w:p>
      <w:pPr>
        <w:pStyle w:val="TOC2"/>
        <w:tabs>
          <w:tab w:val="right" w:leader="dot" w:pos="8306"/>
        </w:tabs>
      </w:pPr>
      <w:hyperlink w:anchor="_Toc2738" w:history="1">
        <w:r>
          <w:rPr>
            <w:rFonts w:ascii="仿宋" w:eastAsia="仿宋" w:hAnsi="仿宋" w:cs="仿宋" w:hint="eastAsia"/>
            <w:lang w:eastAsia="zh-CN"/>
          </w:rPr>
          <w:t>(二)、工艺技术方案选用原则</w:t>
        </w:r>
        <w:r>
          <w:tab/>
        </w:r>
        <w:r>
          <w:fldChar w:fldCharType="begin"/>
        </w:r>
        <w:r>
          <w:instrText xml:space="preserve"> PAGEREF _Toc2738 \h </w:instrText>
        </w:r>
        <w:r>
          <w:fldChar w:fldCharType="separate"/>
        </w:r>
        <w:r>
          <w:t>27</w:t>
        </w:r>
        <w:r>
          <w:fldChar w:fldCharType="end"/>
        </w:r>
      </w:hyperlink>
    </w:p>
    <w:p>
      <w:pPr>
        <w:pStyle w:val="TOC2"/>
        <w:tabs>
          <w:tab w:val="right" w:leader="dot" w:pos="8306"/>
        </w:tabs>
      </w:pPr>
      <w:hyperlink w:anchor="_Toc31069" w:history="1">
        <w:r>
          <w:rPr>
            <w:rFonts w:ascii="仿宋" w:eastAsia="仿宋" w:hAnsi="仿宋" w:cs="仿宋" w:hint="eastAsia"/>
            <w:lang w:eastAsia="zh-CN"/>
          </w:rPr>
          <w:t>(三)、工艺技术方案要求</w:t>
        </w:r>
        <w:r>
          <w:tab/>
        </w:r>
        <w:r>
          <w:fldChar w:fldCharType="begin"/>
        </w:r>
        <w:r>
          <w:instrText xml:space="preserve"> PAGEREF _Toc31069 \h </w:instrText>
        </w:r>
        <w:r>
          <w:fldChar w:fldCharType="separate"/>
        </w:r>
        <w:r>
          <w:t>29</w:t>
        </w:r>
        <w:r>
          <w:fldChar w:fldCharType="end"/>
        </w:r>
      </w:hyperlink>
    </w:p>
    <w:p>
      <w:pPr>
        <w:pStyle w:val="TOC1"/>
        <w:tabs>
          <w:tab w:val="right" w:leader="dot" w:pos="8306"/>
        </w:tabs>
      </w:pPr>
      <w:hyperlink w:anchor="_Toc32571" w:history="1">
        <w:r>
          <w:rPr>
            <w:rFonts w:ascii="仿宋" w:eastAsia="仿宋" w:hAnsi="仿宋" w:cs="仿宋" w:hint="eastAsia"/>
            <w:lang w:eastAsia="zh-CN"/>
          </w:rPr>
          <w:t>八、生产安全保护</w:t>
        </w:r>
        <w:r>
          <w:tab/>
        </w:r>
        <w:r>
          <w:fldChar w:fldCharType="begin"/>
        </w:r>
        <w:r>
          <w:instrText xml:space="preserve"> PAGEREF _Toc32571 \h </w:instrText>
        </w:r>
        <w:r>
          <w:fldChar w:fldCharType="separate"/>
        </w:r>
        <w:r>
          <w:t>31</w:t>
        </w:r>
        <w:r>
          <w:fldChar w:fldCharType="end"/>
        </w:r>
      </w:hyperlink>
    </w:p>
    <w:p>
      <w:pPr>
        <w:pStyle w:val="TOC2"/>
        <w:tabs>
          <w:tab w:val="right" w:leader="dot" w:pos="8306"/>
        </w:tabs>
      </w:pPr>
      <w:hyperlink w:anchor="_Toc32694" w:history="1">
        <w:r>
          <w:rPr>
            <w:rFonts w:ascii="仿宋" w:eastAsia="仿宋" w:hAnsi="仿宋" w:cs="仿宋" w:hint="eastAsia"/>
            <w:lang w:eastAsia="zh-CN"/>
          </w:rPr>
          <w:t>(一)、消防安全</w:t>
        </w:r>
        <w:r>
          <w:tab/>
        </w:r>
        <w:r>
          <w:fldChar w:fldCharType="begin"/>
        </w:r>
        <w:r>
          <w:instrText xml:space="preserve"> PAGEREF _Toc32694 \h </w:instrText>
        </w:r>
        <w:r>
          <w:fldChar w:fldCharType="separate"/>
        </w:r>
        <w:r>
          <w:t>31</w:t>
        </w:r>
        <w:r>
          <w:fldChar w:fldCharType="end"/>
        </w:r>
      </w:hyperlink>
    </w:p>
    <w:p>
      <w:pPr>
        <w:pStyle w:val="TOC2"/>
        <w:tabs>
          <w:tab w:val="right" w:leader="dot" w:pos="8306"/>
        </w:tabs>
      </w:pPr>
      <w:hyperlink w:anchor="_Toc28916" w:history="1">
        <w:r>
          <w:rPr>
            <w:rFonts w:ascii="仿宋" w:eastAsia="仿宋" w:hAnsi="仿宋" w:cs="仿宋" w:hint="eastAsia"/>
            <w:lang w:eastAsia="zh-CN"/>
          </w:rPr>
          <w:t>(二)、防火防爆总图布置措施</w:t>
        </w:r>
        <w:r>
          <w:tab/>
        </w:r>
        <w:r>
          <w:fldChar w:fldCharType="begin"/>
        </w:r>
        <w:r>
          <w:instrText xml:space="preserve"> PAGEREF _Toc28916 \h </w:instrText>
        </w:r>
        <w:r>
          <w:fldChar w:fldCharType="separate"/>
        </w:r>
        <w:r>
          <w:t>33</w:t>
        </w:r>
        <w:r>
          <w:fldChar w:fldCharType="end"/>
        </w:r>
      </w:hyperlink>
    </w:p>
    <w:p>
      <w:pPr>
        <w:pStyle w:val="TOC2"/>
        <w:tabs>
          <w:tab w:val="right" w:leader="dot" w:pos="8306"/>
        </w:tabs>
      </w:pPr>
      <w:hyperlink w:anchor="_Toc2650" w:history="1">
        <w:r>
          <w:rPr>
            <w:rFonts w:ascii="仿宋" w:eastAsia="仿宋" w:hAnsi="仿宋" w:cs="仿宋" w:hint="eastAsia"/>
            <w:lang w:eastAsia="zh-CN"/>
          </w:rPr>
          <w:t>(三)、自然灾害防范措施</w:t>
        </w:r>
        <w:r>
          <w:tab/>
        </w:r>
        <w:r>
          <w:fldChar w:fldCharType="begin"/>
        </w:r>
        <w:r>
          <w:instrText xml:space="preserve"> PAGEREF _Toc2650 \h </w:instrText>
        </w:r>
        <w:r>
          <w:fldChar w:fldCharType="separate"/>
        </w:r>
        <w:r>
          <w:t>34</w:t>
        </w:r>
        <w:r>
          <w:fldChar w:fldCharType="end"/>
        </w:r>
      </w:hyperlink>
    </w:p>
    <w:p>
      <w:pPr>
        <w:pStyle w:val="TOC2"/>
        <w:tabs>
          <w:tab w:val="right" w:leader="dot" w:pos="8306"/>
        </w:tabs>
      </w:pPr>
      <w:hyperlink w:anchor="_Toc26422" w:history="1">
        <w:r>
          <w:rPr>
            <w:rFonts w:ascii="仿宋" w:eastAsia="仿宋" w:hAnsi="仿宋" w:cs="仿宋" w:hint="eastAsia"/>
            <w:lang w:eastAsia="zh-CN"/>
          </w:rPr>
          <w:t>(四)、安全色及安全标志使用要求</w:t>
        </w:r>
        <w:r>
          <w:tab/>
        </w:r>
        <w:r>
          <w:fldChar w:fldCharType="begin"/>
        </w:r>
        <w:r>
          <w:instrText xml:space="preserve"> PAGEREF _Toc26422 \h </w:instrText>
        </w:r>
        <w:r>
          <w:fldChar w:fldCharType="separate"/>
        </w:r>
        <w:r>
          <w:t>35</w:t>
        </w:r>
        <w:r>
          <w:fldChar w:fldCharType="end"/>
        </w:r>
      </w:hyperlink>
    </w:p>
    <w:p>
      <w:pPr>
        <w:pStyle w:val="TOC2"/>
        <w:tabs>
          <w:tab w:val="right" w:leader="dot" w:pos="8306"/>
        </w:tabs>
      </w:pPr>
      <w:hyperlink w:anchor="_Toc17453" w:history="1">
        <w:r>
          <w:rPr>
            <w:rFonts w:ascii="仿宋" w:eastAsia="仿宋" w:hAnsi="仿宋" w:cs="仿宋" w:hint="eastAsia"/>
            <w:lang w:eastAsia="zh-CN"/>
          </w:rPr>
          <w:t>(五)、防尘防毒措施</w:t>
        </w:r>
        <w:r>
          <w:tab/>
        </w:r>
        <w:r>
          <w:fldChar w:fldCharType="begin"/>
        </w:r>
        <w:r>
          <w:instrText xml:space="preserve"> PAGEREF _Toc17453 \h </w:instrText>
        </w:r>
        <w:r>
          <w:fldChar w:fldCharType="separate"/>
        </w:r>
        <w:r>
          <w:t>36</w:t>
        </w:r>
        <w:r>
          <w:fldChar w:fldCharType="end"/>
        </w:r>
      </w:hyperlink>
    </w:p>
    <w:p>
      <w:pPr>
        <w:pStyle w:val="TOC2"/>
        <w:tabs>
          <w:tab w:val="right" w:leader="dot" w:pos="8306"/>
        </w:tabs>
      </w:pPr>
      <w:hyperlink w:anchor="_Toc18069" w:history="1">
        <w:r>
          <w:rPr>
            <w:rFonts w:ascii="仿宋" w:eastAsia="仿宋" w:hAnsi="仿宋" w:cs="仿宋" w:hint="eastAsia"/>
            <w:lang w:eastAsia="zh-CN"/>
          </w:rPr>
          <w:t>(六)、防静电、触电防护及防雷措施</w:t>
        </w:r>
        <w:r>
          <w:tab/>
        </w:r>
        <w:r>
          <w:fldChar w:fldCharType="begin"/>
        </w:r>
        <w:r>
          <w:instrText xml:space="preserve"> PAGEREF _Toc18069 \h </w:instrText>
        </w:r>
        <w:r>
          <w:fldChar w:fldCharType="separate"/>
        </w:r>
        <w:r>
          <w:t>37</w:t>
        </w:r>
        <w:r>
          <w:fldChar w:fldCharType="end"/>
        </w:r>
      </w:hyperlink>
    </w:p>
    <w:p>
      <w:pPr>
        <w:pStyle w:val="TOC2"/>
        <w:tabs>
          <w:tab w:val="right" w:leader="dot" w:pos="8306"/>
        </w:tabs>
      </w:pPr>
      <w:hyperlink w:anchor="_Toc22442" w:history="1">
        <w:r>
          <w:rPr>
            <w:rFonts w:ascii="仿宋" w:eastAsia="仿宋" w:hAnsi="仿宋" w:cs="仿宋" w:hint="eastAsia"/>
            <w:lang w:eastAsia="zh-CN"/>
          </w:rPr>
          <w:t>(七)、机械设备安全保障措施</w:t>
        </w:r>
        <w:r>
          <w:tab/>
        </w:r>
        <w:r>
          <w:fldChar w:fldCharType="begin"/>
        </w:r>
        <w:r>
          <w:instrText xml:space="preserve"> PAGEREF _Toc22442 \h </w:instrText>
        </w:r>
        <w:r>
          <w:fldChar w:fldCharType="separate"/>
        </w:r>
        <w:r>
          <w:t>38</w:t>
        </w:r>
        <w:r>
          <w:fldChar w:fldCharType="end"/>
        </w:r>
      </w:hyperlink>
    </w:p>
    <w:p>
      <w:pPr>
        <w:pStyle w:val="TOC1"/>
        <w:tabs>
          <w:tab w:val="right" w:leader="dot" w:pos="8306"/>
        </w:tabs>
      </w:pPr>
      <w:hyperlink w:anchor="_Toc28399" w:history="1">
        <w:r>
          <w:rPr>
            <w:rFonts w:ascii="仿宋" w:eastAsia="仿宋" w:hAnsi="仿宋" w:cs="仿宋" w:hint="eastAsia"/>
            <w:lang w:eastAsia="zh-CN"/>
          </w:rPr>
          <w:t>九、体育专用地坪漆项目经营效益</w:t>
        </w:r>
        <w:r>
          <w:tab/>
        </w:r>
        <w:r>
          <w:fldChar w:fldCharType="begin"/>
        </w:r>
        <w:r>
          <w:instrText xml:space="preserve"> PAGEREF _Toc28399 \h </w:instrText>
        </w:r>
        <w:r>
          <w:fldChar w:fldCharType="separate"/>
        </w:r>
        <w:r>
          <w:t>39</w:t>
        </w:r>
        <w:r>
          <w:fldChar w:fldCharType="end"/>
        </w:r>
      </w:hyperlink>
    </w:p>
    <w:p>
      <w:pPr>
        <w:pStyle w:val="TOC2"/>
        <w:tabs>
          <w:tab w:val="right" w:leader="dot" w:pos="8306"/>
        </w:tabs>
      </w:pPr>
      <w:hyperlink w:anchor="_Toc20288" w:history="1">
        <w:r>
          <w:rPr>
            <w:rFonts w:ascii="仿宋" w:eastAsia="仿宋" w:hAnsi="仿宋" w:cs="仿宋" w:hint="eastAsia"/>
            <w:lang w:eastAsia="zh-CN"/>
          </w:rPr>
          <w:t>(一)、经济评价财务测算</w:t>
        </w:r>
        <w:r>
          <w:tab/>
        </w:r>
        <w:r>
          <w:fldChar w:fldCharType="begin"/>
        </w:r>
        <w:r>
          <w:instrText xml:space="preserve"> PAGEREF _Toc20288 \h </w:instrText>
        </w:r>
        <w:r>
          <w:fldChar w:fldCharType="separate"/>
        </w:r>
        <w:r>
          <w:t>39</w:t>
        </w:r>
        <w:r>
          <w:fldChar w:fldCharType="end"/>
        </w:r>
      </w:hyperlink>
    </w:p>
    <w:p>
      <w:pPr>
        <w:pStyle w:val="TOC2"/>
        <w:tabs>
          <w:tab w:val="right" w:leader="dot" w:pos="8306"/>
        </w:tabs>
      </w:pPr>
      <w:hyperlink w:anchor="_Toc27360" w:history="1">
        <w:r>
          <w:rPr>
            <w:rFonts w:ascii="仿宋" w:eastAsia="仿宋" w:hAnsi="仿宋" w:cs="仿宋" w:hint="eastAsia"/>
            <w:lang w:eastAsia="zh-CN"/>
          </w:rPr>
          <w:t>(二)、体育专用地坪漆项目盈利能力分析</w:t>
        </w:r>
        <w:r>
          <w:tab/>
        </w:r>
        <w:r>
          <w:fldChar w:fldCharType="begin"/>
        </w:r>
        <w:r>
          <w:instrText xml:space="preserve"> PAGEREF _Toc27360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95" w:history="1">
        <w:r>
          <w:rPr>
            <w:rFonts w:ascii="仿宋" w:eastAsia="仿宋" w:hAnsi="仿宋" w:cs="仿宋" w:hint="eastAsia"/>
            <w:lang w:eastAsia="zh-CN"/>
          </w:rPr>
          <w:t>十、体育专用地坪漆项目财务管理</w:t>
        </w:r>
        <w:r>
          <w:tab/>
        </w:r>
        <w:r>
          <w:fldChar w:fldCharType="begin"/>
        </w:r>
        <w:r>
          <w:instrText xml:space="preserve"> PAGEREF _Toc5495 \h </w:instrText>
        </w:r>
        <w:r>
          <w:fldChar w:fldCharType="separate"/>
        </w:r>
        <w:r>
          <w:t>41</w:t>
        </w:r>
        <w:r>
          <w:fldChar w:fldCharType="end"/>
        </w:r>
      </w:hyperlink>
    </w:p>
    <w:p>
      <w:pPr>
        <w:pStyle w:val="TOC2"/>
        <w:tabs>
          <w:tab w:val="right" w:leader="dot" w:pos="8306"/>
        </w:tabs>
      </w:pPr>
      <w:hyperlink w:anchor="_Toc17341" w:history="1">
        <w:r>
          <w:rPr>
            <w:rFonts w:ascii="仿宋" w:eastAsia="仿宋" w:hAnsi="仿宋" w:cs="仿宋" w:hint="eastAsia"/>
            <w:lang w:eastAsia="zh-CN"/>
          </w:rPr>
          <w:t>(一)、资金需求大</w:t>
        </w:r>
        <w:r>
          <w:tab/>
        </w:r>
        <w:r>
          <w:fldChar w:fldCharType="begin"/>
        </w:r>
        <w:r>
          <w:instrText xml:space="preserve"> PAGEREF _Toc17341 \h </w:instrText>
        </w:r>
        <w:r>
          <w:fldChar w:fldCharType="separate"/>
        </w:r>
        <w:r>
          <w:t>41</w:t>
        </w:r>
        <w:r>
          <w:fldChar w:fldCharType="end"/>
        </w:r>
      </w:hyperlink>
    </w:p>
    <w:p>
      <w:pPr>
        <w:pStyle w:val="TOC2"/>
        <w:tabs>
          <w:tab w:val="right" w:leader="dot" w:pos="8306"/>
        </w:tabs>
      </w:pPr>
      <w:hyperlink w:anchor="_Toc31610" w:history="1">
        <w:r>
          <w:rPr>
            <w:rFonts w:ascii="仿宋" w:eastAsia="仿宋" w:hAnsi="仿宋" w:cs="仿宋" w:hint="eastAsia"/>
            <w:lang w:eastAsia="zh-CN"/>
          </w:rPr>
          <w:t>(二)、研发周期长</w:t>
        </w:r>
        <w:r>
          <w:tab/>
        </w:r>
        <w:r>
          <w:fldChar w:fldCharType="begin"/>
        </w:r>
        <w:r>
          <w:instrText xml:space="preserve"> PAGEREF _Toc31610 \h </w:instrText>
        </w:r>
        <w:r>
          <w:fldChar w:fldCharType="separate"/>
        </w:r>
        <w:r>
          <w:t>43</w:t>
        </w:r>
        <w:r>
          <w:fldChar w:fldCharType="end"/>
        </w:r>
      </w:hyperlink>
    </w:p>
    <w:p>
      <w:pPr>
        <w:pStyle w:val="TOC2"/>
        <w:tabs>
          <w:tab w:val="right" w:leader="dot" w:pos="8306"/>
        </w:tabs>
      </w:pPr>
      <w:hyperlink w:anchor="_Toc26249" w:history="1">
        <w:r>
          <w:rPr>
            <w:rFonts w:ascii="仿宋" w:eastAsia="仿宋" w:hAnsi="仿宋" w:cs="仿宋" w:hint="eastAsia"/>
            <w:lang w:eastAsia="zh-CN"/>
          </w:rPr>
          <w:t>(三)、市场风险大</w:t>
        </w:r>
        <w:r>
          <w:tab/>
        </w:r>
        <w:r>
          <w:fldChar w:fldCharType="begin"/>
        </w:r>
        <w:r>
          <w:instrText xml:space="preserve"> PAGEREF _Toc26249 \h </w:instrText>
        </w:r>
        <w:r>
          <w:fldChar w:fldCharType="separate"/>
        </w:r>
        <w:r>
          <w:t>44</w:t>
        </w:r>
        <w:r>
          <w:fldChar w:fldCharType="end"/>
        </w:r>
      </w:hyperlink>
    </w:p>
    <w:p>
      <w:pPr>
        <w:pStyle w:val="TOC2"/>
        <w:tabs>
          <w:tab w:val="right" w:leader="dot" w:pos="8306"/>
        </w:tabs>
      </w:pPr>
      <w:hyperlink w:anchor="_Toc8377" w:history="1">
        <w:r>
          <w:rPr>
            <w:rFonts w:ascii="仿宋" w:eastAsia="仿宋" w:hAnsi="仿宋" w:cs="仿宋" w:hint="eastAsia"/>
            <w:lang w:eastAsia="zh-CN"/>
          </w:rPr>
          <w:t>(四)、利润率高</w:t>
        </w:r>
        <w:r>
          <w:tab/>
        </w:r>
        <w:r>
          <w:fldChar w:fldCharType="begin"/>
        </w:r>
        <w:r>
          <w:instrText xml:space="preserve"> PAGEREF _Toc8377 \h </w:instrText>
        </w:r>
        <w:r>
          <w:fldChar w:fldCharType="separate"/>
        </w:r>
        <w:r>
          <w:t>47</w:t>
        </w:r>
        <w:r>
          <w:fldChar w:fldCharType="end"/>
        </w:r>
      </w:hyperlink>
    </w:p>
    <w:p>
      <w:pPr>
        <w:pStyle w:val="TOC1"/>
        <w:tabs>
          <w:tab w:val="right" w:leader="dot" w:pos="8306"/>
        </w:tabs>
      </w:pPr>
      <w:hyperlink w:anchor="_Toc10630" w:history="1">
        <w:r>
          <w:rPr>
            <w:rFonts w:ascii="仿宋" w:eastAsia="仿宋" w:hAnsi="仿宋" w:cs="仿宋" w:hint="eastAsia"/>
            <w:lang w:eastAsia="zh-CN"/>
          </w:rPr>
          <w:t>十一、体育专用地坪漆项目人力资源培养与发展</w:t>
        </w:r>
        <w:r>
          <w:tab/>
        </w:r>
        <w:r>
          <w:fldChar w:fldCharType="begin"/>
        </w:r>
        <w:r>
          <w:instrText xml:space="preserve"> PAGEREF _Toc10630 \h </w:instrText>
        </w:r>
        <w:r>
          <w:fldChar w:fldCharType="separate"/>
        </w:r>
        <w:r>
          <w:t>49</w:t>
        </w:r>
        <w:r>
          <w:fldChar w:fldCharType="end"/>
        </w:r>
      </w:hyperlink>
    </w:p>
    <w:p>
      <w:pPr>
        <w:pStyle w:val="TOC2"/>
        <w:tabs>
          <w:tab w:val="right" w:leader="dot" w:pos="8306"/>
        </w:tabs>
      </w:pPr>
      <w:hyperlink w:anchor="_Toc11447" w:history="1">
        <w:r>
          <w:rPr>
            <w:rFonts w:ascii="仿宋" w:eastAsia="仿宋" w:hAnsi="仿宋" w:cs="仿宋" w:hint="eastAsia"/>
            <w:lang w:eastAsia="zh-CN"/>
          </w:rPr>
          <w:t>(一)、人才需求与规划</w:t>
        </w:r>
        <w:r>
          <w:tab/>
        </w:r>
        <w:r>
          <w:fldChar w:fldCharType="begin"/>
        </w:r>
        <w:r>
          <w:instrText xml:space="preserve"> PAGEREF _Toc11447 \h </w:instrText>
        </w:r>
        <w:r>
          <w:fldChar w:fldCharType="separate"/>
        </w:r>
        <w:r>
          <w:t>49</w:t>
        </w:r>
        <w:r>
          <w:fldChar w:fldCharType="end"/>
        </w:r>
      </w:hyperlink>
    </w:p>
    <w:p>
      <w:pPr>
        <w:pStyle w:val="TOC2"/>
        <w:tabs>
          <w:tab w:val="right" w:leader="dot" w:pos="8306"/>
        </w:tabs>
      </w:pPr>
      <w:hyperlink w:anchor="_Toc16203" w:history="1">
        <w:r>
          <w:rPr>
            <w:rFonts w:ascii="仿宋" w:eastAsia="仿宋" w:hAnsi="仿宋" w:cs="仿宋" w:hint="eastAsia"/>
            <w:lang w:eastAsia="zh-CN"/>
          </w:rPr>
          <w:t>(二)、培训与发展计划</w:t>
        </w:r>
        <w:r>
          <w:tab/>
        </w:r>
        <w:r>
          <w:fldChar w:fldCharType="begin"/>
        </w:r>
        <w:r>
          <w:instrText xml:space="preserve"> PAGEREF _Toc16203 \h </w:instrText>
        </w:r>
        <w:r>
          <w:fldChar w:fldCharType="separate"/>
        </w:r>
        <w:r>
          <w:t>49</w:t>
        </w:r>
        <w:r>
          <w:fldChar w:fldCharType="end"/>
        </w:r>
      </w:hyperlink>
    </w:p>
    <w:p>
      <w:pPr>
        <w:pStyle w:val="TOC1"/>
        <w:tabs>
          <w:tab w:val="right" w:leader="dot" w:pos="8306"/>
        </w:tabs>
      </w:pPr>
      <w:hyperlink w:anchor="_Toc5195" w:history="1">
        <w:r>
          <w:rPr>
            <w:rFonts w:ascii="仿宋" w:eastAsia="仿宋" w:hAnsi="仿宋" w:cs="仿宋" w:hint="eastAsia"/>
            <w:lang w:eastAsia="zh-CN"/>
          </w:rPr>
          <w:t>十二、体育专用地坪漆项目投资规划</w:t>
        </w:r>
        <w:r>
          <w:tab/>
        </w:r>
        <w:r>
          <w:fldChar w:fldCharType="begin"/>
        </w:r>
        <w:r>
          <w:instrText xml:space="preserve"> PAGEREF _Toc5195 \h </w:instrText>
        </w:r>
        <w:r>
          <w:fldChar w:fldCharType="separate"/>
        </w:r>
        <w:r>
          <w:t>50</w:t>
        </w:r>
        <w:r>
          <w:fldChar w:fldCharType="end"/>
        </w:r>
      </w:hyperlink>
    </w:p>
    <w:p>
      <w:pPr>
        <w:pStyle w:val="TOC2"/>
        <w:tabs>
          <w:tab w:val="right" w:leader="dot" w:pos="8306"/>
        </w:tabs>
      </w:pPr>
      <w:hyperlink w:anchor="_Toc2948" w:history="1">
        <w:r>
          <w:rPr>
            <w:rFonts w:ascii="仿宋" w:eastAsia="仿宋" w:hAnsi="仿宋" w:cs="仿宋" w:hint="eastAsia"/>
            <w:lang w:eastAsia="zh-CN"/>
          </w:rPr>
          <w:t>(一)、体育专用地坪漆项目总投资估算</w:t>
        </w:r>
        <w:r>
          <w:tab/>
        </w:r>
        <w:r>
          <w:fldChar w:fldCharType="begin"/>
        </w:r>
        <w:r>
          <w:instrText xml:space="preserve"> PAGEREF _Toc2948 \h </w:instrText>
        </w:r>
        <w:r>
          <w:fldChar w:fldCharType="separate"/>
        </w:r>
        <w:r>
          <w:t>50</w:t>
        </w:r>
        <w:r>
          <w:fldChar w:fldCharType="end"/>
        </w:r>
      </w:hyperlink>
    </w:p>
    <w:p>
      <w:pPr>
        <w:pStyle w:val="TOC2"/>
        <w:tabs>
          <w:tab w:val="right" w:leader="dot" w:pos="8306"/>
        </w:tabs>
      </w:pPr>
      <w:hyperlink w:anchor="_Toc11736" w:history="1">
        <w:r>
          <w:rPr>
            <w:rFonts w:ascii="仿宋" w:eastAsia="仿宋" w:hAnsi="仿宋" w:cs="仿宋" w:hint="eastAsia"/>
            <w:lang w:eastAsia="zh-CN"/>
          </w:rPr>
          <w:t>(二)、资金筹措</w:t>
        </w:r>
        <w:r>
          <w:tab/>
        </w:r>
        <w:r>
          <w:fldChar w:fldCharType="begin"/>
        </w:r>
        <w:r>
          <w:instrText xml:space="preserve"> PAGEREF _Toc11736 \h </w:instrText>
        </w:r>
        <w:r>
          <w:fldChar w:fldCharType="separate"/>
        </w:r>
        <w:r>
          <w:t>51</w:t>
        </w:r>
        <w:r>
          <w:fldChar w:fldCharType="end"/>
        </w:r>
      </w:hyperlink>
    </w:p>
    <w:p>
      <w:pPr>
        <w:pStyle w:val="TOC1"/>
        <w:tabs>
          <w:tab w:val="right" w:leader="dot" w:pos="8306"/>
        </w:tabs>
      </w:pPr>
      <w:hyperlink w:anchor="_Toc11983" w:history="1">
        <w:r>
          <w:rPr>
            <w:rFonts w:ascii="仿宋" w:eastAsia="仿宋" w:hAnsi="仿宋" w:cs="仿宋" w:hint="eastAsia"/>
            <w:lang w:eastAsia="zh-CN"/>
          </w:rPr>
          <w:t>十三、风险识别与分类</w:t>
        </w:r>
        <w:r>
          <w:tab/>
        </w:r>
        <w:r>
          <w:fldChar w:fldCharType="begin"/>
        </w:r>
        <w:r>
          <w:instrText xml:space="preserve"> PAGEREF _Toc11983 \h </w:instrText>
        </w:r>
        <w:r>
          <w:fldChar w:fldCharType="separate"/>
        </w:r>
        <w:r>
          <w:t>52</w:t>
        </w:r>
        <w:r>
          <w:fldChar w:fldCharType="end"/>
        </w:r>
      </w:hyperlink>
    </w:p>
    <w:p>
      <w:pPr>
        <w:pStyle w:val="TOC2"/>
        <w:tabs>
          <w:tab w:val="right" w:leader="dot" w:pos="8306"/>
        </w:tabs>
      </w:pPr>
      <w:hyperlink w:anchor="_Toc13380" w:history="1">
        <w:r>
          <w:rPr>
            <w:rFonts w:ascii="仿宋" w:eastAsia="仿宋" w:hAnsi="仿宋" w:cs="仿宋" w:hint="eastAsia"/>
            <w:lang w:eastAsia="zh-CN"/>
          </w:rPr>
          <w:t>(一)、风险识别</w:t>
        </w:r>
        <w:r>
          <w:tab/>
        </w:r>
        <w:r>
          <w:fldChar w:fldCharType="begin"/>
        </w:r>
        <w:r>
          <w:instrText xml:space="preserve"> PAGEREF _Toc13380 \h </w:instrText>
        </w:r>
        <w:r>
          <w:fldChar w:fldCharType="separate"/>
        </w:r>
        <w:r>
          <w:t>52</w:t>
        </w:r>
        <w:r>
          <w:fldChar w:fldCharType="end"/>
        </w:r>
      </w:hyperlink>
    </w:p>
    <w:p>
      <w:pPr>
        <w:pStyle w:val="TOC2"/>
        <w:tabs>
          <w:tab w:val="right" w:leader="dot" w:pos="8306"/>
        </w:tabs>
      </w:pPr>
      <w:hyperlink w:anchor="_Toc2633" w:history="1">
        <w:r>
          <w:rPr>
            <w:rFonts w:ascii="仿宋" w:eastAsia="仿宋" w:hAnsi="仿宋" w:cs="仿宋" w:hint="eastAsia"/>
            <w:lang w:eastAsia="zh-CN"/>
          </w:rPr>
          <w:t>(二)、风险分类</w:t>
        </w:r>
        <w:r>
          <w:tab/>
        </w:r>
        <w:r>
          <w:fldChar w:fldCharType="begin"/>
        </w:r>
        <w:r>
          <w:instrText xml:space="preserve"> PAGEREF _Toc2633 \h </w:instrText>
        </w:r>
        <w:r>
          <w:fldChar w:fldCharType="separate"/>
        </w:r>
        <w:r>
          <w:t>53</w:t>
        </w:r>
        <w:r>
          <w:fldChar w:fldCharType="end"/>
        </w:r>
      </w:hyperlink>
    </w:p>
    <w:p>
      <w:pPr>
        <w:pStyle w:val="TOC1"/>
        <w:tabs>
          <w:tab w:val="right" w:leader="dot" w:pos="8306"/>
        </w:tabs>
      </w:pPr>
      <w:hyperlink w:anchor="_Toc5819" w:history="1">
        <w:r>
          <w:rPr>
            <w:rFonts w:ascii="仿宋" w:eastAsia="仿宋" w:hAnsi="仿宋" w:cs="仿宋" w:hint="eastAsia"/>
            <w:lang w:eastAsia="zh-CN"/>
          </w:rPr>
          <w:t>十四、营销与推广策略</w:t>
        </w:r>
        <w:r>
          <w:tab/>
        </w:r>
        <w:r>
          <w:fldChar w:fldCharType="begin"/>
        </w:r>
        <w:r>
          <w:instrText xml:space="preserve"> PAGEREF _Toc5819 \h </w:instrText>
        </w:r>
        <w:r>
          <w:fldChar w:fldCharType="separate"/>
        </w:r>
        <w:r>
          <w:t>55</w:t>
        </w:r>
        <w:r>
          <w:fldChar w:fldCharType="end"/>
        </w:r>
      </w:hyperlink>
    </w:p>
    <w:p>
      <w:pPr>
        <w:pStyle w:val="TOC2"/>
        <w:tabs>
          <w:tab w:val="right" w:leader="dot" w:pos="8306"/>
        </w:tabs>
      </w:pPr>
      <w:hyperlink w:anchor="_Toc16592" w:history="1">
        <w:r>
          <w:rPr>
            <w:rFonts w:ascii="仿宋" w:eastAsia="仿宋" w:hAnsi="仿宋" w:cs="仿宋" w:hint="eastAsia"/>
            <w:lang w:eastAsia="zh-CN"/>
          </w:rPr>
          <w:t>(一)、产品/服务定位与特点</w:t>
        </w:r>
        <w:r>
          <w:tab/>
        </w:r>
        <w:r>
          <w:fldChar w:fldCharType="begin"/>
        </w:r>
        <w:r>
          <w:instrText xml:space="preserve"> PAGEREF _Toc16592 \h </w:instrText>
        </w:r>
        <w:r>
          <w:fldChar w:fldCharType="separate"/>
        </w:r>
        <w:r>
          <w:t>55</w:t>
        </w:r>
        <w:r>
          <w:fldChar w:fldCharType="end"/>
        </w:r>
      </w:hyperlink>
    </w:p>
    <w:p>
      <w:pPr>
        <w:pStyle w:val="TOC2"/>
        <w:tabs>
          <w:tab w:val="right" w:leader="dot" w:pos="8306"/>
        </w:tabs>
      </w:pPr>
      <w:hyperlink w:anchor="_Toc9092" w:history="1">
        <w:r>
          <w:rPr>
            <w:rFonts w:ascii="仿宋" w:eastAsia="仿宋" w:hAnsi="仿宋" w:cs="仿宋" w:hint="eastAsia"/>
            <w:lang w:eastAsia="zh-CN"/>
          </w:rPr>
          <w:t>(二)、市场定位与竞争分析</w:t>
        </w:r>
        <w:r>
          <w:tab/>
        </w:r>
        <w:r>
          <w:fldChar w:fldCharType="begin"/>
        </w:r>
        <w:r>
          <w:instrText xml:space="preserve"> PAGEREF _Toc9092 \h </w:instrText>
        </w:r>
        <w:r>
          <w:fldChar w:fldCharType="separate"/>
        </w:r>
        <w:r>
          <w:t>56</w:t>
        </w:r>
        <w:r>
          <w:fldChar w:fldCharType="end"/>
        </w:r>
      </w:hyperlink>
    </w:p>
    <w:p>
      <w:pPr>
        <w:pStyle w:val="TOC2"/>
        <w:tabs>
          <w:tab w:val="right" w:leader="dot" w:pos="8306"/>
        </w:tabs>
      </w:pPr>
      <w:hyperlink w:anchor="_Toc11009" w:history="1">
        <w:r>
          <w:rPr>
            <w:rFonts w:ascii="仿宋" w:eastAsia="仿宋" w:hAnsi="仿宋" w:cs="仿宋" w:hint="eastAsia"/>
            <w:lang w:eastAsia="zh-CN"/>
          </w:rPr>
          <w:t>(三)、营销渠道与策略</w:t>
        </w:r>
        <w:r>
          <w:tab/>
        </w:r>
        <w:r>
          <w:fldChar w:fldCharType="begin"/>
        </w:r>
        <w:r>
          <w:instrText xml:space="preserve"> PAGEREF _Toc11009 \h </w:instrText>
        </w:r>
        <w:r>
          <w:fldChar w:fldCharType="separate"/>
        </w:r>
        <w:r>
          <w:t>58</w:t>
        </w:r>
        <w:r>
          <w:fldChar w:fldCharType="end"/>
        </w:r>
      </w:hyperlink>
    </w:p>
    <w:p>
      <w:pPr>
        <w:pStyle w:val="TOC2"/>
        <w:tabs>
          <w:tab w:val="right" w:leader="dot" w:pos="8306"/>
        </w:tabs>
      </w:pPr>
      <w:hyperlink w:anchor="_Toc20075" w:history="1">
        <w:r>
          <w:rPr>
            <w:rFonts w:ascii="仿宋" w:eastAsia="仿宋" w:hAnsi="仿宋" w:cs="仿宋" w:hint="eastAsia"/>
            <w:lang w:eastAsia="zh-CN"/>
          </w:rPr>
          <w:t>(四)、推广与宣传活动</w:t>
        </w:r>
        <w:r>
          <w:tab/>
        </w:r>
        <w:r>
          <w:fldChar w:fldCharType="begin"/>
        </w:r>
        <w:r>
          <w:instrText xml:space="preserve"> PAGEREF _Toc20075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98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201"/>
      <w:r>
        <w:rPr>
          <w:rFonts w:ascii="仿宋" w:eastAsia="仿宋" w:hAnsi="仿宋" w:cs="仿宋" w:hint="eastAsia"/>
          <w:sz w:val="28"/>
          <w:lang w:eastAsia="zh-CN"/>
        </w:rPr>
        <w:t>一、体育专用地坪漆项目文档管理</w:t>
      </w:r>
      <w:bookmarkEnd w:id="2"/>
    </w:p>
    <w:p>
      <w:pPr>
        <w:pStyle w:val="Heading2"/>
        <w:rPr>
          <w:rFonts w:ascii="仿宋" w:eastAsia="仿宋" w:hAnsi="仿宋" w:cs="仿宋" w:hint="eastAsia"/>
          <w:lang w:eastAsia="zh-CN"/>
        </w:rPr>
      </w:pPr>
      <w:bookmarkStart w:id="3" w:name="_Toc561"/>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体育专用地坪漆项目高度重视文档的质量和准确性，以支持体育专用地坪漆项目的各项活动和决策。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文档的编制始于体育专用地坪漆项目计划的初期，我们制定了详细的文档编制计划，明确了每个文档的内容、格式和编写责任人。在体育专用地坪漆项目启动阶段，我们首先编制了体育专用地坪漆项目章程，明确定义了体育专用地坪漆项目的目标、范围、风险等关键要素。随后，体育专用地坪漆项目团队根据计划陆续编制了需求文档、设计文档、测试文档等各类文档，确保体育专用地坪漆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体育专用地坪漆项目管理中的重要环节，旨在确保体育专用地坪漆项目文档符合质量标准和体育专用地坪漆项目需求。在体育专用地坪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体育专用地坪漆项目相关利益方和专业领域的专家对文档进行独立审查。这有助于获取更全面、客观的反馈，确保体育专用地坪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体育专用地坪漆项目在文档编制与审查方面建立了严格的管理机制，通过规范的流程和多维度的审查，确保体育专用地坪漆项目文档的质量、准确性和可靠性，为体育专用地坪漆项目的顺利推进提供了有力支持。</w:t>
      </w:r>
    </w:p>
    <w:p>
      <w:pPr>
        <w:pStyle w:val="Heading2"/>
        <w:ind w:firstLine="560" w:firstLineChars="200"/>
        <w:rPr>
          <w:rFonts w:ascii="仿宋" w:eastAsia="仿宋" w:hAnsi="仿宋" w:cs="仿宋" w:hint="eastAsia"/>
          <w:sz w:val="28"/>
          <w:lang w:eastAsia="zh-CN"/>
        </w:rPr>
      </w:pPr>
      <w:bookmarkStart w:id="4" w:name="_Toc972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我们通过多渠道发布文档，包括电子邮件、体育专用地坪漆项目管理平台、内部网站等，以满足不同团队成员的偏好和需求。多渠道发布确保了信息的全面覆盖。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我们采用了精细的权限控制，确保只有授权人员可以访问敏感信息。这种安全措施保护了体育专用地坪漆项目文档的机密性，防止了未经授权的信息泄露。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3041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体育专用地坪漆项目生命周期中一个至关重要的环节，直接关系到体育专用地坪漆项目信息的长期保存和历史记录的完整性。在体育专用地坪漆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700"/>
      <w:r>
        <w:rPr>
          <w:rFonts w:ascii="仿宋" w:eastAsia="仿宋" w:hAnsi="仿宋" w:cs="仿宋" w:hint="eastAsia"/>
          <w:sz w:val="28"/>
          <w:lang w:eastAsia="zh-CN"/>
        </w:rPr>
        <w:t>二、市场分析、调研</w:t>
      </w:r>
      <w:bookmarkEnd w:id="6"/>
    </w:p>
    <w:p>
      <w:pPr>
        <w:pStyle w:val="Heading2"/>
        <w:rPr>
          <w:rFonts w:ascii="仿宋" w:eastAsia="仿宋" w:hAnsi="仿宋" w:cs="仿宋" w:hint="eastAsia"/>
          <w:lang w:eastAsia="zh-CN"/>
        </w:rPr>
      </w:pPr>
      <w:bookmarkStart w:id="7" w:name="_Toc16852"/>
      <w:r>
        <w:rPr>
          <w:rFonts w:ascii="仿宋" w:eastAsia="仿宋" w:hAnsi="仿宋" w:cs="仿宋" w:hint="eastAsia"/>
          <w:lang w:eastAsia="zh-CN"/>
        </w:rPr>
        <w:t>(一)、体育专用地坪漆行业分析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行业一直以来都是市场的关注焦点。行业内的发展趋势、竞争态势以及潜在机会都对体育专用地坪漆项目的推进产生深远的影响。通过深入研究行业的整体概貌，我们将更好地理解行业的核心特征，为体育专用地坪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行业，技术一直是推动创新和发展的关键因素。我们将对当前技术趋势进行详尽分析，包括但不限于人工智能、大数据应用、先进制造技术等。这有助于体育专用地坪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体育专用地坪漆项目成功的基础。我们将对主要竞争对手进行深入研究，包括其市场份额、产品特点、市场定位等。通过全面了解竞争对手的优势和劣势，体育专用地坪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8" w:name="_Toc32364"/>
      <w:r>
        <w:rPr>
          <w:rFonts w:ascii="仿宋" w:eastAsia="仿宋" w:hAnsi="仿宋" w:cs="仿宋" w:hint="eastAsia"/>
          <w:sz w:val="28"/>
          <w:lang w:eastAsia="zh-CN"/>
        </w:rPr>
        <w:t>(二)、体育专用地坪漆市场分析预测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体育专用地坪漆市场未来的增长趋势。这包括市场的整体规模、各细分领域的发展趋势等。体育专用地坪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体育专用地坪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体育专用地坪漆项目实施过程中需要充分考虑的因素。我们将对市场风险进行全面评估，包括但不限于政策法规风险、市场竞争风险、技术变革风险等。通过对潜在风险的深入分析，体育专用地坪漆项目可以制定相应的风险缓解策略，降低不确定性对体育专用地坪漆项目的影响。</w:t>
      </w:r>
    </w:p>
    <w:p>
      <w:pPr>
        <w:pStyle w:val="Heading1"/>
        <w:ind w:firstLine="560" w:firstLineChars="200"/>
        <w:rPr>
          <w:rFonts w:ascii="仿宋" w:eastAsia="仿宋" w:hAnsi="仿宋" w:cs="仿宋" w:hint="eastAsia"/>
          <w:sz w:val="28"/>
          <w:lang w:eastAsia="zh-CN"/>
        </w:rPr>
      </w:pPr>
      <w:bookmarkStart w:id="9" w:name="_Toc13258"/>
      <w:r>
        <w:rPr>
          <w:rFonts w:ascii="仿宋" w:eastAsia="仿宋" w:hAnsi="仿宋" w:cs="仿宋" w:hint="eastAsia"/>
          <w:sz w:val="28"/>
          <w:lang w:eastAsia="zh-CN"/>
        </w:rPr>
        <w:t>三、体育专用地坪漆项目危机管理</w:t>
      </w:r>
      <w:bookmarkEnd w:id="9"/>
    </w:p>
    <w:p>
      <w:pPr>
        <w:pStyle w:val="Heading2"/>
        <w:rPr>
          <w:rFonts w:ascii="仿宋" w:eastAsia="仿宋" w:hAnsi="仿宋" w:cs="仿宋" w:hint="eastAsia"/>
          <w:lang w:eastAsia="zh-CN"/>
        </w:rPr>
      </w:pPr>
      <w:bookmarkStart w:id="10" w:name="_Toc19824"/>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危机管理中，危机预警与识别是确保体育专用地坪漆项目稳健运行的核心步骤。通过建立全面的监测机制，体育专用地坪漆项目团队旨在及时发现和理解潜在的风险和危机因素，以便采取及时的预防和应对措施，确保体育专用地坪漆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体育专用地坪漆项目团队全面分析了整个体育专用地坪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体育专用地坪漆项目团队着重于明确定义体育专用地坪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体育专用地坪漆项目进展的持续监控，团队能够及时发现潜在问题并作出迅速反应。体育专用地坪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在这一阶段，团队的专业素养和反应速度将发挥至关重要的作用，以确保潜在危机能够在初期得到有效的处理，最大程度地减轻负面影响。通过危机预警与识别，体育专用地坪漆项目得以更有序、可控地推进。</w:t>
      </w:r>
    </w:p>
    <w:p>
      <w:pPr>
        <w:pStyle w:val="Heading2"/>
        <w:ind w:firstLine="560" w:firstLineChars="200"/>
        <w:rPr>
          <w:rFonts w:ascii="仿宋" w:eastAsia="仿宋" w:hAnsi="仿宋" w:cs="仿宋" w:hint="eastAsia"/>
          <w:sz w:val="28"/>
          <w:lang w:eastAsia="zh-CN"/>
        </w:rPr>
      </w:pPr>
      <w:bookmarkStart w:id="11" w:name="_Toc8620"/>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在危机发生时，体育专用地坪漆项目团队立即行动，成立了应急小组。该小组的任务是迅速制定并实施紧急应对措施，以最小化潜在损失。以下是采取的主要措施：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暂停体育专用地坪漆项目进度：为遏制危机蔓延，体育专用地坪漆项目暂时停止进行，以便全面评估当前状况。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资源重新分配：重新评估体育专用地坪漆项目资源的分配，确保最大限度地减小损失。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实时沟通：与关键利益相关者建立实时沟通机制，向他们传递体育专用地坪漆项目危机的实际状况，保障体育专用地坪漆项目核心利益。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在紧急应对的同时，体育专用地坪漆项目团队强调了团队协作和有效沟通的重要性。以下是团队协作的关键举措：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信息共享机制：建立了信息共享平台，确保团队成员能够及时获取体育专用地坪漆项目危机的实时信息。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领导者沟通：体育专用地坪漆项目领导者通过定期会议和即时沟通工具，指导团队应对危机，保持团队稳定运行。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随着危机得到初步控制，体育专用地坪漆项目团队转向制定恢复计划，以确保体育专用地坪漆项目能够从中迅速恢复。主要恢复计划包括：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修复受损的进度计划：重新评估体育专用地坪漆项目进度，制定修复计划，确保体育专用地坪漆项目尽快回归正常进程。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重新调整资源分配：优化资源分配，确保体育专用地坪漆项目在有限资源下高效运转。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风险管理机制加强：对体育专用地坪漆项目风险进行全面评估，制定更强化的风险管理策略，以预防未来可能的危机。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5663"/>
      <w:r>
        <w:rPr>
          <w:rFonts w:ascii="仿宋" w:eastAsia="仿宋" w:hAnsi="仿宋" w:cs="仿宋" w:hint="eastAsia"/>
          <w:sz w:val="28"/>
          <w:lang w:eastAsia="zh-CN"/>
        </w:rPr>
        <w:t>四、体育专用地坪漆项目选址可行性分析</w:t>
      </w:r>
      <w:bookmarkEnd w:id="12"/>
    </w:p>
    <w:p>
      <w:pPr>
        <w:pStyle w:val="Heading2"/>
        <w:rPr>
          <w:rFonts w:ascii="仿宋" w:eastAsia="仿宋" w:hAnsi="仿宋" w:cs="仿宋" w:hint="eastAsia"/>
          <w:lang w:eastAsia="zh-CN"/>
        </w:rPr>
      </w:pPr>
      <w:bookmarkStart w:id="13" w:name="_Toc10047"/>
      <w:r>
        <w:rPr>
          <w:rFonts w:ascii="仿宋" w:eastAsia="仿宋" w:hAnsi="仿宋" w:cs="仿宋" w:hint="eastAsia"/>
          <w:lang w:eastAsia="zh-CN"/>
        </w:rPr>
        <w:t>(一)、体育专用地坪漆项目选址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该体育专用地坪漆项目选址位于XX省XX市XX区XXX街道</w:t>
      </w:r>
    </w:p>
    <w:p>
      <w:pPr>
        <w:pStyle w:val="Heading2"/>
        <w:ind w:firstLine="560" w:firstLineChars="200"/>
        <w:rPr>
          <w:rFonts w:ascii="仿宋" w:eastAsia="仿宋" w:hAnsi="仿宋" w:cs="仿宋" w:hint="eastAsia"/>
          <w:sz w:val="28"/>
          <w:lang w:eastAsia="zh-CN"/>
        </w:rPr>
      </w:pPr>
      <w:bookmarkStart w:id="14" w:name="_Toc8868"/>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体育专用地坪漆项目的征地面积将根据体育专用地坪漆项目的实际规模和需求进行精确规划。具体面积XXX平方米，旨在确保体育专用地坪漆项目不仅能够满足当前的发展需求，还能够预留空间以适应未来的扩展。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净用地面积是在征地面积基础上去除不可利用面积后的实际可开发用地。具体面积XXX平方米，考虑到环保、交通、安全等多方面因素，以确保体育专用地坪漆项目在整体利用效率上达到最优。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体育专用地坪漆项目计划建设的建筑总规模具体面积XXX平方米。这一规模的确定综合考虑了体育专用地坪漆项目的性质、规模，以及城市规划的相关要求，确保建筑布局与周边环境协调一致。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 绿地率： 绿地率是体育专用地坪漆项目用地中被规划为绿地的比例。具体面积XXX平方米，旨在通过合理规划绿地，改善体育专用地坪漆项目周边环境，提升居民生活质量，并符合城市整体绿化规划。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容积率是用地上可以建设的建筑总体积与用地面积之比。具体面积XXX，通过合理的容积率规划，确保体育专用地坪漆项目建筑规模与周边环境和谐共生。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体育专用地坪漆项目选址与当地城市规划相一致，具体面积XXX平方米。通过与城市规划部门深入沟通，确保体育专用地坪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体育专用地坪漆项目选址符合当地产业政策，具体面积XXX平方米。这包括体育专用地坪漆项目对当地经济的促进作用，以及对相关产业的带动效应，确保体育专用地坪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用地总体要求必须符合环保和可持续发展的原则，具体面积XXX平方米。通过采用绿色建筑设计、节能减排等措施，确保体育专用地坪漆项目在建设和运营过程中对环境的影响最小化，达到可持续发展的要求。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确保体育专用地坪漆项目选址具备必要的公共设施配套，具体面积XXX平方米。这包括交通便利性、教育、医疗等基础设施，以提高居民生活品质，使得体育专用地坪漆项目选址更具吸引力。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考虑用地总体要求对当地社会稳定性的影响，具体面积XXX平方米。通过深入了解当地社区反馈，确保体育专用地坪漆项目的选址和建设过程对当地社会和谐稳定产生积极作用。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体育专用地坪漆项目选址不仅符合法规和规划，还在实际操作中具有可行性。这一全面规划将为体育专用地坪漆项目的成功实施提供坚实的基础，确保体育专用地坪漆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3010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专用地坪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在体育专用地坪漆项目的设备规划和空间设计中，我们将采取灵活设备布局的措施。设备布局将根据实际需求进行灵活设计，避免不必要的浪费。通过合理规划设备摆放位置，我们将提高设备的利用率，减少设备间距，以确保体育专用地坪漆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体育专用地坪漆项目内部引入共享设施的概念，例如共享会议室、办公区等。通过这种方式，我们可以减少对资源的重复建设，提高资源共享效率，从而减小体育专用地坪漆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099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体育专用地坪漆项目的总图布置中，我们将不同功能区域进行明确的规划，以最大程度满足体育专用地坪漆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2163"/>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体育专用地坪漆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体育专用地坪漆项目对环境的影响是综合评价的重要因素之一。我们将详细考虑选址周边的自然环境、生态保护区、水源地等情况，确保体育专用地坪漆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对选址的评价还需充分考虑当地政府的产业政策和法规。我们将详细了解体育专用地坪漆项目所在地的相关政策，确保体育专用地坪漆项目的规划和运营与当地法规相符，降低不必要的法律风险。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考虑到社会稳定性对企业运营的重要性，我们将评估选址地区的社会安全情况、劳工关系、社区反馈等方面，以确保体育专用地坪漆项目的建设和运营不会受到社会稳定性的负面影响。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最后，我们将综合考虑用地成本，包括土地购置费用、土地开发成本等。通过对用地成本的详细评估，我们能够做出更为精确的经济效益分析，为体育专用地坪漆项目的投资决策提供有力支持。</w:t>
      </w:r>
    </w:p>
    <w:p>
      <w:pPr>
        <w:pStyle w:val="Heading1"/>
        <w:ind w:firstLine="560" w:firstLineChars="200"/>
        <w:rPr>
          <w:rFonts w:ascii="仿宋" w:eastAsia="仿宋" w:hAnsi="仿宋" w:cs="仿宋" w:hint="eastAsia"/>
          <w:sz w:val="28"/>
          <w:lang w:eastAsia="zh-CN"/>
        </w:rPr>
      </w:pPr>
      <w:bookmarkStart w:id="18" w:name="_Toc12122"/>
      <w:r>
        <w:rPr>
          <w:rFonts w:ascii="仿宋" w:eastAsia="仿宋" w:hAnsi="仿宋" w:cs="仿宋" w:hint="eastAsia"/>
          <w:sz w:val="28"/>
          <w:lang w:eastAsia="zh-CN"/>
        </w:rPr>
        <w:t>五、体育专用地坪漆项目概论</w:t>
      </w:r>
      <w:bookmarkEnd w:id="18"/>
    </w:p>
    <w:p>
      <w:pPr>
        <w:pStyle w:val="Heading2"/>
        <w:rPr>
          <w:rFonts w:ascii="仿宋" w:eastAsia="仿宋" w:hAnsi="仿宋" w:cs="仿宋" w:hint="eastAsia"/>
          <w:lang w:eastAsia="zh-CN"/>
        </w:rPr>
      </w:pPr>
      <w:bookmarkStart w:id="19" w:name="_Toc5536"/>
      <w:r>
        <w:rPr>
          <w:rFonts w:ascii="仿宋" w:eastAsia="仿宋" w:hAnsi="仿宋" w:cs="仿宋" w:hint="eastAsia"/>
          <w:lang w:eastAsia="zh-CN"/>
        </w:rPr>
        <w:t>(一)、体育专用地坪漆项目概况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专用地坪漆项目的起源追溯至对市场的深入洞察。市场的不断演变与变革为体育专用地坪漆项目提供了难得的机遇。当前市场存在的需求缺口和变革的大环境共同构成了体育专用地坪漆项目的背景。这个体育专用地坪漆项目旨在充分利用市场机遇，填补行业中尚未满足的需求，为客户提供全新的解决方案。市场的变革和需求的增长使得这个体育专用地坪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体育专用地坪漆项目名称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https://d.book118.com/875014102104011034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体育专用地坪漆项目规划设计蓝图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D14B95"/>
    <w:rsid w:val="60D14B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501410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2024-01-01T12:28:00Z</dcterms:created>
  <dcterms:modified xsi:type="dcterms:W3CDTF">2024-01-01T12:28:36Z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826C8296278E4DB3828A9A8FEA29F051_11</vt:lpwstr>
  </property>
  <property fmtid="{D5CDD505-2E9C-101B-9397-08002B2CF9AE}" pid="3" name="KSOProductBuildVer">
    <vt:lpwstr>2052-12.1.0.16120</vt:lpwstr>
  </property>
</Properties>
</file>