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1、[单选题]肠结核最常见的发病部位是()。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A.空回肠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B.升结肠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C.横结肠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D.十二指肠。E,回盲部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2、[单选题]给予铁剂治疗后如有效，网织红细胞于何时开始升高()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A.服药后7～10天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B.服药后2～3天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C.服药后2周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D.服药后5～7天。E,以上都不对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3、[题干]引起新生儿寒冷损伤综合症的病因包括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A.早产儿、低体重儿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B.重症感染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C.寒冷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D.严重颅脑疾病。E,多器官功能损害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【答案】ABCDE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4、[单选题]《素问·上古天真论》认为“天寿过度”的原因是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A.肾气有余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B.三阳脉盛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C.气机畅通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D.天癸未竭。E,肾气实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5、[题干]营养不良最常见合并的维生素缺乏性是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A.维生素B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B.维生素K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C.维生素D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D.维生素A。E,维生素C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【解析】营养不良可有多种维生素缺乏，尤以脂溶性维生素A、D缺乏常见。以维生素A最常见。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6、“清阳发腠理”之“清阳”是指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A.肺气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https://d.book118.com/875021031032011111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87502103103201111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