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8" w:line="188" w:lineRule="auto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59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65.020.40</w:t>
      </w:r>
    </w:p>
    <w:p>
      <w:pPr>
        <w:spacing w:before="96" w:line="232" w:lineRule="auto"/>
        <w:ind w:left="4"/>
        <w:rPr>
          <w:rFonts w:ascii="Times New Roman" w:eastAsia="Times New Roman" w:hAnsi="Times New Roman" w:cs="Times New Roman"/>
          <w:sz w:val="118"/>
          <w:szCs w:val="118"/>
        </w:rPr>
      </w:pPr>
      <w:r>
        <w:rPr>
          <w:rFonts w:ascii="Times New Roman" w:eastAsia="Times New Roman" w:hAnsi="Times New Roman" w:cs="Times New Roman"/>
          <w:spacing w:val="-6"/>
          <w:position w:val="63"/>
          <w:sz w:val="20"/>
          <w:szCs w:val="20"/>
        </w:rPr>
        <w:t>B60</w:t>
      </w:r>
      <w:r>
        <w:rPr>
          <w:rFonts w:ascii="Times New Roman" w:eastAsia="Times New Roman" w:hAnsi="Times New Roman" w:cs="Times New Roman"/>
          <w:spacing w:val="1"/>
          <w:position w:val="63"/>
          <w:sz w:val="20"/>
          <w:szCs w:val="20"/>
        </w:rPr>
        <w:t xml:space="preserve">                      </w:t>
      </w:r>
      <w:r>
        <w:rPr>
          <w:rFonts w:ascii="Times New Roman" w:eastAsia="Times New Roman" w:hAnsi="Times New Roman" w:cs="Times New Roman"/>
          <w:position w:val="63"/>
          <w:sz w:val="20"/>
          <w:szCs w:val="20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6"/>
          <w:position w:val="-1"/>
          <w:sz w:val="118"/>
          <w:szCs w:val="118"/>
        </w:rPr>
        <w:t>DB65</w:t>
      </w:r>
    </w:p>
    <w:p>
      <w:pPr>
        <w:spacing w:before="2" w:line="220" w:lineRule="auto"/>
        <w:ind w:left="1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新</w:t>
      </w:r>
      <w:r>
        <w:rPr>
          <w:rFonts w:ascii="SimHei" w:eastAsia="SimHei" w:hAnsi="SimHei" w:cs="SimHei"/>
          <w:spacing w:val="145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疆</w:t>
      </w:r>
      <w:r>
        <w:rPr>
          <w:rFonts w:ascii="SimHei" w:eastAsia="SimHei" w:hAnsi="SimHei" w:cs="SimHei"/>
          <w:spacing w:val="138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维</w:t>
      </w:r>
      <w:r>
        <w:rPr>
          <w:rFonts w:ascii="SimHei" w:eastAsia="SimHei" w:hAnsi="SimHei" w:cs="SimHei"/>
          <w:spacing w:val="157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吾</w:t>
      </w:r>
      <w:r>
        <w:rPr>
          <w:rFonts w:ascii="SimHei" w:eastAsia="SimHei" w:hAnsi="SimHei" w:cs="SimHei"/>
          <w:spacing w:val="146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尔</w:t>
      </w:r>
      <w:r>
        <w:rPr>
          <w:rFonts w:ascii="SimHei" w:eastAsia="SimHei" w:hAnsi="SimHei" w:cs="SimHei"/>
          <w:spacing w:val="197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自</w:t>
      </w:r>
      <w:r>
        <w:rPr>
          <w:rFonts w:ascii="SimHei" w:eastAsia="SimHei" w:hAnsi="SimHei" w:cs="SimHei"/>
          <w:spacing w:val="154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治</w:t>
      </w:r>
      <w:r>
        <w:rPr>
          <w:rFonts w:ascii="SimHei" w:eastAsia="SimHei" w:hAnsi="SimHei" w:cs="SimHei"/>
          <w:spacing w:val="152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区</w:t>
      </w:r>
      <w:r>
        <w:rPr>
          <w:rFonts w:ascii="SimHei" w:eastAsia="SimHei" w:hAnsi="SimHei" w:cs="SimHei"/>
          <w:spacing w:val="154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地</w:t>
      </w:r>
      <w:r>
        <w:rPr>
          <w:rFonts w:ascii="SimHei" w:eastAsia="SimHei" w:hAnsi="SimHei" w:cs="SimHei"/>
          <w:spacing w:val="161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方</w:t>
      </w:r>
      <w:r>
        <w:rPr>
          <w:rFonts w:ascii="SimHei" w:eastAsia="SimHei" w:hAnsi="SimHei" w:cs="SimHei"/>
          <w:spacing w:val="143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标</w:t>
      </w:r>
      <w:r>
        <w:rPr>
          <w:rFonts w:ascii="SimHei" w:eastAsia="SimHei" w:hAnsi="SimHei" w:cs="SimHei"/>
          <w:spacing w:val="149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4"/>
          <w:szCs w:val="44"/>
        </w:rPr>
        <w:t>准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83" w:line="192" w:lineRule="auto"/>
        <w:ind w:right="292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DB</w:t>
      </w:r>
      <w:r>
        <w:rPr>
          <w:rFonts w:ascii="Times New Roman" w:eastAsia="Times New Roman" w:hAnsi="Times New Roman" w:cs="Times New Roman"/>
          <w:spacing w:val="1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65/T3590—2014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line="20" w:lineRule="exact"/>
        <w:ind w:firstLine="4"/>
        <w:textAlignment w:val="center"/>
      </w:pPr>
      <w:r>
        <w:drawing>
          <wp:inline distT="0" distB="0" distL="0" distR="0">
            <wp:extent cx="5765765" cy="127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576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6" w:line="221" w:lineRule="auto"/>
        <w:ind w:left="421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3"/>
          <w:sz w:val="48"/>
          <w:szCs w:val="48"/>
        </w:rPr>
        <w:t>沙区公路生物防沙体系养护技术规程</w:t>
      </w:r>
    </w:p>
    <w:p>
      <w:pPr>
        <w:spacing w:before="178" w:line="580" w:lineRule="exact"/>
        <w:ind w:left="75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position w:val="28"/>
          <w:sz w:val="26"/>
          <w:szCs w:val="26"/>
        </w:rPr>
        <w:t>Technical</w:t>
      </w:r>
      <w:r>
        <w:rPr>
          <w:rFonts w:ascii="Times New Roman" w:eastAsia="Times New Roman" w:hAnsi="Times New Roman" w:cs="Times New Roman"/>
          <w:spacing w:val="13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26"/>
          <w:szCs w:val="26"/>
        </w:rPr>
        <w:t>Regulation</w:t>
      </w:r>
      <w:r>
        <w:rPr>
          <w:rFonts w:ascii="Times New Roman" w:eastAsia="Times New Roman" w:hAnsi="Times New Roman" w:cs="Times New Roman"/>
          <w:spacing w:val="19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26"/>
          <w:szCs w:val="26"/>
        </w:rPr>
        <w:t>for</w:t>
      </w:r>
      <w:r>
        <w:rPr>
          <w:rFonts w:ascii="Times New Roman" w:eastAsia="Times New Roman" w:hAnsi="Times New Roman" w:cs="Times New Roman"/>
          <w:spacing w:val="11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26"/>
          <w:szCs w:val="26"/>
        </w:rPr>
        <w:t>Highway</w:t>
      </w:r>
      <w:r>
        <w:rPr>
          <w:rFonts w:ascii="Times New Roman" w:eastAsia="Times New Roman" w:hAnsi="Times New Roman" w:cs="Times New Roman"/>
          <w:spacing w:val="14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26"/>
          <w:szCs w:val="26"/>
        </w:rPr>
        <w:t>Biological</w:t>
      </w:r>
      <w:r>
        <w:rPr>
          <w:rFonts w:ascii="Times New Roman" w:eastAsia="Times New Roman" w:hAnsi="Times New Roman" w:cs="Times New Roman"/>
          <w:spacing w:val="25"/>
          <w:w w:val="101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26"/>
          <w:szCs w:val="26"/>
        </w:rPr>
        <w:t>Sand</w:t>
      </w:r>
      <w:r>
        <w:rPr>
          <w:rFonts w:ascii="Times New Roman" w:eastAsia="Times New Roman" w:hAnsi="Times New Roman" w:cs="Times New Roman"/>
          <w:spacing w:val="13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26"/>
          <w:szCs w:val="26"/>
        </w:rPr>
        <w:t>Preven</w:t>
      </w:r>
      <w:r>
        <w:rPr>
          <w:rFonts w:ascii="Times New Roman" w:eastAsia="Times New Roman" w:hAnsi="Times New Roman" w:cs="Times New Roman"/>
          <w:spacing w:val="-2"/>
          <w:position w:val="28"/>
          <w:sz w:val="26"/>
          <w:szCs w:val="26"/>
        </w:rPr>
        <w:t>ting</w:t>
      </w:r>
      <w:r>
        <w:rPr>
          <w:rFonts w:ascii="Times New Roman" w:eastAsia="Times New Roman" w:hAnsi="Times New Roman" w:cs="Times New Roman"/>
          <w:spacing w:val="25"/>
          <w:position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26"/>
          <w:szCs w:val="26"/>
        </w:rPr>
        <w:t>System</w:t>
      </w:r>
    </w:p>
    <w:p>
      <w:pPr>
        <w:spacing w:before="1" w:line="191" w:lineRule="auto"/>
        <w:ind w:left="244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Maintenance</w:t>
      </w:r>
      <w:r>
        <w:rPr>
          <w:rFonts w:ascii="Times New Roman" w:eastAsia="Times New Roman" w:hAnsi="Times New Roman" w:cs="Times New Roman"/>
          <w:spacing w:val="32"/>
          <w:w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in</w:t>
      </w:r>
      <w:r>
        <w:rPr>
          <w:rFonts w:ascii="Times New Roman" w:eastAsia="Times New Roman" w:hAnsi="Times New Roman" w:cs="Times New Roman"/>
          <w:spacing w:val="23"/>
          <w:w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Sandy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Desert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Area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10" w:h="16840"/>
          <w:pgMar w:top="1051" w:right="1092" w:bottom="0" w:left="1725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5" w:line="221" w:lineRule="auto"/>
        <w:ind w:left="8"/>
        <w:rPr>
          <w:rFonts w:ascii="SimHei" w:eastAsia="SimHei" w:hAnsi="SimHei" w:cs="SimHei"/>
          <w:sz w:val="25"/>
          <w:szCs w:val="25"/>
        </w:rPr>
      </w:pPr>
      <w:r>
        <w:pict>
          <v:rect id="_x0000_s1025" style="width:452.15pt;height:0.7pt;margin-top:16.61pt;margin-left:0;position:absolute;z-index:251658240" filled="t" fillcolor="black" stroked="f"/>
        </w:pict>
      </w:r>
      <w:r>
        <w:rPr>
          <w:rFonts w:ascii="SimHei" w:eastAsia="SimHei" w:hAnsi="SimHei" w:cs="SimHei"/>
          <w:b/>
          <w:bCs/>
          <w:spacing w:val="3"/>
          <w:sz w:val="26"/>
          <w:szCs w:val="26"/>
        </w:rPr>
        <w:t>2014-01-20发布</w:t>
      </w:r>
      <w:r>
        <w:rPr>
          <w:rFonts w:ascii="SimHei" w:eastAsia="SimHei" w:hAnsi="SimHei" w:cs="SimHei"/>
          <w:spacing w:val="3"/>
          <w:sz w:val="26"/>
          <w:szCs w:val="26"/>
        </w:rPr>
        <w:t xml:space="preserve">                             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2</w:t>
      </w:r>
      <w:r>
        <w:rPr>
          <w:rFonts w:ascii="SimHei" w:eastAsia="SimHei" w:hAnsi="SimHei" w:cs="SimHei"/>
          <w:spacing w:val="10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0</w:t>
      </w:r>
      <w:r>
        <w:rPr>
          <w:rFonts w:ascii="SimHei" w:eastAsia="SimHei" w:hAnsi="SimHei" w:cs="SimHei"/>
          <w:spacing w:val="9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1</w:t>
      </w:r>
      <w:r>
        <w:rPr>
          <w:rFonts w:ascii="SimHei" w:eastAsia="SimHei" w:hAnsi="SimHei" w:cs="SimHei"/>
          <w:spacing w:val="-10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4</w:t>
      </w:r>
      <w:r>
        <w:rPr>
          <w:rFonts w:ascii="SimHei" w:eastAsia="SimHei" w:hAnsi="SimHei" w:cs="SimHei"/>
          <w:spacing w:val="-8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-</w:t>
      </w:r>
      <w:r>
        <w:rPr>
          <w:rFonts w:ascii="SimHei" w:eastAsia="SimHei" w:hAnsi="SimHei" w:cs="SimHei"/>
          <w:spacing w:val="-5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0</w:t>
      </w:r>
      <w:r>
        <w:rPr>
          <w:rFonts w:ascii="SimHei" w:eastAsia="SimHei" w:hAnsi="SimHei" w:cs="SimHei"/>
          <w:spacing w:val="-6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2</w:t>
      </w:r>
      <w:r>
        <w:rPr>
          <w:rFonts w:ascii="SimHei" w:eastAsia="SimHei" w:hAnsi="SimHei" w:cs="SimHei"/>
          <w:spacing w:val="-8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-</w:t>
      </w:r>
      <w:r>
        <w:rPr>
          <w:rFonts w:ascii="SimHei" w:eastAsia="SimHei" w:hAnsi="SimHei" w:cs="SimHei"/>
          <w:spacing w:val="-5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2</w:t>
      </w:r>
      <w:r>
        <w:rPr>
          <w:rFonts w:ascii="SimHei" w:eastAsia="SimHei" w:hAnsi="SimHei" w:cs="SimHei"/>
          <w:spacing w:val="-6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0</w:t>
      </w:r>
      <w:r>
        <w:rPr>
          <w:rFonts w:ascii="SimHei" w:eastAsia="SimHei" w:hAnsi="SimHei" w:cs="SimHei"/>
          <w:spacing w:val="4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实</w:t>
      </w:r>
      <w:r>
        <w:rPr>
          <w:rFonts w:ascii="SimHei" w:eastAsia="SimHei" w:hAnsi="SimHei" w:cs="SimHei"/>
          <w:spacing w:val="-6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施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8" w:line="221" w:lineRule="auto"/>
        <w:ind w:left="999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19"/>
          <w:sz w:val="36"/>
          <w:szCs w:val="36"/>
        </w:rPr>
        <w:t>新疆维吾尔自治区质量技术监督局</w:t>
      </w:r>
      <w:r>
        <w:rPr>
          <w:rFonts w:ascii="SimHei" w:eastAsia="SimHei" w:hAnsi="SimHei" w:cs="SimHei"/>
          <w:spacing w:val="101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9"/>
          <w:sz w:val="36"/>
          <w:szCs w:val="36"/>
        </w:rPr>
        <w:t>发布</w:t>
      </w:r>
    </w:p>
    <w:p>
      <w:pPr>
        <w:sectPr>
          <w:type w:val="nextPage"/>
          <w:pgSz w:w="11910" w:h="16840"/>
          <w:pgMar w:top="1051" w:right="1092" w:bottom="0" w:left="1725" w:header="0" w:footer="0" w:gutter="0"/>
          <w:pgNumType w:start="2"/>
          <w:cols w:space="708"/>
          <w:titlePg w:val="0"/>
        </w:sectPr>
      </w:pPr>
    </w:p>
    <w:p>
      <w:pPr>
        <w:spacing w:line="408" w:lineRule="auto"/>
        <w:rPr>
          <w:rFonts w:ascii="Arial"/>
          <w:sz w:val="21"/>
        </w:rPr>
      </w:pPr>
    </w:p>
    <w:p>
      <w:pPr>
        <w:spacing w:before="49" w:line="188" w:lineRule="auto"/>
        <w:ind w:right="22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8"/>
          <w:sz w:val="17"/>
          <w:szCs w:val="17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3590—2014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1" w:line="222" w:lineRule="auto"/>
        <w:ind w:left="380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前</w:t>
      </w:r>
      <w:r>
        <w:rPr>
          <w:rFonts w:ascii="SimHei" w:eastAsia="SimHei" w:hAnsi="SimHei" w:cs="SimHei"/>
          <w:spacing w:val="21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言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65" w:line="243" w:lineRule="auto"/>
        <w:ind w:left="519" w:right="11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本标准按照GB/T1.1-2009</w:t>
      </w:r>
      <w:r>
        <w:rPr>
          <w:rFonts w:ascii="SimSun" w:eastAsia="SimSun" w:hAnsi="SimSun" w:cs="SimSun"/>
          <w:spacing w:val="6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《标准</w:t>
      </w:r>
      <w:r>
        <w:rPr>
          <w:rFonts w:ascii="SimSun" w:eastAsia="SimSun" w:hAnsi="SimSun" w:cs="SimSun"/>
          <w:spacing w:val="-3"/>
          <w:sz w:val="20"/>
          <w:szCs w:val="20"/>
        </w:rPr>
        <w:t>化工作导则第1部分：标准的结构和编写》编制。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本标准由中国科学院新疆生态与地理研究所提出。</w:t>
      </w:r>
    </w:p>
    <w:p>
      <w:pPr>
        <w:spacing w:before="52" w:line="219" w:lineRule="auto"/>
        <w:ind w:left="5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本标准由新疆维吾尔自治区林业厅归口。</w:t>
      </w:r>
    </w:p>
    <w:p>
      <w:pPr>
        <w:spacing w:before="62" w:line="244" w:lineRule="auto"/>
        <w:ind w:left="39" w:firstLine="48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本标准起草单位：国家荒漠-绿洲生态建设工程技术研究</w:t>
      </w:r>
      <w:r>
        <w:rPr>
          <w:rFonts w:ascii="SimSun" w:eastAsia="SimSun" w:hAnsi="SimSun" w:cs="SimSun"/>
          <w:spacing w:val="-9"/>
          <w:sz w:val="20"/>
          <w:szCs w:val="20"/>
        </w:rPr>
        <w:t>中心、中国科学院新疆生态与地理研究所、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中国石油天然气股份有限公司塔里木油田分公司。</w:t>
      </w:r>
    </w:p>
    <w:p>
      <w:pPr>
        <w:spacing w:before="62" w:line="243" w:lineRule="auto"/>
        <w:ind w:right="86" w:firstLine="5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本标准主要起草人：李生宇、雷加强、石泽云、徐新文、邱永志、李丙文、谷峰、王海峰、周宏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伟、王永东、许波、常青、张忠良、王鲁海、</w:t>
      </w:r>
      <w:r>
        <w:rPr>
          <w:rFonts w:ascii="SimSun" w:eastAsia="SimSun" w:hAnsi="SimSun" w:cs="SimSun"/>
          <w:sz w:val="20"/>
          <w:szCs w:val="20"/>
        </w:rPr>
        <w:t>王晓静。</w:t>
      </w:r>
    </w:p>
    <w:p>
      <w:pPr>
        <w:sectPr>
          <w:footerReference w:type="default" r:id="rId5"/>
          <w:pgSz w:w="11910" w:h="16840"/>
          <w:pgMar w:top="1431" w:right="1310" w:bottom="1747" w:left="1750" w:header="0" w:footer="1525" w:gutter="0"/>
          <w:pgNumType w:start="3"/>
          <w:cols w:space="708"/>
        </w:sectPr>
      </w:pPr>
    </w:p>
    <w:p>
      <w:pPr>
        <w:spacing w:line="398" w:lineRule="auto"/>
        <w:rPr>
          <w:rFonts w:ascii="Arial"/>
          <w:sz w:val="21"/>
        </w:rPr>
      </w:pPr>
    </w:p>
    <w:p>
      <w:pPr>
        <w:spacing w:before="49" w:line="188" w:lineRule="auto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6"/>
          <w:sz w:val="17"/>
          <w:szCs w:val="17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3590—2014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98" w:line="221" w:lineRule="auto"/>
        <w:ind w:left="204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沙区公路生物防沙体系养护技术规程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65" w:line="223" w:lineRule="auto"/>
        <w:ind w:left="15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1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范围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65" w:line="239" w:lineRule="auto"/>
        <w:ind w:right="108" w:firstLine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本标准规定了沙区公路生物防沙体系养护的术语和定义、受损类型、受损程度界定、维护措施、维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护验收、技术档案等技术要求。</w:t>
      </w:r>
    </w:p>
    <w:p>
      <w:pPr>
        <w:spacing w:before="71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本标准适用于干旱区沙漠(流动沙漠或固定半固定沙漠)公路生物防沙体系养护。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65" w:line="222" w:lineRule="auto"/>
        <w:ind w:left="15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2</w:t>
      </w:r>
      <w:r>
        <w:rPr>
          <w:rFonts w:ascii="SimHei" w:eastAsia="SimHei" w:hAnsi="SimHei" w:cs="SimHei"/>
          <w:spacing w:val="9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规范性引用文件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5" w:line="239" w:lineRule="auto"/>
        <w:ind w:right="106" w:firstLine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下列文件对于本文件的应用是必不可少的。凡是注日期的引用文件，仅所注日期的版本适用于本文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件。凡是不注日期的引用文件，其最新版本(包括所有的修改单)适用于本文件。</w:t>
      </w:r>
    </w:p>
    <w:p>
      <w:pPr>
        <w:spacing w:before="55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GB/T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21141</w:t>
      </w:r>
      <w:r>
        <w:rPr>
          <w:rFonts w:ascii="SimSun" w:eastAsia="SimSun" w:hAnsi="SimSun" w:cs="SimSun"/>
          <w:spacing w:val="4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防沙治沙技术规范</w:t>
      </w:r>
    </w:p>
    <w:p>
      <w:pPr>
        <w:spacing w:before="72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</w:t>
      </w:r>
      <w:r>
        <w:rPr>
          <w:rFonts w:ascii="SimSun" w:eastAsia="SimSun" w:hAnsi="SimSun" w:cs="SimSun"/>
          <w:spacing w:val="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16453.5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水土保持综合治理技术规范风沙治理技术</w:t>
      </w:r>
    </w:p>
    <w:p>
      <w:pPr>
        <w:spacing w:before="43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GB</w:t>
      </w:r>
      <w:r>
        <w:rPr>
          <w:rFonts w:ascii="SimSun" w:eastAsia="SimSun" w:hAnsi="SimSun" w:cs="SimSun"/>
          <w:spacing w:val="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6000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3"/>
          <w:sz w:val="20"/>
          <w:szCs w:val="20"/>
        </w:rPr>
        <w:t>主要造林树种苗木质量分级标准</w:t>
      </w:r>
    </w:p>
    <w:p>
      <w:pPr>
        <w:spacing w:before="53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GB/T</w:t>
      </w:r>
      <w:r>
        <w:rPr>
          <w:rFonts w:ascii="SimSun" w:eastAsia="SimSun" w:hAnsi="SimSun" w:cs="SimSun"/>
          <w:spacing w:val="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15781</w:t>
      </w:r>
      <w:r>
        <w:rPr>
          <w:rFonts w:ascii="SimSun" w:eastAsia="SimSun" w:hAnsi="SimSun" w:cs="SimSun"/>
          <w:spacing w:val="4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森林抚育规程</w:t>
      </w:r>
    </w:p>
    <w:p>
      <w:pPr>
        <w:spacing w:before="52" w:line="300" w:lineRule="exact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position w:val="7"/>
          <w:sz w:val="20"/>
          <w:szCs w:val="20"/>
        </w:rPr>
        <w:t>GB/T</w:t>
      </w:r>
      <w:r>
        <w:rPr>
          <w:rFonts w:ascii="SimSun" w:eastAsia="SimSun" w:hAnsi="SimSun" w:cs="SimSun"/>
          <w:spacing w:val="44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0"/>
          <w:szCs w:val="20"/>
        </w:rPr>
        <w:t>8321</w:t>
      </w:r>
      <w:r>
        <w:rPr>
          <w:rFonts w:ascii="SimSun" w:eastAsia="SimSun" w:hAnsi="SimSun" w:cs="SimSun"/>
          <w:spacing w:val="20"/>
          <w:position w:val="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2"/>
          <w:position w:val="7"/>
          <w:sz w:val="20"/>
          <w:szCs w:val="20"/>
        </w:rPr>
        <w:t>农药合理使用准则</w:t>
      </w:r>
    </w:p>
    <w:p>
      <w:pPr>
        <w:spacing w:before="1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3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4285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-6"/>
          <w:sz w:val="20"/>
          <w:szCs w:val="20"/>
        </w:rPr>
        <w:t>农</w:t>
      </w:r>
      <w:r>
        <w:rPr>
          <w:rFonts w:ascii="SimSun" w:eastAsia="SimSun" w:hAnsi="SimSun" w:cs="SimSun"/>
          <w:spacing w:val="-3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药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安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全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使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用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标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准</w:t>
      </w:r>
    </w:p>
    <w:p>
      <w:pPr>
        <w:spacing w:before="30" w:line="218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JTG</w:t>
      </w:r>
      <w:r>
        <w:rPr>
          <w:rFonts w:ascii="SimSun" w:eastAsia="SimSun" w:hAnsi="SimSun" w:cs="SimSun"/>
          <w:spacing w:val="3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T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D31</w:t>
      </w:r>
      <w:r>
        <w:rPr>
          <w:rFonts w:ascii="SimSun" w:eastAsia="SimSun" w:hAnsi="SimSun" w:cs="SimSun"/>
          <w:spacing w:val="26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4"/>
          <w:sz w:val="20"/>
          <w:szCs w:val="20"/>
        </w:rPr>
        <w:t>沙漠地区公路设计与施工指南</w:t>
      </w:r>
    </w:p>
    <w:p>
      <w:pPr>
        <w:spacing w:before="96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SL</w:t>
      </w:r>
      <w:r>
        <w:rPr>
          <w:rFonts w:ascii="Times New Roman" w:eastAsia="Times New Roman" w:hAnsi="Times New Roman" w:cs="Times New Roman"/>
          <w:spacing w:val="3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236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</w:t>
      </w:r>
      <w:r>
        <w:rPr>
          <w:rFonts w:ascii="SimSun" w:eastAsia="SimSun" w:hAnsi="SimSun" w:cs="SimSun"/>
          <w:spacing w:val="-2"/>
          <w:sz w:val="20"/>
          <w:szCs w:val="20"/>
        </w:rPr>
        <w:t>喷灌与微灌工程技术管理规程</w:t>
      </w:r>
    </w:p>
    <w:p>
      <w:pPr>
        <w:spacing w:before="53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DB65/T3320</w:t>
      </w:r>
      <w:r>
        <w:rPr>
          <w:rFonts w:ascii="SimSun" w:eastAsia="SimSun" w:hAnsi="SimSun" w:cs="SimSun"/>
          <w:spacing w:val="4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北疆活化沙丘免灌造林技术规程</w:t>
      </w:r>
    </w:p>
    <w:p>
      <w:pPr>
        <w:spacing w:before="43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DB33/177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-1"/>
          <w:sz w:val="20"/>
          <w:szCs w:val="20"/>
        </w:rPr>
        <w:t>主要造林树种苗木等级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65" w:line="222" w:lineRule="auto"/>
        <w:ind w:left="10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4"/>
          <w:sz w:val="20"/>
          <w:szCs w:val="20"/>
        </w:rPr>
        <w:t>3</w:t>
      </w:r>
      <w:r>
        <w:rPr>
          <w:rFonts w:ascii="SimHei" w:eastAsia="SimHei" w:hAnsi="SimHei" w:cs="SimHei"/>
          <w:spacing w:val="2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14"/>
          <w:sz w:val="20"/>
          <w:szCs w:val="20"/>
        </w:rPr>
        <w:t>术语和定义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5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下列术语和定义适用于本文件。</w:t>
      </w:r>
    </w:p>
    <w:p>
      <w:pPr>
        <w:spacing w:before="209" w:line="218" w:lineRule="auto"/>
        <w:rPr>
          <w:rFonts w:ascii="SimHei" w:eastAsia="SimHei" w:hAnsi="SimHei" w:cs="SimHei"/>
          <w:sz w:val="20"/>
          <w:szCs w:val="20"/>
        </w:rPr>
        <w:sectPr>
          <w:footerReference w:type="default" r:id="rId6"/>
          <w:pgSz w:w="11910" w:h="16840"/>
          <w:pgMar w:top="1431" w:right="1353" w:bottom="1709" w:left="1730" w:header="0" w:footer="1540" w:gutter="0"/>
          <w:pgNumType w:start="4"/>
          <w:cols w:space="708"/>
        </w:sectPr>
      </w:pPr>
      <w:r>
        <w:rPr>
          <w:rFonts w:ascii="SimHei" w:eastAsia="SimHei" w:hAnsi="SimHei" w:cs="SimHei"/>
          <w:spacing w:val="-13"/>
          <w:sz w:val="20"/>
          <w:szCs w:val="20"/>
        </w:rPr>
        <w:t>3.1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13"/>
          <w:sz w:val="20"/>
          <w:szCs w:val="20"/>
        </w:rPr>
        <w:t>防沙体系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3"/>
          <w:sz w:val="20"/>
          <w:szCs w:val="20"/>
        </w:rPr>
        <w:t>Sand</w:t>
      </w:r>
      <w:r>
        <w:rPr>
          <w:rFonts w:ascii="SimHei" w:eastAsia="SimHei" w:hAnsi="SimHei" w:cs="SimHei"/>
          <w:spacing w:val="-1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3"/>
          <w:sz w:val="20"/>
          <w:szCs w:val="20"/>
        </w:rPr>
        <w:t>control</w:t>
      </w:r>
      <w:r>
        <w:rPr>
          <w:rFonts w:ascii="SimHei" w:eastAsia="SimHei" w:hAnsi="SimHei" w:cs="SimHei"/>
          <w:spacing w:val="-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3"/>
          <w:sz w:val="20"/>
          <w:szCs w:val="20"/>
        </w:rPr>
        <w:t>system</w:t>
      </w:r>
    </w:p>
    <w:p>
      <w:pPr>
        <w:spacing w:before="209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防护对象的各种防沙措施的空间组合。</w:t>
      </w:r>
    </w:p>
    <w:p>
      <w:pPr>
        <w:spacing w:before="208" w:line="218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4"/>
          <w:sz w:val="20"/>
          <w:szCs w:val="20"/>
        </w:rPr>
        <w:t>3.2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14"/>
          <w:sz w:val="20"/>
          <w:szCs w:val="20"/>
        </w:rPr>
        <w:t>生物防沙体系Biological</w:t>
      </w:r>
      <w:r>
        <w:rPr>
          <w:rFonts w:ascii="SimHei" w:eastAsia="SimHei" w:hAnsi="SimHei" w:cs="SimHei"/>
          <w:spacing w:val="-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4"/>
          <w:sz w:val="20"/>
          <w:szCs w:val="20"/>
        </w:rPr>
        <w:t>sand</w:t>
      </w:r>
      <w:r>
        <w:rPr>
          <w:rFonts w:ascii="SimHei" w:eastAsia="SimHei" w:hAnsi="SimHei" w:cs="SimHei"/>
          <w:spacing w:val="-1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4"/>
          <w:sz w:val="20"/>
          <w:szCs w:val="20"/>
        </w:rPr>
        <w:t>control</w:t>
      </w:r>
      <w:r>
        <w:rPr>
          <w:rFonts w:ascii="SimHei" w:eastAsia="SimHei" w:hAnsi="SimHei" w:cs="SimHei"/>
          <w:spacing w:val="-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4"/>
          <w:sz w:val="20"/>
          <w:szCs w:val="20"/>
        </w:rPr>
        <w:t>system</w:t>
      </w:r>
    </w:p>
    <w:p>
      <w:pPr>
        <w:spacing w:before="217" w:line="230" w:lineRule="auto"/>
        <w:ind w:right="104" w:firstLine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为控制地表风沙运动，防止风沙危害，采用具</w:t>
      </w:r>
      <w:r>
        <w:rPr>
          <w:rFonts w:ascii="SimSun" w:eastAsia="SimSun" w:hAnsi="SimSun" w:cs="SimSun"/>
          <w:spacing w:val="-6"/>
          <w:sz w:val="20"/>
          <w:szCs w:val="20"/>
        </w:rPr>
        <w:t>有生命力的植物材料，在沙地表面设置各种形式的沙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障系统组合。</w:t>
      </w:r>
    </w:p>
    <w:p>
      <w:pPr>
        <w:spacing w:before="211" w:line="22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4"/>
          <w:sz w:val="20"/>
          <w:szCs w:val="20"/>
        </w:rPr>
        <w:t>3.3</w:t>
      </w:r>
      <w:r>
        <w:rPr>
          <w:rFonts w:ascii="SimHei" w:eastAsia="SimHei" w:hAnsi="SimHei" w:cs="SimHei"/>
          <w:spacing w:val="9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4"/>
          <w:sz w:val="20"/>
          <w:szCs w:val="20"/>
        </w:rPr>
        <w:t>公路防护林带Forest</w:t>
      </w:r>
      <w:r>
        <w:rPr>
          <w:rFonts w:ascii="SimHei" w:eastAsia="SimHei" w:hAnsi="SimHei" w:cs="SimHei"/>
          <w:spacing w:val="-1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4"/>
          <w:sz w:val="20"/>
          <w:szCs w:val="20"/>
        </w:rPr>
        <w:t>shelterbelt</w:t>
      </w:r>
    </w:p>
    <w:p>
      <w:pPr>
        <w:spacing w:before="223" w:line="219" w:lineRule="auto"/>
        <w:ind w:left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为防止公路风沙危害，保护交通运输安全，而沿公路营造的带状林。</w:t>
      </w:r>
    </w:p>
    <w:p>
      <w:pPr>
        <w:spacing w:before="198" w:line="218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5"/>
          <w:sz w:val="20"/>
          <w:szCs w:val="20"/>
        </w:rPr>
        <w:t>3.4</w:t>
      </w:r>
      <w:r>
        <w:rPr>
          <w:rFonts w:ascii="SimHei" w:eastAsia="SimHei" w:hAnsi="SimHei" w:cs="SimHei"/>
          <w:spacing w:val="10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5"/>
          <w:sz w:val="20"/>
          <w:szCs w:val="20"/>
        </w:rPr>
        <w:t>物理防沙</w:t>
      </w:r>
      <w:r>
        <w:rPr>
          <w:rFonts w:ascii="SimHei" w:eastAsia="SimHei" w:hAnsi="SimHei" w:cs="SimHei"/>
          <w:spacing w:val="-5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5"/>
          <w:sz w:val="20"/>
          <w:szCs w:val="20"/>
        </w:rPr>
        <w:t>Physical</w:t>
      </w:r>
      <w:r>
        <w:rPr>
          <w:rFonts w:ascii="SimHei" w:eastAsia="SimHei" w:hAnsi="SimHei" w:cs="SimHei"/>
          <w:spacing w:val="-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5"/>
          <w:sz w:val="20"/>
          <w:szCs w:val="20"/>
        </w:rPr>
        <w:t>sand</w:t>
      </w:r>
      <w:r>
        <w:rPr>
          <w:rFonts w:ascii="SimHei" w:eastAsia="SimHei" w:hAnsi="SimHei" w:cs="SimHei"/>
          <w:spacing w:val="-1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5"/>
          <w:sz w:val="20"/>
          <w:szCs w:val="20"/>
        </w:rPr>
        <w:t>control</w:t>
      </w:r>
      <w:r>
        <w:rPr>
          <w:rFonts w:ascii="SimHei" w:eastAsia="SimHei" w:hAnsi="SimHei" w:cs="SimHei"/>
          <w:spacing w:val="-1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5"/>
          <w:sz w:val="20"/>
          <w:szCs w:val="20"/>
        </w:rPr>
        <w:t>measures</w:t>
      </w:r>
    </w:p>
    <w:p>
      <w:pPr>
        <w:spacing w:before="219" w:line="234" w:lineRule="auto"/>
        <w:ind w:right="77" w:firstLine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在各种沙地的适宜地段建设构造物，利用风蚀沙埋规律，控制风沙流活动，防止风沙危害或为植物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生长创造条件的措施。</w:t>
      </w:r>
    </w:p>
    <w:p>
      <w:pPr>
        <w:sectPr>
          <w:footerReference w:type="default" r:id="rId7"/>
          <w:type w:val="nextPage"/>
          <w:pgSz w:w="11910" w:h="16840"/>
          <w:pgMar w:top="1431" w:right="1353" w:bottom="1709" w:left="1730" w:header="0" w:footer="1540" w:gutter="0"/>
          <w:pgNumType w:start="5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37" w:line="188" w:lineRule="auto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3"/>
          <w:szCs w:val="13"/>
        </w:rPr>
        <w:t>DB65/T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                 </w:t>
      </w:r>
      <w:r>
        <w:rPr>
          <w:rFonts w:ascii="Times New Roman" w:eastAsia="Times New Roman" w:hAnsi="Times New Roman" w:cs="Times New Roman"/>
          <w:b/>
          <w:bCs/>
          <w:spacing w:val="-1"/>
          <w:sz w:val="13"/>
          <w:szCs w:val="13"/>
        </w:rPr>
        <w:t>3590—2014</w:t>
      </w:r>
    </w:p>
    <w:p>
      <w:pPr>
        <w:spacing w:before="277" w:line="21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9"/>
          <w:sz w:val="21"/>
          <w:szCs w:val="21"/>
        </w:rPr>
        <w:t>3.5</w:t>
      </w:r>
      <w:r>
        <w:rPr>
          <w:rFonts w:ascii="SimHei" w:eastAsia="SimHei" w:hAnsi="SimHei" w:cs="SimHei"/>
          <w:spacing w:val="8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9"/>
          <w:sz w:val="21"/>
          <w:szCs w:val="21"/>
        </w:rPr>
        <w:t>高立式沙障</w:t>
      </w:r>
      <w:r>
        <w:rPr>
          <w:rFonts w:ascii="SimHei" w:eastAsia="SimHei" w:hAnsi="SimHei" w:cs="SimHei"/>
          <w:spacing w:val="-5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9"/>
          <w:sz w:val="21"/>
          <w:szCs w:val="21"/>
        </w:rPr>
        <w:t>High-standing</w:t>
      </w:r>
      <w:r>
        <w:rPr>
          <w:rFonts w:ascii="SimHei" w:eastAsia="SimHei" w:hAnsi="SimHei" w:cs="SimHei"/>
          <w:spacing w:val="-1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9"/>
          <w:sz w:val="21"/>
          <w:szCs w:val="21"/>
        </w:rPr>
        <w:t>sand-barriers</w:t>
      </w:r>
    </w:p>
    <w:p>
      <w:pPr>
        <w:spacing w:before="148" w:line="263" w:lineRule="auto"/>
        <w:ind w:right="37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输沙量较大的地区，为了控制风沙快速前移，用植物秸秆、树枝以及网状纺织物与直立的固定桩连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接，而制成的栅栏式阻沙措施。</w:t>
      </w:r>
    </w:p>
    <w:p>
      <w:pPr>
        <w:spacing w:before="17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8"/>
          <w:sz w:val="21"/>
          <w:szCs w:val="21"/>
        </w:rPr>
        <w:t>3.6</w:t>
      </w:r>
      <w:r>
        <w:rPr>
          <w:rFonts w:ascii="SimHei" w:eastAsia="SimHei" w:hAnsi="SimHei" w:cs="SimHei"/>
          <w:spacing w:val="8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8"/>
          <w:sz w:val="21"/>
          <w:szCs w:val="21"/>
        </w:rPr>
        <w:t>半隐蔽</w:t>
      </w:r>
      <w:r>
        <w:rPr>
          <w:rFonts w:ascii="SimHei" w:eastAsia="SimHei" w:hAnsi="SimHei" w:cs="SimHei"/>
          <w:spacing w:val="-19"/>
          <w:sz w:val="21"/>
          <w:szCs w:val="21"/>
        </w:rPr>
        <w:t>式沙障</w:t>
      </w:r>
      <w:r>
        <w:rPr>
          <w:rFonts w:ascii="SimHei" w:eastAsia="SimHei" w:hAnsi="SimHei" w:cs="SimHei"/>
          <w:spacing w:val="-5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8"/>
          <w:sz w:val="21"/>
          <w:szCs w:val="21"/>
        </w:rPr>
        <w:t>Semi</w:t>
      </w:r>
      <w:r>
        <w:rPr>
          <w:rFonts w:ascii="SimHei" w:eastAsia="SimHei" w:hAnsi="SimHei" w:cs="SimHei"/>
          <w:spacing w:val="-19"/>
          <w:sz w:val="21"/>
          <w:szCs w:val="21"/>
        </w:rPr>
        <w:t>-</w:t>
      </w:r>
      <w:r>
        <w:rPr>
          <w:rFonts w:ascii="SimHei" w:eastAsia="SimHei" w:hAnsi="SimHei" w:cs="SimHei"/>
          <w:spacing w:val="-18"/>
          <w:sz w:val="21"/>
          <w:szCs w:val="21"/>
        </w:rPr>
        <w:t>buried</w:t>
      </w:r>
      <w:r>
        <w:rPr>
          <w:rFonts w:ascii="SimHei" w:eastAsia="SimHei" w:hAnsi="SimHei" w:cs="SimHei"/>
          <w:spacing w:val="-1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8"/>
          <w:sz w:val="21"/>
          <w:szCs w:val="21"/>
        </w:rPr>
        <w:t>sand</w:t>
      </w:r>
      <w:r>
        <w:rPr>
          <w:rFonts w:ascii="SimHei" w:eastAsia="SimHei" w:hAnsi="SimHei" w:cs="SimHei"/>
          <w:spacing w:val="-19"/>
          <w:sz w:val="21"/>
          <w:szCs w:val="21"/>
        </w:rPr>
        <w:t>-</w:t>
      </w:r>
      <w:r>
        <w:rPr>
          <w:rFonts w:ascii="SimHei" w:eastAsia="SimHei" w:hAnsi="SimHei" w:cs="SimHei"/>
          <w:spacing w:val="-18"/>
          <w:sz w:val="21"/>
          <w:szCs w:val="21"/>
        </w:rPr>
        <w:t>barriers</w:t>
      </w:r>
    </w:p>
    <w:p>
      <w:pPr>
        <w:spacing w:before="158" w:line="263" w:lineRule="auto"/>
        <w:ind w:right="97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人工用麦草、稻草、芦苇等材料直接插入沙层内形成的高度较低矮的沙障，分为</w:t>
      </w:r>
      <w:r>
        <w:rPr>
          <w:rFonts w:ascii="SimSun" w:eastAsia="SimSun" w:hAnsi="SimSun" w:cs="SimSun"/>
          <w:spacing w:val="-16"/>
          <w:sz w:val="21"/>
          <w:szCs w:val="21"/>
        </w:rPr>
        <w:t>格状布设和行列式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布设两类。</w:t>
      </w:r>
    </w:p>
    <w:p>
      <w:pPr>
        <w:spacing w:before="157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3.7</w:t>
      </w:r>
      <w:r>
        <w:rPr>
          <w:rFonts w:ascii="SimHei" w:eastAsia="SimHei" w:hAnsi="SimHei" w:cs="SimHei"/>
          <w:spacing w:val="8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平铺式沙障</w:t>
      </w:r>
      <w:r>
        <w:rPr>
          <w:rFonts w:ascii="SimHei" w:eastAsia="SimHei" w:hAnsi="SimHei" w:cs="SimHei"/>
          <w:spacing w:val="-4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Low</w:t>
      </w:r>
      <w:r>
        <w:rPr>
          <w:rFonts w:ascii="SimHei" w:eastAsia="SimHei" w:hAnsi="SimHei" w:cs="SimHei"/>
          <w:spacing w:val="-1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horizontal</w:t>
      </w:r>
      <w:r>
        <w:rPr>
          <w:rFonts w:ascii="SimHei" w:eastAsia="SimHei" w:hAnsi="SimHei" w:cs="SimHei"/>
          <w:spacing w:val="-1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sand</w:t>
      </w: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-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barr</w:t>
      </w: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iers</w:t>
      </w:r>
    </w:p>
    <w:p>
      <w:pPr>
        <w:spacing w:before="172" w:line="250" w:lineRule="auto"/>
        <w:ind w:right="52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利用柴、草、卵石、粘土等物质铺盖或喷洒在沙面上，形成的隔绝气流与松散沙层的</w:t>
      </w:r>
      <w:r>
        <w:rPr>
          <w:rFonts w:ascii="SimSun" w:eastAsia="SimSun" w:hAnsi="SimSun" w:cs="SimSun"/>
          <w:spacing w:val="-15"/>
          <w:sz w:val="21"/>
          <w:szCs w:val="21"/>
        </w:rPr>
        <w:t>接触的固沙沙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障，分为带状平铺和全面平铺两类。</w:t>
      </w:r>
    </w:p>
    <w:p>
      <w:pPr>
        <w:spacing w:before="187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4"/>
          <w:sz w:val="21"/>
          <w:szCs w:val="21"/>
        </w:rPr>
        <w:t>3.8</w:t>
      </w:r>
      <w:r>
        <w:rPr>
          <w:rFonts w:ascii="SimHei" w:eastAsia="SimHei" w:hAnsi="SimHei" w:cs="SimHei"/>
          <w:spacing w:val="10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21"/>
          <w:szCs w:val="21"/>
        </w:rPr>
        <w:t>行列式半隐蔽式沙障</w:t>
      </w:r>
      <w:r>
        <w:rPr>
          <w:rFonts w:ascii="SimHei" w:eastAsia="SimHei" w:hAnsi="SimHei" w:cs="SimHei"/>
          <w:spacing w:val="-5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21"/>
          <w:szCs w:val="21"/>
        </w:rPr>
        <w:t>Parallel</w:t>
      </w:r>
      <w:r>
        <w:rPr>
          <w:rFonts w:ascii="SimHei" w:eastAsia="SimHei" w:hAnsi="SimHei" w:cs="SimHei"/>
          <w:spacing w:val="-1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21"/>
          <w:szCs w:val="21"/>
        </w:rPr>
        <w:t>semi-buried</w:t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21"/>
          <w:szCs w:val="21"/>
        </w:rPr>
        <w:t>sand-barriers</w:t>
      </w:r>
    </w:p>
    <w:p>
      <w:pPr>
        <w:spacing w:before="190" w:line="219" w:lineRule="auto"/>
        <w:ind w:left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垂直于当地主导风向并互相平行布设的半隐蔽式沙障。</w:t>
      </w:r>
    </w:p>
    <w:p>
      <w:pPr>
        <w:spacing w:before="204" w:line="218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3"/>
          <w:sz w:val="21"/>
          <w:szCs w:val="21"/>
        </w:rPr>
        <w:t>3.9</w:t>
      </w:r>
      <w:r>
        <w:rPr>
          <w:rFonts w:ascii="SimHei" w:eastAsia="SimHei" w:hAnsi="SimHei" w:cs="SimHei"/>
          <w:spacing w:val="9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21"/>
          <w:szCs w:val="21"/>
        </w:rPr>
        <w:t>尼龙网沙障</w:t>
      </w:r>
      <w:r>
        <w:rPr>
          <w:rFonts w:ascii="SimHei" w:eastAsia="SimHei" w:hAnsi="SimHei" w:cs="SimHei"/>
          <w:spacing w:val="-5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21"/>
          <w:szCs w:val="21"/>
        </w:rPr>
        <w:t>Nylon</w:t>
      </w:r>
      <w:r>
        <w:rPr>
          <w:rFonts w:ascii="SimHei" w:eastAsia="SimHei" w:hAnsi="SimHei" w:cs="SimHei"/>
          <w:spacing w:val="-1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21"/>
          <w:szCs w:val="21"/>
        </w:rPr>
        <w:t>net</w:t>
      </w:r>
      <w:r>
        <w:rPr>
          <w:rFonts w:ascii="SimHei" w:eastAsia="SimHei" w:hAnsi="SimHei" w:cs="SimHei"/>
          <w:spacing w:val="-1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21"/>
          <w:szCs w:val="21"/>
        </w:rPr>
        <w:t>sand-</w:t>
      </w:r>
      <w:r>
        <w:rPr>
          <w:rFonts w:ascii="SimHei" w:eastAsia="SimHei" w:hAnsi="SimHei" w:cs="SimHei"/>
          <w:spacing w:val="-1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21"/>
          <w:szCs w:val="21"/>
        </w:rPr>
        <w:t>barriers</w:t>
      </w:r>
    </w:p>
    <w:p>
      <w:pPr>
        <w:spacing w:before="181" w:line="219" w:lineRule="auto"/>
        <w:ind w:left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利用尼龙编织网制成的沙障，分为高立式、低立式和平铺式三类。</w:t>
      </w:r>
    </w:p>
    <w:p>
      <w:pPr>
        <w:spacing w:before="202" w:line="218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3.10</w:t>
      </w:r>
      <w:r>
        <w:rPr>
          <w:rFonts w:ascii="SimHei" w:eastAsia="SimHei" w:hAnsi="SimHei" w:cs="SimHei"/>
          <w:spacing w:val="9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固沙剂</w:t>
      </w:r>
      <w:r>
        <w:rPr>
          <w:rFonts w:ascii="SimHei" w:eastAsia="SimHei" w:hAnsi="SimHei" w:cs="SimHei"/>
          <w:spacing w:val="-5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Sand</w:t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fixation</w:t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21"/>
          <w:szCs w:val="21"/>
        </w:rPr>
        <w:t>agents</w:t>
      </w:r>
    </w:p>
    <w:p>
      <w:pPr>
        <w:spacing w:before="159" w:line="251" w:lineRule="auto"/>
        <w:ind w:right="54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固结沙地表层沙粒的化学胶结物(如沥青乳剂、油叶岩矿液、合成树</w:t>
      </w:r>
      <w:r>
        <w:rPr>
          <w:rFonts w:ascii="SimSun" w:eastAsia="SimSun" w:hAnsi="SimSun" w:cs="SimSun"/>
          <w:spacing w:val="-10"/>
          <w:sz w:val="21"/>
          <w:szCs w:val="21"/>
        </w:rPr>
        <w:t>脂、合成橡胶)或天然有机物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(如褐煤、泥炭、城市垃圾废物、树脂等)。</w:t>
      </w:r>
    </w:p>
    <w:p>
      <w:pPr>
        <w:spacing w:before="186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3.11</w:t>
      </w:r>
      <w:r>
        <w:rPr>
          <w:rFonts w:ascii="SimHei" w:eastAsia="SimHei" w:hAnsi="SimHei" w:cs="SimHei"/>
          <w:spacing w:val="5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1"/>
          <w:szCs w:val="21"/>
        </w:rPr>
        <w:t>主导风向</w:t>
      </w:r>
      <w:r>
        <w:rPr>
          <w:rFonts w:ascii="SimHei" w:eastAsia="SimHei" w:hAnsi="SimHei" w:cs="SimHei"/>
          <w:spacing w:val="-4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Predominant</w:t>
      </w:r>
      <w:r>
        <w:rPr>
          <w:rFonts w:ascii="SimHei" w:eastAsia="SimHei" w:hAnsi="SimHei" w:cs="SimHei"/>
          <w:spacing w:val="-1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wind</w:t>
      </w:r>
      <w:r>
        <w:rPr>
          <w:rFonts w:ascii="SimHei" w:eastAsia="SimHei" w:hAnsi="SimHei" w:cs="SimHei"/>
          <w:spacing w:val="-1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1"/>
          <w:szCs w:val="21"/>
        </w:rPr>
        <w:t>direction</w:t>
      </w:r>
    </w:p>
    <w:p>
      <w:pPr>
        <w:spacing w:before="160" w:line="248" w:lineRule="auto"/>
        <w:ind w:right="95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风频最大的风向角的范围(风向角范围一般在连续45度左右，对于以16方位角表示的</w:t>
      </w:r>
      <w:r>
        <w:rPr>
          <w:rFonts w:ascii="SimSun" w:eastAsia="SimSun" w:hAnsi="SimSun" w:cs="SimSun"/>
          <w:spacing w:val="-13"/>
          <w:sz w:val="21"/>
          <w:szCs w:val="21"/>
        </w:rPr>
        <w:t>风向，主导风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向一般是指连续2～3个风向角的范围),主导风向角风频之和应大于等于30%。</w:t>
      </w:r>
    </w:p>
    <w:p>
      <w:pPr>
        <w:spacing w:before="232" w:line="415" w:lineRule="exac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8"/>
          <w:position w:val="15"/>
          <w:sz w:val="21"/>
          <w:szCs w:val="21"/>
        </w:rPr>
        <w:t>3.12</w:t>
      </w:r>
      <w:r>
        <w:rPr>
          <w:rFonts w:ascii="SimHei" w:eastAsia="SimHei" w:hAnsi="SimHei" w:cs="SimHei"/>
          <w:spacing w:val="70"/>
          <w:position w:val="1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8"/>
          <w:position w:val="15"/>
          <w:sz w:val="21"/>
          <w:szCs w:val="21"/>
        </w:rPr>
        <w:t>地貌部位</w:t>
      </w:r>
      <w:r>
        <w:rPr>
          <w:rFonts w:ascii="SimHei" w:eastAsia="SimHei" w:hAnsi="SimHei" w:cs="SimHei"/>
          <w:spacing w:val="-44"/>
          <w:position w:val="1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8"/>
          <w:position w:val="15"/>
          <w:sz w:val="21"/>
          <w:szCs w:val="21"/>
        </w:rPr>
        <w:t>Topographical</w:t>
      </w:r>
      <w:r>
        <w:rPr>
          <w:rFonts w:ascii="SimHei" w:eastAsia="SimHei" w:hAnsi="SimHei" w:cs="SimHei"/>
          <w:spacing w:val="14"/>
          <w:position w:val="1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8"/>
          <w:position w:val="15"/>
          <w:sz w:val="21"/>
          <w:szCs w:val="21"/>
        </w:rPr>
        <w:t>locations</w:t>
      </w:r>
    </w:p>
    <w:p>
      <w:pPr>
        <w:spacing w:line="218" w:lineRule="auto"/>
        <w:ind w:left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地貌单元的不同部位。</w:t>
      </w:r>
    </w:p>
    <w:p>
      <w:pPr>
        <w:spacing w:before="205" w:line="218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3.13</w:t>
      </w:r>
      <w:r>
        <w:rPr>
          <w:rFonts w:ascii="SimHei" w:eastAsia="SimHei" w:hAnsi="SimHei" w:cs="SimHei"/>
          <w:spacing w:val="9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林地抚育</w:t>
      </w:r>
      <w:r>
        <w:rPr>
          <w:rFonts w:ascii="SimHei" w:eastAsia="SimHei" w:hAnsi="SimHei" w:cs="SimHei"/>
          <w:spacing w:val="-5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Forest</w:t>
      </w:r>
      <w:r>
        <w:rPr>
          <w:rFonts w:ascii="SimHei" w:eastAsia="SimHei" w:hAnsi="SimHei" w:cs="SimHei"/>
          <w:spacing w:val="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land</w:t>
      </w:r>
      <w:r>
        <w:rPr>
          <w:rFonts w:ascii="SimHei" w:eastAsia="SimHei" w:hAnsi="SimHei" w:cs="SimHei"/>
          <w:spacing w:val="-2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2"/>
          <w:sz w:val="21"/>
          <w:szCs w:val="21"/>
        </w:rPr>
        <w:t>tending</w:t>
      </w:r>
    </w:p>
    <w:p>
      <w:pPr>
        <w:spacing w:before="160" w:line="259" w:lineRule="auto"/>
        <w:ind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对林地所实施的改善林木生长环境和调整林木关系，旨在实现林木速生、优质、丰产的经营措施，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包括修枝、除害、平茬、间伐等。</w:t>
      </w:r>
    </w:p>
    <w:p>
      <w:pPr>
        <w:spacing w:before="195" w:line="21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5"/>
          <w:sz w:val="21"/>
          <w:szCs w:val="21"/>
        </w:rPr>
        <w:t>3.14</w:t>
      </w:r>
      <w:r>
        <w:rPr>
          <w:rFonts w:ascii="SimHei" w:eastAsia="SimHei" w:hAnsi="SimHei" w:cs="SimHei"/>
          <w:spacing w:val="8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5"/>
          <w:sz w:val="21"/>
          <w:szCs w:val="21"/>
        </w:rPr>
        <w:t>林地人工更新</w:t>
      </w:r>
      <w:r>
        <w:rPr>
          <w:rFonts w:ascii="SimHei" w:eastAsia="SimHei" w:hAnsi="SimHei" w:cs="SimHei"/>
          <w:spacing w:val="-4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5"/>
          <w:sz w:val="21"/>
          <w:szCs w:val="21"/>
        </w:rPr>
        <w:t>Forest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5"/>
          <w:sz w:val="21"/>
          <w:szCs w:val="21"/>
        </w:rPr>
        <w:t>land</w:t>
      </w:r>
      <w:r>
        <w:rPr>
          <w:rFonts w:ascii="SimHei" w:eastAsia="SimHei" w:hAnsi="SimHei" w:cs="SimHei"/>
          <w:spacing w:val="-2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5"/>
          <w:sz w:val="21"/>
          <w:szCs w:val="21"/>
        </w:rPr>
        <w:t>artificial</w:t>
      </w:r>
      <w:r>
        <w:rPr>
          <w:rFonts w:ascii="SimHei" w:eastAsia="SimHei" w:hAnsi="SimHei" w:cs="SimHei"/>
          <w:spacing w:val="-1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5"/>
          <w:sz w:val="21"/>
          <w:szCs w:val="21"/>
        </w:rPr>
        <w:t>regeneration</w:t>
      </w:r>
    </w:p>
    <w:p>
      <w:pPr>
        <w:spacing w:before="147" w:line="259" w:lineRule="auto"/>
        <w:ind w:right="149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用人工种植的方法重新形成幼林的过程，即在原有林地基础上，用直接播种、栽植苗木、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插条或分根等方式重新营造幼林。</w:t>
      </w:r>
    </w:p>
    <w:p>
      <w:pPr>
        <w:spacing w:before="183" w:line="218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3.15</w:t>
      </w:r>
      <w:r>
        <w:rPr>
          <w:rFonts w:ascii="SimHei" w:eastAsia="SimHei" w:hAnsi="SimHei" w:cs="SimHei"/>
          <w:spacing w:val="8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平茬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Stumping</w:t>
      </w:r>
    </w:p>
    <w:p>
      <w:pPr>
        <w:spacing w:before="171" w:line="258" w:lineRule="auto"/>
        <w:ind w:right="54" w:firstLine="399"/>
        <w:rPr>
          <w:rFonts w:ascii="SimSun" w:eastAsia="SimSun" w:hAnsi="SimSun" w:cs="SimSun"/>
          <w:sz w:val="21"/>
          <w:szCs w:val="21"/>
        </w:rPr>
        <w:sectPr>
          <w:footerReference w:type="default" r:id="rId8"/>
          <w:pgSz w:w="11910" w:h="16840"/>
          <w:pgMar w:top="1431" w:right="1375" w:bottom="1601" w:left="1660" w:header="0" w:footer="1472" w:gutter="0"/>
          <w:pgNumType w:start="6"/>
          <w:cols w:space="708"/>
        </w:sectPr>
      </w:pPr>
      <w:r>
        <w:rPr>
          <w:rFonts w:ascii="SimSun" w:eastAsia="SimSun" w:hAnsi="SimSun" w:cs="SimSun"/>
          <w:spacing w:val="-9"/>
          <w:sz w:val="21"/>
          <w:szCs w:val="21"/>
        </w:rPr>
        <w:t>苗木(包括乔木与灌木)在移植2至3年后，从根颈处全部剪截去上面的枝条，使之重新发</w:t>
      </w:r>
      <w:r>
        <w:rPr>
          <w:rFonts w:ascii="SimSun" w:eastAsia="SimSun" w:hAnsi="SimSun" w:cs="SimSun"/>
          <w:spacing w:val="-10"/>
          <w:sz w:val="21"/>
          <w:szCs w:val="21"/>
        </w:rPr>
        <w:t>出通直而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粗壮的主干来的林木抚育方法。</w:t>
      </w:r>
    </w:p>
    <w:p>
      <w:pPr>
        <w:spacing w:before="194" w:line="218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3.16</w:t>
      </w:r>
      <w:r>
        <w:rPr>
          <w:rFonts w:ascii="SimHei" w:eastAsia="SimHei" w:hAnsi="SimHei" w:cs="SimHei"/>
          <w:spacing w:val="8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间伐</w:t>
      </w:r>
      <w:r>
        <w:rPr>
          <w:rFonts w:ascii="SimHei" w:eastAsia="SimHei" w:hAnsi="SimHei" w:cs="SimHei"/>
          <w:spacing w:val="-5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Thinning</w:t>
      </w:r>
    </w:p>
    <w:p>
      <w:pPr>
        <w:sectPr>
          <w:footerReference w:type="default" r:id="rId9"/>
          <w:type w:val="nextPage"/>
          <w:pgSz w:w="11910" w:h="16840"/>
          <w:pgMar w:top="1431" w:right="1375" w:bottom="1601" w:left="1660" w:header="0" w:footer="1472" w:gutter="0"/>
          <w:pgNumType w:start="7"/>
          <w:cols w:space="708"/>
          <w:titlePg w:val="0"/>
        </w:sectPr>
      </w:pPr>
    </w:p>
    <w:p>
      <w:pPr>
        <w:spacing w:line="395" w:lineRule="auto"/>
        <w:rPr>
          <w:rFonts w:ascii="Arial"/>
          <w:sz w:val="21"/>
        </w:rPr>
      </w:pPr>
    </w:p>
    <w:p>
      <w:pPr>
        <w:spacing w:before="49" w:line="192" w:lineRule="auto"/>
        <w:ind w:right="63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6"/>
          <w:sz w:val="17"/>
          <w:szCs w:val="17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3590—2014</w:t>
      </w:r>
    </w:p>
    <w:p>
      <w:pPr>
        <w:spacing w:before="283" w:line="252" w:lineRule="auto"/>
        <w:ind w:right="62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在幼龄林郁闭以后至成熟林前的一个龄级的林分内，为调</w:t>
      </w:r>
      <w:r>
        <w:rPr>
          <w:rFonts w:ascii="SimSun" w:eastAsia="SimSun" w:hAnsi="SimSun" w:cs="SimSun"/>
          <w:spacing w:val="-6"/>
          <w:sz w:val="20"/>
          <w:szCs w:val="20"/>
        </w:rPr>
        <w:t>节目的树种个体间的矛盾而进行的森林抚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育采伐。</w:t>
      </w:r>
    </w:p>
    <w:p>
      <w:pPr>
        <w:spacing w:before="214" w:line="214" w:lineRule="auto"/>
        <w:ind w:left="2"/>
        <w:outlineLvl w:val="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1"/>
          <w:sz w:val="20"/>
          <w:szCs w:val="20"/>
        </w:rPr>
        <w:t>3.17</w:t>
      </w:r>
      <w:r>
        <w:rPr>
          <w:rFonts w:ascii="SimSun" w:eastAsia="SimSun" w:hAnsi="SimSun" w:cs="SimSun"/>
          <w:spacing w:val="9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0"/>
          <w:szCs w:val="20"/>
        </w:rPr>
        <w:t>扦插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0"/>
          <w:szCs w:val="20"/>
        </w:rPr>
        <w:t>Cutting</w:t>
      </w:r>
    </w:p>
    <w:p>
      <w:pPr>
        <w:spacing w:before="187" w:line="253" w:lineRule="auto"/>
        <w:ind w:right="60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植物营养繁殖方法的一种，又称插木，即将切离植物的茎、根</w:t>
      </w:r>
      <w:r>
        <w:rPr>
          <w:rFonts w:ascii="SimSun" w:eastAsia="SimSun" w:hAnsi="SimSun" w:cs="SimSun"/>
          <w:spacing w:val="-6"/>
          <w:sz w:val="20"/>
          <w:szCs w:val="20"/>
        </w:rPr>
        <w:t>、叶等插入基质中，使其在适宜的环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境条件下发育成为新的植株。</w:t>
      </w:r>
    </w:p>
    <w:p>
      <w:pPr>
        <w:spacing w:before="214" w:line="218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8"/>
          <w:sz w:val="20"/>
          <w:szCs w:val="20"/>
        </w:rPr>
        <w:t>3.18</w:t>
      </w:r>
      <w:r>
        <w:rPr>
          <w:rFonts w:ascii="SimHei" w:eastAsia="SimHei" w:hAnsi="SimHei" w:cs="SimHei"/>
          <w:spacing w:val="7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0"/>
          <w:szCs w:val="20"/>
        </w:rPr>
        <w:t>假植</w:t>
      </w:r>
      <w:r>
        <w:rPr>
          <w:rFonts w:ascii="SimHei" w:eastAsia="SimHei" w:hAnsi="SimHei" w:cs="SimHei"/>
          <w:spacing w:val="-4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0"/>
          <w:szCs w:val="20"/>
        </w:rPr>
        <w:t>Provisional</w:t>
      </w:r>
      <w:r>
        <w:rPr>
          <w:rFonts w:ascii="SimHei" w:eastAsia="SimHei" w:hAnsi="SimHei" w:cs="SimHei"/>
          <w:spacing w:val="-1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0"/>
          <w:szCs w:val="20"/>
        </w:rPr>
        <w:t>planting</w:t>
      </w:r>
    </w:p>
    <w:p>
      <w:pPr>
        <w:spacing w:before="19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苗木不能及时种植时，将苗木根系用湿润土壤临时性填埋的措施。</w:t>
      </w:r>
    </w:p>
    <w:p>
      <w:pPr>
        <w:spacing w:before="199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3.19</w:t>
      </w:r>
      <w:r>
        <w:rPr>
          <w:rFonts w:ascii="SimHei" w:eastAsia="SimHei" w:hAnsi="SimHei" w:cs="SimHei"/>
          <w:spacing w:val="9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植物病</w:t>
      </w:r>
      <w:r>
        <w:rPr>
          <w:rFonts w:ascii="SimHei" w:eastAsia="SimHei" w:hAnsi="SimHei" w:cs="SimHei"/>
          <w:b/>
          <w:bCs/>
          <w:spacing w:val="-16"/>
          <w:sz w:val="20"/>
          <w:szCs w:val="20"/>
        </w:rPr>
        <w:t>害</w:t>
      </w:r>
      <w:r>
        <w:rPr>
          <w:rFonts w:ascii="SimHei" w:eastAsia="SimHei" w:hAnsi="SimHei" w:cs="SimHei"/>
          <w:spacing w:val="-4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Plant</w:t>
      </w:r>
      <w:r>
        <w:rPr>
          <w:rFonts w:ascii="SimHei" w:eastAsia="SimHei" w:hAnsi="SimHei" w:cs="SimHei"/>
          <w:spacing w:val="-1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diseases</w:t>
      </w:r>
    </w:p>
    <w:p>
      <w:pPr>
        <w:spacing w:before="183" w:line="248" w:lineRule="auto"/>
        <w:ind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植物在生物或非生物因子的影响下，发生一系列形态、生</w:t>
      </w:r>
      <w:r>
        <w:rPr>
          <w:rFonts w:ascii="SimSun" w:eastAsia="SimSun" w:hAnsi="SimSun" w:cs="SimSun"/>
          <w:spacing w:val="-9"/>
          <w:sz w:val="20"/>
          <w:szCs w:val="20"/>
        </w:rPr>
        <w:t>理和生化上的病理变化，阻碍了正常生长、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发育的进程，从而影响人类经济效益的现象。</w:t>
      </w:r>
    </w:p>
    <w:p>
      <w:pPr>
        <w:spacing w:before="225" w:line="218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3.20</w:t>
      </w:r>
      <w:r>
        <w:rPr>
          <w:rFonts w:ascii="SimHei" w:eastAsia="SimHei" w:hAnsi="SimHei" w:cs="SimHei"/>
          <w:spacing w:val="7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植物虫害</w:t>
      </w:r>
      <w:r>
        <w:rPr>
          <w:rFonts w:ascii="SimHei" w:eastAsia="SimHei" w:hAnsi="SimHei" w:cs="SimHei"/>
          <w:spacing w:val="-3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Plant</w:t>
      </w:r>
      <w:r>
        <w:rPr>
          <w:rFonts w:ascii="SimHei" w:eastAsia="SimHei" w:hAnsi="SimHei" w:cs="SimHei"/>
          <w:spacing w:val="-1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pests</w:t>
      </w:r>
    </w:p>
    <w:p>
      <w:pPr>
        <w:spacing w:before="181" w:line="460" w:lineRule="exact"/>
        <w:ind w:left="40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1"/>
          <w:position w:val="20"/>
          <w:sz w:val="20"/>
          <w:szCs w:val="20"/>
        </w:rPr>
        <w:t>通常把危害各种植物的昆虫和螨类等称为害虫，把由它们引起的各种植物伤害称为虫害。</w:t>
      </w:r>
    </w:p>
    <w:p>
      <w:pPr>
        <w:spacing w:line="222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9"/>
          <w:sz w:val="20"/>
          <w:szCs w:val="20"/>
        </w:rPr>
        <w:t>3</w:t>
      </w:r>
      <w:r>
        <w:rPr>
          <w:rFonts w:ascii="SimHei" w:eastAsia="SimHei" w:hAnsi="SimHei" w:cs="SimHei"/>
          <w:spacing w:val="-20"/>
          <w:sz w:val="20"/>
          <w:szCs w:val="20"/>
        </w:rPr>
        <w:t>.21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20"/>
          <w:sz w:val="20"/>
          <w:szCs w:val="20"/>
        </w:rPr>
        <w:t>造林成活率</w:t>
      </w:r>
      <w:r>
        <w:rPr>
          <w:rFonts w:ascii="SimHei" w:eastAsia="SimHei" w:hAnsi="SimHei" w:cs="SimHei"/>
          <w:spacing w:val="-5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9"/>
          <w:sz w:val="20"/>
          <w:szCs w:val="20"/>
        </w:rPr>
        <w:t>Surrival</w:t>
      </w:r>
      <w:r>
        <w:rPr>
          <w:rFonts w:ascii="SimHei" w:eastAsia="SimHei" w:hAnsi="SimHei" w:cs="SimHei"/>
          <w:spacing w:val="-1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9"/>
          <w:sz w:val="20"/>
          <w:szCs w:val="20"/>
        </w:rPr>
        <w:t>rate</w:t>
      </w:r>
      <w:r>
        <w:rPr>
          <w:rFonts w:ascii="SimHei" w:eastAsia="SimHei" w:hAnsi="SimHei" w:cs="SimHei"/>
          <w:spacing w:val="-2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9"/>
          <w:sz w:val="20"/>
          <w:szCs w:val="20"/>
        </w:rPr>
        <w:t>of</w:t>
      </w:r>
      <w:r>
        <w:rPr>
          <w:rFonts w:ascii="SimHei" w:eastAsia="SimHei" w:hAnsi="SimHei" w:cs="SimHei"/>
          <w:spacing w:val="-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9"/>
          <w:sz w:val="20"/>
          <w:szCs w:val="20"/>
        </w:rPr>
        <w:t>afforestation</w:t>
      </w:r>
    </w:p>
    <w:p>
      <w:pPr>
        <w:spacing w:before="190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单位面积上的成活株数与造林时的总株数的百分比。</w:t>
      </w:r>
    </w:p>
    <w:p>
      <w:pPr>
        <w:spacing w:before="208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3.22</w:t>
      </w:r>
      <w:r>
        <w:rPr>
          <w:rFonts w:ascii="SimHei" w:eastAsia="SimHei" w:hAnsi="SimHei" w:cs="SimHei"/>
          <w:spacing w:val="7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水平根系</w:t>
      </w:r>
      <w:r>
        <w:rPr>
          <w:rFonts w:ascii="SimHei" w:eastAsia="SimHei" w:hAnsi="SimHei" w:cs="SimHei"/>
          <w:spacing w:val="-4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Horizontal</w:t>
      </w:r>
      <w:r>
        <w:rPr>
          <w:rFonts w:ascii="SimHei" w:eastAsia="SimHei" w:hAnsi="SimHei" w:cs="SimHei"/>
          <w:spacing w:val="-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roots</w:t>
      </w:r>
    </w:p>
    <w:p>
      <w:pPr>
        <w:spacing w:before="193" w:line="466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position w:val="20"/>
          <w:sz w:val="20"/>
          <w:szCs w:val="20"/>
        </w:rPr>
        <w:t>植物基本呈水平方向伸展的根系。</w:t>
      </w:r>
    </w:p>
    <w:p>
      <w:pPr>
        <w:spacing w:before="1" w:line="217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3.23</w:t>
      </w:r>
      <w:r>
        <w:rPr>
          <w:rFonts w:ascii="SimHei" w:eastAsia="SimHei" w:hAnsi="SimHei" w:cs="SimHei"/>
          <w:spacing w:val="7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2"/>
          <w:sz w:val="20"/>
          <w:szCs w:val="20"/>
        </w:rPr>
        <w:t>光合器官</w:t>
      </w:r>
      <w:r>
        <w:rPr>
          <w:rFonts w:ascii="SimHei" w:eastAsia="SimHei" w:hAnsi="SimHei" w:cs="SimHei"/>
          <w:spacing w:val="-3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2"/>
          <w:sz w:val="20"/>
          <w:szCs w:val="20"/>
        </w:rPr>
        <w:t>Photosynthetic</w:t>
      </w:r>
      <w:r>
        <w:rPr>
          <w:rFonts w:ascii="SimHei" w:eastAsia="SimHei" w:hAnsi="SimHei" w:cs="SimHei"/>
          <w:spacing w:val="-1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2"/>
          <w:sz w:val="20"/>
          <w:szCs w:val="20"/>
        </w:rPr>
        <w:t>organs</w:t>
      </w:r>
    </w:p>
    <w:p>
      <w:pPr>
        <w:spacing w:before="199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植物体所有能进行光合作用的器官总称。</w:t>
      </w:r>
    </w:p>
    <w:p>
      <w:pPr>
        <w:spacing w:before="183" w:line="439" w:lineRule="exact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position w:val="18"/>
          <w:sz w:val="20"/>
          <w:szCs w:val="20"/>
        </w:rPr>
        <w:t>3</w:t>
      </w:r>
      <w:r>
        <w:rPr>
          <w:rFonts w:ascii="SimHei" w:eastAsia="SimHei" w:hAnsi="SimHei" w:cs="SimHei"/>
          <w:spacing w:val="-13"/>
          <w:position w:val="18"/>
          <w:sz w:val="20"/>
          <w:szCs w:val="20"/>
        </w:rPr>
        <w:t>.24</w:t>
      </w:r>
      <w:r>
        <w:rPr>
          <w:rFonts w:ascii="SimHei" w:eastAsia="SimHei" w:hAnsi="SimHei" w:cs="SimHei"/>
          <w:spacing w:val="97"/>
          <w:position w:val="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3"/>
          <w:position w:val="18"/>
          <w:sz w:val="20"/>
          <w:szCs w:val="20"/>
        </w:rPr>
        <w:t>同化枝</w:t>
      </w:r>
      <w:r>
        <w:rPr>
          <w:rFonts w:ascii="SimHei" w:eastAsia="SimHei" w:hAnsi="SimHei" w:cs="SimHei"/>
          <w:spacing w:val="-42"/>
          <w:position w:val="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2"/>
          <w:position w:val="18"/>
          <w:sz w:val="20"/>
          <w:szCs w:val="20"/>
        </w:rPr>
        <w:t>Assimilation</w:t>
      </w:r>
      <w:r>
        <w:rPr>
          <w:rFonts w:ascii="SimHei" w:eastAsia="SimHei" w:hAnsi="SimHei" w:cs="SimHei"/>
          <w:spacing w:val="-8"/>
          <w:position w:val="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2"/>
          <w:position w:val="18"/>
          <w:sz w:val="20"/>
          <w:szCs w:val="20"/>
        </w:rPr>
        <w:t>branches</w:t>
      </w:r>
    </w:p>
    <w:p>
      <w:pPr>
        <w:spacing w:before="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植物具有光合作用功能的枝条。</w:t>
      </w:r>
    </w:p>
    <w:p>
      <w:pPr>
        <w:spacing w:before="223" w:line="214" w:lineRule="auto"/>
        <w:ind w:left="2"/>
        <w:outlineLvl w:val="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0"/>
          <w:sz w:val="20"/>
          <w:szCs w:val="20"/>
        </w:rPr>
        <w:t>3.25</w:t>
      </w:r>
      <w:r>
        <w:rPr>
          <w:rFonts w:ascii="SimSun" w:eastAsia="SimSun" w:hAnsi="SimSun" w:cs="SimSun"/>
          <w:spacing w:val="9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20"/>
          <w:szCs w:val="20"/>
        </w:rPr>
        <w:t>滴灌</w:t>
      </w:r>
      <w:r>
        <w:rPr>
          <w:rFonts w:ascii="SimSun" w:eastAsia="SimSun" w:hAnsi="SimSun" w:cs="SimSun"/>
          <w:spacing w:val="-3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20"/>
          <w:szCs w:val="20"/>
        </w:rPr>
        <w:t>Drip</w:t>
      </w:r>
      <w:r>
        <w:rPr>
          <w:rFonts w:ascii="SimSun" w:eastAsia="SimSun" w:hAnsi="SimSun" w:cs="SimSun"/>
          <w:spacing w:val="-7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20"/>
          <w:szCs w:val="20"/>
        </w:rPr>
        <w:t>irrigation</w:t>
      </w:r>
    </w:p>
    <w:p>
      <w:pPr>
        <w:spacing w:before="186" w:line="221" w:lineRule="auto"/>
        <w:ind w:left="40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3"/>
          <w:sz w:val="20"/>
          <w:szCs w:val="20"/>
        </w:rPr>
        <w:t>用专门的管道系统和设备将低压水送到灌溉地段并缓慢地滴</w:t>
      </w:r>
      <w:r>
        <w:rPr>
          <w:rFonts w:ascii="SimHei" w:eastAsia="SimHei" w:hAnsi="SimHei" w:cs="SimHei"/>
          <w:spacing w:val="-4"/>
          <w:sz w:val="20"/>
          <w:szCs w:val="20"/>
        </w:rPr>
        <w:t>到植物根部土壤中的一种灌溉方法。</w:t>
      </w:r>
    </w:p>
    <w:p>
      <w:pPr>
        <w:spacing w:before="220" w:line="223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3.26</w:t>
      </w:r>
      <w:r>
        <w:rPr>
          <w:rFonts w:ascii="SimHei" w:eastAsia="SimHei" w:hAnsi="SimHei" w:cs="SimHei"/>
          <w:spacing w:val="10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毛管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Hair</w:t>
      </w:r>
      <w:r>
        <w:rPr>
          <w:rFonts w:ascii="SimHei" w:eastAsia="SimHei" w:hAnsi="SimHei" w:cs="SimHei"/>
          <w:spacing w:val="-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canal</w:t>
      </w:r>
    </w:p>
    <w:p>
      <w:pPr>
        <w:spacing w:before="20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直接向灌水器配水的管道。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65" w:line="221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z w:val="20"/>
          <w:szCs w:val="20"/>
        </w:rPr>
        <w:t>4</w:t>
      </w:r>
      <w:r>
        <w:rPr>
          <w:rFonts w:ascii="SimHei" w:eastAsia="SimHei" w:hAnsi="SimHei" w:cs="SimHei"/>
          <w:spacing w:val="9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z w:val="20"/>
          <w:szCs w:val="20"/>
        </w:rPr>
        <w:t>受损类型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5" w:line="248" w:lineRule="auto"/>
        <w:ind w:right="57" w:firstLine="409"/>
        <w:rPr>
          <w:rFonts w:ascii="SimSun" w:eastAsia="SimSun" w:hAnsi="SimSun" w:cs="SimSun"/>
          <w:sz w:val="20"/>
          <w:szCs w:val="20"/>
        </w:rPr>
        <w:sectPr>
          <w:footerReference w:type="default" r:id="rId10"/>
          <w:pgSz w:w="11910" w:h="16840"/>
          <w:pgMar w:top="1431" w:right="1320" w:bottom="1719" w:left="1750" w:header="0" w:footer="1550" w:gutter="0"/>
          <w:pgNumType w:start="8"/>
          <w:cols w:space="708"/>
        </w:sectPr>
      </w:pPr>
      <w:r>
        <w:rPr>
          <w:rFonts w:ascii="SimSun" w:eastAsia="SimSun" w:hAnsi="SimSun" w:cs="SimSun"/>
          <w:spacing w:val="-5"/>
          <w:sz w:val="20"/>
          <w:szCs w:val="20"/>
        </w:rPr>
        <w:t>生物防沙体系病害主要是指苗木生长受到影响，使防沙体系的完整性</w:t>
      </w:r>
      <w:r>
        <w:rPr>
          <w:rFonts w:ascii="SimSun" w:eastAsia="SimSun" w:hAnsi="SimSun" w:cs="SimSun"/>
          <w:spacing w:val="-6"/>
          <w:sz w:val="20"/>
          <w:szCs w:val="20"/>
        </w:rPr>
        <w:t>和功能受到损害，防沙能力下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降。</w:t>
      </w:r>
    </w:p>
    <w:p>
      <w:pPr>
        <w:spacing w:before="200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4.1</w:t>
      </w:r>
      <w:r>
        <w:rPr>
          <w:rFonts w:ascii="SimHei" w:eastAsia="SimHei" w:hAnsi="SimHei" w:cs="SimHei"/>
          <w:spacing w:val="9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干旱危害</w:t>
      </w:r>
    </w:p>
    <w:p>
      <w:pPr>
        <w:spacing w:before="20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干旱直接影响生物防沙体系中植物的正常生长，造成长势变差，脱叶，甚至死亡。</w:t>
      </w:r>
    </w:p>
    <w:p>
      <w:pPr>
        <w:sectPr>
          <w:footerReference w:type="default" r:id="rId11"/>
          <w:type w:val="nextPage"/>
          <w:pgSz w:w="11910" w:h="16840"/>
          <w:pgMar w:top="1431" w:right="1320" w:bottom="1719" w:left="1750" w:header="0" w:footer="1550" w:gutter="0"/>
          <w:pgNumType w:start="9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46" w:line="198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spacing w:val="-2"/>
          <w:sz w:val="16"/>
          <w:szCs w:val="16"/>
        </w:rPr>
        <w:t>DB65/T</w:t>
      </w:r>
      <w:r>
        <w:rPr>
          <w:rFonts w:ascii="Arial" w:eastAsia="Arial" w:hAnsi="Arial" w:cs="Arial"/>
          <w:spacing w:val="7"/>
          <w:sz w:val="16"/>
          <w:szCs w:val="16"/>
        </w:rPr>
        <w:t xml:space="preserve">      </w:t>
      </w:r>
      <w:r>
        <w:rPr>
          <w:rFonts w:ascii="Arial" w:eastAsia="Arial" w:hAnsi="Arial" w:cs="Arial"/>
          <w:b/>
          <w:bCs/>
          <w:spacing w:val="-2"/>
          <w:sz w:val="16"/>
          <w:szCs w:val="16"/>
        </w:rPr>
        <w:t>3590—2014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65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4.2</w:t>
      </w:r>
      <w:r>
        <w:rPr>
          <w:rFonts w:ascii="SimHei" w:eastAsia="SimHei" w:hAnsi="SimHei" w:cs="SimHei"/>
          <w:spacing w:val="2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风沙危害</w:t>
      </w:r>
    </w:p>
    <w:p>
      <w:pPr>
        <w:spacing w:before="211" w:line="256" w:lineRule="auto"/>
        <w:ind w:right="33" w:firstLine="41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风沙作用下，生物防沙体系内一些部位(林带边缘、沙丘迎风坡脚)苗木根基土壤极易遭受风蚀危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害，植株根系裸露，甚至植株倒伏，植株长势变差，防护功能降低；</w:t>
      </w:r>
      <w:r>
        <w:rPr>
          <w:rFonts w:ascii="SimSun" w:eastAsia="SimSun" w:hAnsi="SimSun" w:cs="SimSun"/>
          <w:spacing w:val="7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一些部位(林带边缘、沙丘落沙坡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脚)大量积沙，植株被沙埋，只有植株的部分枝叶出露地表，或者植株完全被沙埋没；沙埋对灌溉系统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的末端危害较大，导致滴头出水量降低。</w:t>
      </w:r>
    </w:p>
    <w:p>
      <w:pPr>
        <w:spacing w:before="218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z w:val="20"/>
          <w:szCs w:val="20"/>
        </w:rPr>
        <w:t>4.3</w:t>
      </w:r>
      <w:r>
        <w:rPr>
          <w:rFonts w:ascii="SimHei" w:eastAsia="SimHei" w:hAnsi="SimHei" w:cs="SimHei"/>
          <w:spacing w:val="9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z w:val="20"/>
          <w:szCs w:val="20"/>
        </w:rPr>
        <w:t>盐碱危害</w:t>
      </w:r>
    </w:p>
    <w:p>
      <w:pPr>
        <w:spacing w:before="203" w:line="258" w:lineRule="auto"/>
        <w:ind w:right="33" w:firstLine="41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干旱区盐碱成分易在土壤表层积聚，尤其以灌溉土壤表层明显，</w:t>
      </w:r>
      <w:r>
        <w:rPr>
          <w:rFonts w:ascii="SimSun" w:eastAsia="SimSun" w:hAnsi="SimSun" w:cs="SimSun"/>
          <w:spacing w:val="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一般不影响植物生长，但一</w:t>
      </w:r>
      <w:r>
        <w:rPr>
          <w:rFonts w:ascii="SimSun" w:eastAsia="SimSun" w:hAnsi="SimSun" w:cs="SimSun"/>
          <w:spacing w:val="-8"/>
          <w:sz w:val="20"/>
          <w:szCs w:val="20"/>
        </w:rPr>
        <w:t>且有强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降雨发生，表层盐碱成分快速淋洗至植物根系层，影响植物根系吸水。</w:t>
      </w:r>
      <w:r>
        <w:rPr>
          <w:rFonts w:ascii="SimSun" w:eastAsia="SimSun" w:hAnsi="SimSun" w:cs="SimSun"/>
          <w:spacing w:val="-4"/>
          <w:sz w:val="20"/>
          <w:szCs w:val="20"/>
        </w:rPr>
        <w:t>降雨盐碱危害对浅根系植物和幼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龄植物影响大，而对深根系植物和成林植物影响较小。</w:t>
      </w:r>
    </w:p>
    <w:p>
      <w:pPr>
        <w:spacing w:before="200" w:line="223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4.4</w:t>
      </w:r>
      <w:r>
        <w:rPr>
          <w:rFonts w:ascii="SimHei" w:eastAsia="SimHei" w:hAnsi="SimHei" w:cs="SimHei"/>
          <w:spacing w:val="9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虫危害</w:t>
      </w:r>
    </w:p>
    <w:p>
      <w:pPr>
        <w:spacing w:before="200" w:line="241" w:lineRule="auto"/>
        <w:ind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防护林植物病虫害引起植物枝叶和根系感染病菌(真菌、细菌、病毒)、叶片被蚕食(食</w:t>
      </w:r>
      <w:r>
        <w:rPr>
          <w:rFonts w:ascii="SimSun" w:eastAsia="SimSun" w:hAnsi="SimSun" w:cs="SimSun"/>
          <w:spacing w:val="1"/>
          <w:sz w:val="20"/>
          <w:szCs w:val="20"/>
        </w:rPr>
        <w:t>叶型害虫)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枝叶营养被吸食(吸汁型害虫)、树干被蛀(蛀干害虫),导致植物长势变差甚至死亡。</w:t>
      </w:r>
    </w:p>
    <w:p>
      <w:pPr>
        <w:spacing w:before="215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4.5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动物啃食危害</w:t>
      </w:r>
    </w:p>
    <w:p>
      <w:pPr>
        <w:spacing w:before="202" w:line="244" w:lineRule="auto"/>
        <w:ind w:right="3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荒漠区兔、鼠等啮齿类动物以及其他野生动物，啃食植物枝叶、树皮、刨挖根系，啮咬滴灌毛管，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造成植物长势变差甚至死亡。</w:t>
      </w:r>
    </w:p>
    <w:p>
      <w:pPr>
        <w:spacing w:before="200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4.6</w:t>
      </w:r>
      <w:r>
        <w:rPr>
          <w:rFonts w:ascii="SimHei" w:eastAsia="SimHei" w:hAnsi="SimHei" w:cs="SimHei"/>
          <w:spacing w:val="2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火烧危害</w:t>
      </w:r>
    </w:p>
    <w:p>
      <w:pPr>
        <w:spacing w:before="211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偶发林火可烧伤或烧死防护林植物以及灌溉系统。</w:t>
      </w:r>
    </w:p>
    <w:p>
      <w:pPr>
        <w:spacing w:before="191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4.7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冰雹危害</w:t>
      </w:r>
    </w:p>
    <w:p>
      <w:pPr>
        <w:spacing w:before="202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突发的冰雹天气降落的冰雹颗粒打击造成植物枝叶和表皮脱</w:t>
      </w:r>
      <w:r>
        <w:rPr>
          <w:rFonts w:ascii="SimSun" w:eastAsia="SimSun" w:hAnsi="SimSun" w:cs="SimSun"/>
          <w:spacing w:val="-3"/>
          <w:sz w:val="20"/>
          <w:szCs w:val="20"/>
        </w:rPr>
        <w:t>落，危害极大，长势变差。</w:t>
      </w:r>
    </w:p>
    <w:p>
      <w:pPr>
        <w:spacing w:before="200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4.8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其他危害</w:t>
      </w:r>
    </w:p>
    <w:p>
      <w:pPr>
        <w:spacing w:before="211" w:line="244" w:lineRule="auto"/>
        <w:ind w:right="35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失控或事故车辆冲入林带中，车轮碾压和车体</w:t>
      </w:r>
      <w:r>
        <w:rPr>
          <w:rFonts w:ascii="SimSun" w:eastAsia="SimSun" w:hAnsi="SimSun" w:cs="SimSun"/>
          <w:spacing w:val="-4"/>
          <w:sz w:val="20"/>
          <w:szCs w:val="20"/>
        </w:rPr>
        <w:t>滚翻对局部防护林植物生长影响较大。另外，人为采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折防护林植物的枝条也影响植物生长。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66" w:line="221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受损程度界定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65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干旱危害</w:t>
      </w:r>
    </w:p>
    <w:p>
      <w:pPr>
        <w:spacing w:before="201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防护林个体植株干旱危害强度级别划分详见规范性附录A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表</w:t>
      </w:r>
      <w:r>
        <w:rPr>
          <w:rFonts w:ascii="SimSun" w:eastAsia="SimSun" w:hAnsi="SimSun" w:cs="SimSun"/>
          <w:spacing w:val="-5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A.1。</w:t>
      </w:r>
    </w:p>
    <w:p>
      <w:pPr>
        <w:spacing w:before="71" w:line="241" w:lineRule="auto"/>
        <w:ind w:right="30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林地干旱灾害界定：遭受&gt;中度，干旱危害级别，受害植株连片出现，区段长度达到50m,</w:t>
      </w:r>
      <w:r>
        <w:rPr>
          <w:rFonts w:ascii="SimSun" w:eastAsia="SimSun" w:hAnsi="SimSun" w:cs="SimSun"/>
          <w:spacing w:val="5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或面积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达到1000m²。</w:t>
      </w:r>
    </w:p>
    <w:p>
      <w:pPr>
        <w:spacing w:before="207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  <w:sectPr>
          <w:footerReference w:type="default" r:id="rId12"/>
          <w:pgSz w:w="11910" w:h="16840"/>
          <w:pgMar w:top="1431" w:right="1366" w:bottom="1592" w:left="1640" w:header="0" w:footer="1433" w:gutter="0"/>
          <w:pgNumType w:start="10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5.2</w:t>
      </w:r>
      <w:r>
        <w:rPr>
          <w:rFonts w:ascii="SimHei" w:eastAsia="SimHei" w:hAnsi="SimHei" w:cs="SimHei"/>
          <w:spacing w:val="2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风沙危害</w:t>
      </w:r>
    </w:p>
    <w:p>
      <w:pPr>
        <w:spacing w:before="204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林地风沙危害主要包括风蚀危害和沙埋危害。</w:t>
      </w:r>
    </w:p>
    <w:p>
      <w:pPr>
        <w:spacing w:before="6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5.2.1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1"/>
          <w:sz w:val="20"/>
          <w:szCs w:val="20"/>
        </w:rPr>
        <w:t>防护林个体植株风蚀危害强度级别划分详见规范性附录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表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A.2。</w:t>
      </w:r>
    </w:p>
    <w:p>
      <w:pPr>
        <w:spacing w:before="51" w:line="250" w:lineRule="auto"/>
        <w:ind w:right="35" w:firstLine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林地风蚀灾害界定：</w:t>
      </w:r>
      <w:r>
        <w:rPr>
          <w:rFonts w:ascii="SimSun" w:eastAsia="SimSun" w:hAnsi="SimSun" w:cs="SimSun"/>
          <w:spacing w:val="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遭受&gt;中度风蚀危害级别，受害植株连片出现，区段长度达到50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sz w:val="20"/>
          <w:szCs w:val="20"/>
        </w:rPr>
        <w:t>或面积达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到1000m²。</w:t>
      </w:r>
    </w:p>
    <w:p>
      <w:pPr>
        <w:spacing w:before="50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5.2.2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2"/>
          <w:sz w:val="20"/>
          <w:szCs w:val="20"/>
        </w:rPr>
        <w:t>防护林个体植株沙埋危害强度级别划分详见规范性附录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表</w:t>
      </w:r>
      <w:r>
        <w:rPr>
          <w:rFonts w:ascii="SimSun" w:eastAsia="SimSun" w:hAnsi="SimSun" w:cs="SimSun"/>
          <w:spacing w:val="-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A.3。</w:t>
      </w:r>
    </w:p>
    <w:p>
      <w:pPr>
        <w:sectPr>
          <w:footerReference w:type="default" r:id="rId13"/>
          <w:type w:val="nextPage"/>
          <w:pgSz w:w="11910" w:h="16840"/>
          <w:pgMar w:top="1431" w:right="1366" w:bottom="1592" w:left="1640" w:header="0" w:footer="1433" w:gutter="0"/>
          <w:pgNumType w:start="11"/>
          <w:cols w:space="708"/>
          <w:titlePg w:val="0"/>
        </w:sectPr>
      </w:pPr>
    </w:p>
    <w:p>
      <w:pPr>
        <w:spacing w:line="425" w:lineRule="auto"/>
        <w:rPr>
          <w:rFonts w:ascii="Arial"/>
          <w:sz w:val="21"/>
        </w:rPr>
      </w:pPr>
    </w:p>
    <w:p>
      <w:pPr>
        <w:spacing w:before="49" w:line="192" w:lineRule="auto"/>
        <w:ind w:right="13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4"/>
          <w:sz w:val="17"/>
          <w:szCs w:val="17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3590—2014</w:t>
      </w:r>
    </w:p>
    <w:p>
      <w:pPr>
        <w:spacing w:before="280" w:line="241" w:lineRule="auto"/>
        <w:ind w:right="20" w:firstLine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林地沙埋灾害界定：</w:t>
      </w:r>
      <w:r>
        <w:rPr>
          <w:rFonts w:ascii="SimSun" w:eastAsia="SimSun" w:hAnsi="SimSun" w:cs="SimSun"/>
          <w:spacing w:val="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遭受&gt;中度沙埋危害级别(压埋)植株连片出现，区段长度达到50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或</w:t>
      </w:r>
      <w:r>
        <w:rPr>
          <w:rFonts w:ascii="SimSun" w:eastAsia="SimSun" w:hAnsi="SimSun" w:cs="SimSun"/>
          <w:spacing w:val="-2"/>
          <w:sz w:val="20"/>
          <w:szCs w:val="20"/>
        </w:rPr>
        <w:t>面积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达到1000m²。</w:t>
      </w:r>
    </w:p>
    <w:p>
      <w:pPr>
        <w:spacing w:before="206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5.3</w:t>
      </w:r>
      <w:r>
        <w:rPr>
          <w:rFonts w:ascii="SimHei" w:eastAsia="SimHei" w:hAnsi="SimHei" w:cs="SimHei"/>
          <w:spacing w:val="9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盐碱危害</w:t>
      </w:r>
    </w:p>
    <w:p>
      <w:pPr>
        <w:spacing w:before="21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5.3.1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1"/>
          <w:sz w:val="20"/>
          <w:szCs w:val="20"/>
        </w:rPr>
        <w:t>防护林个体植株盐碱危害强度级别</w:t>
      </w:r>
      <w:r>
        <w:rPr>
          <w:rFonts w:ascii="SimSun" w:eastAsia="SimSun" w:hAnsi="SimSun" w:cs="SimSun"/>
          <w:spacing w:val="-2"/>
          <w:sz w:val="20"/>
          <w:szCs w:val="20"/>
        </w:rPr>
        <w:t>划分详见规范性附录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表A.4。</w:t>
      </w:r>
    </w:p>
    <w:p>
      <w:pPr>
        <w:spacing w:before="120" w:line="278" w:lineRule="auto"/>
        <w:ind w:right="25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5.3.2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林地盐碱灾害界定：遭受&gt;中度盐渍化危害级别，被压埋植株连片出现，区段长度达到50m</w:t>
      </w:r>
      <w:r>
        <w:rPr>
          <w:rFonts w:ascii="SimSun" w:eastAsia="SimSun" w:hAnsi="SimSun" w:cs="SimSun"/>
          <w:spacing w:val="-3"/>
          <w:sz w:val="20"/>
          <w:szCs w:val="20"/>
        </w:rPr>
        <w:t>,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或面积达到1000m²。</w:t>
      </w:r>
    </w:p>
    <w:p>
      <w:pPr>
        <w:spacing w:before="208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5.4</w:t>
      </w:r>
      <w:r>
        <w:rPr>
          <w:rFonts w:ascii="SimHei" w:eastAsia="SimHei" w:hAnsi="SimHei" w:cs="SimHei"/>
          <w:spacing w:val="9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病虫危害</w:t>
      </w:r>
    </w:p>
    <w:p>
      <w:pPr>
        <w:spacing w:before="201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防护林个体植株病虫危害强度级别划分详见规范性附录A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表</w:t>
      </w:r>
      <w:r>
        <w:rPr>
          <w:rFonts w:ascii="SimSun" w:eastAsia="SimSun" w:hAnsi="SimSun" w:cs="SimSun"/>
          <w:spacing w:val="-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A.5。</w:t>
      </w:r>
    </w:p>
    <w:p>
      <w:pPr>
        <w:spacing w:before="192" w:line="250" w:lineRule="auto"/>
        <w:ind w:firstLine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林地病虫灾害界定：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遭受&gt;中度病虫危害级别，受害植株连片出现，区段长</w:t>
      </w:r>
      <w:r>
        <w:rPr>
          <w:rFonts w:ascii="SimSun" w:eastAsia="SimSun" w:hAnsi="SimSun" w:cs="SimSun"/>
          <w:spacing w:val="-5"/>
          <w:sz w:val="20"/>
          <w:szCs w:val="20"/>
        </w:rPr>
        <w:t>度达到50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5"/>
          <w:sz w:val="20"/>
          <w:szCs w:val="20"/>
        </w:rPr>
        <w:t>或面积达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到1000m²。</w:t>
      </w:r>
    </w:p>
    <w:p>
      <w:pPr>
        <w:spacing w:before="216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5.5</w:t>
      </w:r>
      <w:r>
        <w:rPr>
          <w:rFonts w:ascii="SimHei" w:eastAsia="SimHei" w:hAnsi="SimHei" w:cs="SimHei"/>
          <w:spacing w:val="7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动物啃食危害</w:t>
      </w:r>
    </w:p>
    <w:p>
      <w:pPr>
        <w:spacing w:before="203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防护林个体植株动物啃食危害强度级别划分详见规范性附录A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表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A.6。</w:t>
      </w:r>
    </w:p>
    <w:p>
      <w:pPr>
        <w:spacing w:before="212" w:line="236" w:lineRule="auto"/>
        <w:ind w:right="6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林地动物啮咬灾害界定：遭受&gt;中度动物啮咬危害级别植株连片</w:t>
      </w:r>
      <w:r>
        <w:rPr>
          <w:rFonts w:ascii="SimSun" w:eastAsia="SimSun" w:hAnsi="SimSun" w:cs="SimSun"/>
          <w:spacing w:val="-2"/>
          <w:sz w:val="20"/>
          <w:szCs w:val="20"/>
        </w:rPr>
        <w:t>出现，区段长度达到50m,</w:t>
      </w:r>
      <w:r>
        <w:rPr>
          <w:rFonts w:ascii="SimSun" w:eastAsia="SimSun" w:hAnsi="SimSun" w:cs="SimSun"/>
          <w:spacing w:val="2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或面积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达到1000m²。</w:t>
      </w:r>
    </w:p>
    <w:p>
      <w:pPr>
        <w:spacing w:before="198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5.6</w:t>
      </w:r>
      <w:r>
        <w:rPr>
          <w:rFonts w:ascii="SimHei" w:eastAsia="SimHei" w:hAnsi="SimHei" w:cs="SimHei"/>
          <w:spacing w:val="8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火烧危害</w:t>
      </w:r>
    </w:p>
    <w:p>
      <w:pPr>
        <w:spacing w:before="221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防护林个体植株火烧危害强度级别划分详见规范性附录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A</w:t>
      </w:r>
      <w:r>
        <w:rPr>
          <w:rFonts w:ascii="SimSun" w:eastAsia="SimSun" w:hAnsi="SimSun" w:cs="SimSun"/>
          <w:spacing w:val="-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表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A.7</w:t>
      </w:r>
    </w:p>
    <w:p>
      <w:pPr>
        <w:spacing w:before="201" w:line="241" w:lineRule="auto"/>
        <w:ind w:right="20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林地火烧灾害界定：遭受&gt;中度火烧危害级别，受害植株连片出现，区段长度达到50m</w:t>
      </w:r>
      <w:r>
        <w:rPr>
          <w:rFonts w:ascii="SimSun" w:eastAsia="SimSun" w:hAnsi="SimSun" w:cs="SimSun"/>
          <w:spacing w:val="-3"/>
          <w:sz w:val="20"/>
          <w:szCs w:val="20"/>
        </w:rPr>
        <w:t>,</w:t>
      </w:r>
      <w:r>
        <w:rPr>
          <w:rFonts w:ascii="SimSun" w:eastAsia="SimSun" w:hAnsi="SimSun" w:cs="SimSun"/>
          <w:spacing w:val="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或面积达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到1000m²。</w:t>
      </w:r>
    </w:p>
    <w:p>
      <w:pPr>
        <w:spacing w:before="198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5.7</w:t>
      </w:r>
      <w:r>
        <w:rPr>
          <w:rFonts w:ascii="SimHei" w:eastAsia="SimHei" w:hAnsi="SimHei" w:cs="SimHei"/>
          <w:spacing w:val="9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冰雹危害</w:t>
      </w:r>
    </w:p>
    <w:p>
      <w:pPr>
        <w:spacing w:before="201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防护林个体植株冰雹危害强度级别划分详见规范性附录A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表</w:t>
      </w:r>
      <w:r>
        <w:rPr>
          <w:rFonts w:ascii="SimSun" w:eastAsia="SimSun" w:hAnsi="SimSun" w:cs="SimSun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A.8。</w:t>
      </w:r>
    </w:p>
    <w:p>
      <w:pPr>
        <w:spacing w:before="211" w:line="241" w:lineRule="auto"/>
        <w:ind w:right="29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林地冰雹灾害界定：遭受&gt;中度冰雹打击危害级别，受害植株连片出现，区段长度达到5</w:t>
      </w:r>
      <w:r>
        <w:rPr>
          <w:rFonts w:ascii="SimSun" w:eastAsia="SimSun" w:hAnsi="SimSun" w:cs="SimSun"/>
          <w:spacing w:val="-3"/>
          <w:sz w:val="20"/>
          <w:szCs w:val="20"/>
        </w:rPr>
        <w:t>0m,</w:t>
      </w:r>
      <w:r>
        <w:rPr>
          <w:rFonts w:ascii="SimSun" w:eastAsia="SimSun" w:hAnsi="SimSun" w:cs="SimSun"/>
          <w:spacing w:val="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或面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积达到1000m²。</w:t>
      </w:r>
    </w:p>
    <w:p>
      <w:pPr>
        <w:spacing w:before="218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5.8</w:t>
      </w:r>
      <w:r>
        <w:rPr>
          <w:rFonts w:ascii="SimHei" w:eastAsia="SimHei" w:hAnsi="SimHei" w:cs="SimHei"/>
          <w:spacing w:val="9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其他危害</w:t>
      </w:r>
    </w:p>
    <w:p>
      <w:pPr>
        <w:spacing w:before="200" w:line="245" w:lineRule="auto"/>
        <w:ind w:right="7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sz w:val="20"/>
          <w:szCs w:val="20"/>
        </w:rPr>
        <w:t>失控车辆碾压和人为采摘一般只发生于局部地方，影响范围不大，影响程度也较小，</w:t>
      </w:r>
      <w:r>
        <w:rPr>
          <w:rFonts w:ascii="SimSun" w:eastAsia="SimSun" w:hAnsi="SimSun" w:cs="SimSun"/>
          <w:spacing w:val="5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一般不</w:t>
      </w:r>
      <w:r>
        <w:rPr>
          <w:rFonts w:ascii="SimSun" w:eastAsia="SimSun" w:hAnsi="SimSun" w:cs="SimSun"/>
          <w:spacing w:val="-10"/>
          <w:sz w:val="20"/>
          <w:szCs w:val="20"/>
        </w:rPr>
        <w:t>形成灾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害。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65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6</w:t>
      </w:r>
      <w:r>
        <w:rPr>
          <w:rFonts w:ascii="SimHei" w:eastAsia="SimHei" w:hAnsi="SimHei" w:cs="SimHei"/>
          <w:spacing w:val="9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维护措施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66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6.1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土壤水分管理</w:t>
      </w:r>
    </w:p>
    <w:p>
      <w:pPr>
        <w:spacing w:before="190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  <w:sectPr>
          <w:footerReference w:type="default" r:id="rId14"/>
          <w:pgSz w:w="11910" w:h="16840"/>
          <w:pgMar w:top="1431" w:right="1390" w:bottom="1687" w:left="1750" w:header="0" w:footer="1520" w:gutter="0"/>
          <w:pgNumType w:start="12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6.1.1</w:t>
      </w:r>
      <w:r>
        <w:rPr>
          <w:rFonts w:ascii="SimHei" w:eastAsia="SimHei" w:hAnsi="SimHei" w:cs="SimHei"/>
          <w:spacing w:val="9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土壤水分监测</w:t>
      </w:r>
    </w:p>
    <w:p>
      <w:pPr>
        <w:spacing w:before="222" w:line="244" w:lineRule="auto"/>
        <w:ind w:right="11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在每个灌溉单元的典型地貌部位，建立防护林林地水分状况监测点，定期监测土壤干沙层厚度和植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物生长状况。</w:t>
      </w:r>
    </w:p>
    <w:p>
      <w:pPr>
        <w:spacing w:before="198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6.1.2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合理灌溉</w:t>
      </w:r>
    </w:p>
    <w:p>
      <w:pPr>
        <w:sectPr>
          <w:footerReference w:type="default" r:id="rId15"/>
          <w:type w:val="nextPage"/>
          <w:pgSz w:w="11910" w:h="16840"/>
          <w:pgMar w:top="1431" w:right="1390" w:bottom="1687" w:left="1750" w:header="0" w:footer="1520" w:gutter="0"/>
          <w:pgNumType w:start="13"/>
          <w:cols w:space="708"/>
          <w:titlePg w:val="0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57" w:line="188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3590—2014</w:t>
      </w:r>
    </w:p>
    <w:p>
      <w:pPr>
        <w:spacing w:before="268" w:line="248" w:lineRule="auto"/>
        <w:ind w:right="59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具有灌溉系统的生物防沙体系，对于成林，应调整灌溉制度，相对幼苗期适当加大灌溉定额和延长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灌溉周期。</w:t>
      </w:r>
    </w:p>
    <w:p>
      <w:pPr>
        <w:spacing w:before="209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6.1.3</w:t>
      </w:r>
      <w:r>
        <w:rPr>
          <w:rFonts w:ascii="SimHei" w:eastAsia="SimHei" w:hAnsi="SimHei" w:cs="SimHei"/>
          <w:spacing w:val="8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合理补灌</w:t>
      </w:r>
    </w:p>
    <w:p>
      <w:pPr>
        <w:spacing w:before="189" w:line="216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对没有灌溉系统的生物防沙体系，成林后应在夏季采用移动滴灌系统</w:t>
      </w:r>
      <w:r>
        <w:rPr>
          <w:rFonts w:ascii="SimSun" w:eastAsia="SimSun" w:hAnsi="SimSun" w:cs="SimSun"/>
          <w:spacing w:val="-1"/>
          <w:sz w:val="20"/>
          <w:szCs w:val="20"/>
        </w:rPr>
        <w:t>(见附录B,B.1)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进行补灌，</w:t>
      </w:r>
    </w:p>
    <w:p>
      <w:pPr>
        <w:spacing w:before="66" w:line="21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滴头流量3L/h～4L/h,</w:t>
      </w:r>
      <w:r>
        <w:rPr>
          <w:rFonts w:ascii="SimSun" w:eastAsia="SimSun" w:hAnsi="SimSun" w:cs="SimSun"/>
          <w:spacing w:val="-3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每次灌溉3h～</w:t>
      </w:r>
      <w:r>
        <w:rPr>
          <w:rFonts w:ascii="SimSun" w:eastAsia="SimSun" w:hAnsi="SimSun" w:cs="SimSun"/>
          <w:spacing w:val="-1"/>
          <w:sz w:val="20"/>
          <w:szCs w:val="20"/>
        </w:rPr>
        <w:t>4h,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每年补灌1～2次。灌溉系统操作按</w:t>
      </w:r>
      <w:r>
        <w:rPr>
          <w:rFonts w:ascii="SimSun" w:eastAsia="SimSun" w:hAnsi="SimSun" w:cs="SimSun"/>
          <w:sz w:val="20"/>
          <w:szCs w:val="20"/>
        </w:rPr>
        <w:t>SL</w:t>
      </w:r>
      <w:r>
        <w:rPr>
          <w:rFonts w:ascii="SimSun" w:eastAsia="SimSun" w:hAnsi="SimSun" w:cs="SimSun"/>
          <w:spacing w:val="-1"/>
          <w:sz w:val="20"/>
          <w:szCs w:val="20"/>
        </w:rPr>
        <w:t>236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执行。</w:t>
      </w:r>
    </w:p>
    <w:p>
      <w:pPr>
        <w:spacing w:before="226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6.2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苗木补植</w:t>
      </w:r>
    </w:p>
    <w:p>
      <w:pPr>
        <w:spacing w:before="182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在防护林带植株死亡或压埋高发片区，必须及时补植苗木，维护防沙体系的结构完整性。</w:t>
      </w:r>
    </w:p>
    <w:p>
      <w:pPr>
        <w:spacing w:before="199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6.2.1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苗木量估算</w:t>
      </w:r>
    </w:p>
    <w:p>
      <w:pPr>
        <w:spacing w:before="213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野外调查确定防护林工程区各补植区需要补植的苗木株树。</w:t>
      </w:r>
    </w:p>
    <w:p>
      <w:pPr>
        <w:spacing w:before="201" w:line="223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6.2.2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苗木准备</w:t>
      </w:r>
    </w:p>
    <w:p>
      <w:pPr>
        <w:spacing w:before="200" w:line="219" w:lineRule="auto"/>
        <w:rPr>
          <w:rFonts w:ascii="SimSun" w:eastAsia="SimSun" w:hAnsi="SimSun" w:cs="SimSun"/>
          <w:sz w:val="20"/>
          <w:szCs w:val="20"/>
        </w:rPr>
      </w:pPr>
      <w:hyperlink r:id="rId16" w:history="1">
        <w:r>
          <w:rPr>
            <w:rFonts w:ascii="Times New Roman" w:eastAsia="Times New Roman" w:hAnsi="Times New Roman" w:cs="Times New Roman"/>
            <w:b/>
            <w:bCs/>
            <w:spacing w:val="-2"/>
            <w:sz w:val="20"/>
            <w:szCs w:val="20"/>
          </w:rPr>
          <w:t>6.2.2.1</w:t>
        </w:r>
      </w:hyperlink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2"/>
          <w:sz w:val="20"/>
          <w:szCs w:val="20"/>
        </w:rPr>
        <w:t>准备定植苗</w:t>
      </w:r>
    </w:p>
    <w:p>
      <w:pPr>
        <w:spacing w:before="53" w:line="252" w:lineRule="auto"/>
        <w:ind w:right="59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在补植工作前，应根据需求定购或繁育防护林树种的相关种类的苗木，选用1年生～2年生的合格苗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苗木质量应符合DB33/177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或GB</w:t>
      </w:r>
      <w:r>
        <w:rPr>
          <w:rFonts w:ascii="SimSun" w:eastAsia="SimSun" w:hAnsi="SimSun" w:cs="SimSun"/>
          <w:spacing w:val="5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6000的要求，进行假植，准备随后定植使用。</w:t>
      </w:r>
    </w:p>
    <w:p>
      <w:pPr>
        <w:spacing w:before="44" w:line="219" w:lineRule="auto"/>
        <w:rPr>
          <w:rFonts w:ascii="SimSun" w:eastAsia="SimSun" w:hAnsi="SimSun" w:cs="SimSun"/>
          <w:sz w:val="20"/>
          <w:szCs w:val="20"/>
        </w:rPr>
      </w:pPr>
      <w:hyperlink r:id="rId17" w:history="1">
        <w:r>
          <w:rPr>
            <w:rFonts w:ascii="Times New Roman" w:eastAsia="Times New Roman" w:hAnsi="Times New Roman" w:cs="Times New Roman"/>
            <w:b/>
            <w:bCs/>
            <w:spacing w:val="-2"/>
            <w:sz w:val="20"/>
            <w:szCs w:val="20"/>
          </w:rPr>
          <w:t>6.2.2.2</w:t>
        </w:r>
      </w:hyperlink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2"/>
          <w:sz w:val="20"/>
          <w:szCs w:val="20"/>
        </w:rPr>
        <w:t>准备扦插插穗</w:t>
      </w:r>
    </w:p>
    <w:p>
      <w:pPr>
        <w:spacing w:before="52" w:line="253" w:lineRule="auto"/>
        <w:ind w:right="77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定植当年，从防护林健壮的柽柳、沙拐枣、白刺、锦鸡儿、花棒、枸杞、</w:t>
      </w:r>
      <w:r>
        <w:rPr>
          <w:rFonts w:ascii="SimSun" w:eastAsia="SimSun" w:hAnsi="SimSun" w:cs="SimSun"/>
          <w:spacing w:val="-5"/>
          <w:sz w:val="20"/>
          <w:szCs w:val="20"/>
        </w:rPr>
        <w:t>沙柳等树木上剪1年生～3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年生枝条，剪成20cm～40cm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的小段，扎成捆，下部浸泡在溶有生根粉的水中，浸泡24h～4</w:t>
      </w:r>
      <w:r>
        <w:rPr>
          <w:rFonts w:ascii="SimSun" w:eastAsia="SimSun" w:hAnsi="SimSun" w:cs="SimSun"/>
          <w:spacing w:val="-3"/>
          <w:sz w:val="20"/>
          <w:szCs w:val="20"/>
        </w:rPr>
        <w:t>9h。</w:t>
      </w:r>
    </w:p>
    <w:p>
      <w:pPr>
        <w:spacing w:before="200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6.2.3</w:t>
      </w:r>
      <w:r>
        <w:rPr>
          <w:rFonts w:ascii="SimHei" w:eastAsia="SimHei" w:hAnsi="SimHei" w:cs="SimHei"/>
          <w:spacing w:val="9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苗木补植</w:t>
      </w:r>
    </w:p>
    <w:p>
      <w:pPr>
        <w:spacing w:before="182" w:line="219" w:lineRule="auto"/>
        <w:rPr>
          <w:rFonts w:ascii="SimSun" w:eastAsia="SimSun" w:hAnsi="SimSun" w:cs="SimSun"/>
          <w:sz w:val="20"/>
          <w:szCs w:val="20"/>
        </w:rPr>
      </w:pPr>
      <w:hyperlink r:id="rId18" w:history="1">
        <w:r>
          <w:rPr>
            <w:rFonts w:ascii="Times New Roman" w:eastAsia="Times New Roman" w:hAnsi="Times New Roman" w:cs="Times New Roman"/>
            <w:b/>
            <w:bCs/>
            <w:spacing w:val="-3"/>
            <w:sz w:val="20"/>
            <w:szCs w:val="20"/>
          </w:rPr>
          <w:t>6.2.3.1</w:t>
        </w:r>
      </w:hyperlink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3"/>
          <w:sz w:val="20"/>
          <w:szCs w:val="20"/>
        </w:rPr>
        <w:t>苗木补植一般春秋季都可以，但以春季效果最好。</w:t>
      </w:r>
    </w:p>
    <w:p>
      <w:pPr>
        <w:spacing w:before="40" w:line="258" w:lineRule="auto"/>
        <w:ind w:right="86"/>
        <w:rPr>
          <w:rFonts w:ascii="SimSun" w:eastAsia="SimSun" w:hAnsi="SimSun" w:cs="SimSun"/>
          <w:sz w:val="20"/>
          <w:szCs w:val="20"/>
        </w:rPr>
      </w:pPr>
      <w:hyperlink r:id="rId19" w:history="1">
        <w:r>
          <w:rPr>
            <w:rFonts w:ascii="Times New Roman" w:eastAsia="Times New Roman" w:hAnsi="Times New Roman" w:cs="Times New Roman"/>
            <w:b/>
            <w:bCs/>
            <w:spacing w:val="4"/>
            <w:sz w:val="20"/>
            <w:szCs w:val="20"/>
          </w:rPr>
          <w:t>6.2.3.2</w:t>
        </w:r>
      </w:hyperlink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4"/>
          <w:sz w:val="20"/>
          <w:szCs w:val="20"/>
        </w:rPr>
        <w:t>用铁锹或者缝植锹(见</w:t>
      </w:r>
      <w:r>
        <w:rPr>
          <w:rFonts w:ascii="Times New Roman" w:eastAsia="Times New Roman" w:hAnsi="Times New Roman" w:cs="Times New Roman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65/T3320)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4"/>
          <w:sz w:val="20"/>
          <w:szCs w:val="20"/>
        </w:rPr>
        <w:t>挖3</w:t>
      </w:r>
      <w:r>
        <w:rPr>
          <w:rFonts w:ascii="SimSun" w:eastAsia="SimSun" w:hAnsi="SimSun" w:cs="SimSun"/>
          <w:spacing w:val="3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SimSun" w:eastAsia="SimSun" w:hAnsi="SimSun" w:cs="SimSun"/>
          <w:spacing w:val="3"/>
          <w:sz w:val="20"/>
          <w:szCs w:val="20"/>
        </w:rPr>
        <w:t>～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35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SimSun" w:eastAsia="SimSun" w:hAnsi="SimSun" w:cs="SimSun"/>
          <w:spacing w:val="3"/>
          <w:sz w:val="20"/>
          <w:szCs w:val="20"/>
        </w:rPr>
        <w:t>深的坑或缝隙，将苗木或者扦插条置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于其中，埋土，用脚踏实苗木周围土壤，每株浇水5L～8L。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苗木栽植操作按GB/T21141</w:t>
      </w:r>
      <w:r>
        <w:rPr>
          <w:rFonts w:ascii="SimSun" w:eastAsia="SimSun" w:hAnsi="SimSun" w:cs="SimSun"/>
          <w:spacing w:val="7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执行。</w:t>
      </w:r>
    </w:p>
    <w:p>
      <w:pPr>
        <w:spacing w:before="189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6.2.4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防风蚀工程施工</w:t>
      </w:r>
    </w:p>
    <w:p>
      <w:pPr>
        <w:spacing w:before="204" w:line="251" w:lineRule="auto"/>
        <w:ind w:right="36"/>
        <w:rPr>
          <w:rFonts w:ascii="SimSun" w:eastAsia="SimSun" w:hAnsi="SimSun" w:cs="SimSun"/>
          <w:sz w:val="20"/>
          <w:szCs w:val="20"/>
        </w:rPr>
      </w:pPr>
      <w:hyperlink r:id="rId20" w:history="1">
        <w:r>
          <w:rPr>
            <w:rFonts w:ascii="Times New Roman" w:eastAsia="Times New Roman" w:hAnsi="Times New Roman" w:cs="Times New Roman"/>
            <w:b/>
            <w:bCs/>
            <w:spacing w:val="-1"/>
            <w:sz w:val="20"/>
            <w:szCs w:val="20"/>
          </w:rPr>
          <w:t>6.2.4.1</w:t>
        </w:r>
      </w:hyperlink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1"/>
          <w:sz w:val="20"/>
          <w:szCs w:val="20"/>
        </w:rPr>
        <w:t>在苗木补植工作开展之前，在风沙危害较重的补植</w:t>
      </w:r>
      <w:r>
        <w:rPr>
          <w:rFonts w:ascii="SimSun" w:eastAsia="SimSun" w:hAnsi="SimSun" w:cs="SimSun"/>
          <w:spacing w:val="-2"/>
          <w:sz w:val="20"/>
          <w:szCs w:val="20"/>
        </w:rPr>
        <w:t>区地面应设置草方格沙障或尼龙网方格沙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障(见附录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B,B.2),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防治苗木根部土壤风蚀，提高苗木成活率</w:t>
      </w:r>
      <w:r>
        <w:rPr>
          <w:rFonts w:ascii="SimSun" w:eastAsia="SimSun" w:hAnsi="SimSun" w:cs="SimSun"/>
          <w:spacing w:val="-4"/>
          <w:sz w:val="20"/>
          <w:szCs w:val="20"/>
        </w:rPr>
        <w:t>。沙障施工具体技术要求按</w:t>
      </w:r>
      <w:r>
        <w:rPr>
          <w:rFonts w:ascii="SimSun" w:eastAsia="SimSun" w:hAnsi="SimSun" w:cs="SimSun"/>
          <w:spacing w:val="-3"/>
          <w:sz w:val="20"/>
          <w:szCs w:val="20"/>
        </w:rPr>
        <w:t>GB</w:t>
      </w:r>
      <w:r>
        <w:rPr>
          <w:rFonts w:ascii="SimSun" w:eastAsia="SimSun" w:hAnsi="SimSun" w:cs="SimSun"/>
          <w:spacing w:val="-4"/>
          <w:sz w:val="20"/>
          <w:szCs w:val="20"/>
        </w:rPr>
        <w:t>/T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16453.5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和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JTGTD31</w:t>
      </w:r>
      <w:r>
        <w:rPr>
          <w:rFonts w:ascii="SimSun" w:eastAsia="SimSun" w:hAnsi="SimSun" w:cs="SimSun"/>
          <w:spacing w:val="2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sz w:val="20"/>
          <w:szCs w:val="20"/>
        </w:rPr>
        <w:t>执行。</w:t>
      </w:r>
    </w:p>
    <w:p>
      <w:pPr>
        <w:spacing w:before="55" w:line="241" w:lineRule="auto"/>
        <w:ind w:right="78"/>
        <w:rPr>
          <w:rFonts w:ascii="SimSun" w:eastAsia="SimSun" w:hAnsi="SimSun" w:cs="SimSun"/>
          <w:sz w:val="20"/>
          <w:szCs w:val="20"/>
        </w:rPr>
      </w:pPr>
      <w:hyperlink r:id="rId21" w:history="1">
        <w:r>
          <w:rPr>
            <w:rFonts w:ascii="Times New Roman" w:eastAsia="Times New Roman" w:hAnsi="Times New Roman" w:cs="Times New Roman"/>
            <w:b/>
            <w:bCs/>
            <w:spacing w:val="-2"/>
            <w:sz w:val="20"/>
            <w:szCs w:val="20"/>
          </w:rPr>
          <w:t>6.2.4.2</w:t>
        </w:r>
      </w:hyperlink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2"/>
          <w:sz w:val="20"/>
          <w:szCs w:val="20"/>
        </w:rPr>
        <w:t>如苗木补植前没有布设草方格沙障，可以在苗木补植后，地面喷洒固沙剂、铺设砾石，或在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苗木根基扎设柴草、树枝(见附录B,B.3),</w:t>
      </w:r>
      <w:r>
        <w:rPr>
          <w:rFonts w:ascii="SimSun" w:eastAsia="SimSun" w:hAnsi="SimSun" w:cs="SimSun"/>
          <w:spacing w:val="4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"/>
          <w:sz w:val="20"/>
          <w:szCs w:val="20"/>
        </w:rPr>
        <w:t>保护苗木。固沙剂使用方法按</w:t>
      </w:r>
      <w:r>
        <w:rPr>
          <w:rFonts w:ascii="SimSun" w:eastAsia="SimSun" w:hAnsi="SimSun" w:cs="SimSun"/>
          <w:spacing w:val="-5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1"/>
          <w:sz w:val="20"/>
          <w:szCs w:val="20"/>
        </w:rPr>
        <w:t>/T</w:t>
      </w:r>
      <w:r>
        <w:rPr>
          <w:rFonts w:ascii="SimSun" w:eastAsia="SimSun" w:hAnsi="SimSun" w:cs="SimSun"/>
          <w:spacing w:val="4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21141和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JTGTD</w:t>
      </w:r>
      <w:r>
        <w:rPr>
          <w:rFonts w:ascii="SimSun" w:eastAsia="SimSun" w:hAnsi="SimSun" w:cs="SimSun"/>
          <w:spacing w:val="1"/>
          <w:sz w:val="20"/>
          <w:szCs w:val="20"/>
        </w:rPr>
        <w:t>31</w:t>
      </w:r>
    </w:p>
    <w:p>
      <w:pPr>
        <w:spacing w:before="59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sz w:val="20"/>
          <w:szCs w:val="20"/>
        </w:rPr>
        <w:t>执行。</w:t>
      </w:r>
    </w:p>
    <w:p>
      <w:pPr>
        <w:spacing w:before="238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6.2.5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苗木养护</w:t>
      </w:r>
    </w:p>
    <w:p>
      <w:pPr>
        <w:spacing w:before="208" w:line="242" w:lineRule="auto"/>
        <w:ind w:right="69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每隔10d～15d浇水一次，苗木萌发成活后，浇水时可少量施氮肥(尿素),每株3g～5g,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灌溉系统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操作按SL236</w:t>
      </w:r>
      <w:r>
        <w:rPr>
          <w:rFonts w:ascii="SimSun" w:eastAsia="SimSun" w:hAnsi="SimSun" w:cs="SimSun"/>
          <w:spacing w:val="-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执行。</w:t>
      </w:r>
    </w:p>
    <w:p>
      <w:pPr>
        <w:spacing w:before="198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  <w:sectPr>
          <w:footerReference w:type="default" r:id="rId22"/>
          <w:pgSz w:w="12260" w:h="17090"/>
          <w:pgMar w:top="1452" w:right="1550" w:bottom="1715" w:left="1809" w:header="0" w:footer="1566" w:gutter="0"/>
          <w:pgNumType w:start="14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6.3</w:t>
      </w:r>
      <w:r>
        <w:rPr>
          <w:rFonts w:ascii="SimHei" w:eastAsia="SimHei" w:hAnsi="SimHei" w:cs="SimHei"/>
          <w:spacing w:val="9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抚育更新</w:t>
      </w:r>
    </w:p>
    <w:p>
      <w:pPr>
        <w:spacing w:before="183" w:line="223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3"/>
          <w:sz w:val="20"/>
          <w:szCs w:val="20"/>
        </w:rPr>
        <w:t>6.3.1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0"/>
          <w:szCs w:val="20"/>
        </w:rPr>
        <w:t>间伐</w:t>
      </w:r>
    </w:p>
    <w:p>
      <w:pPr>
        <w:spacing w:before="231" w:line="219" w:lineRule="auto"/>
        <w:rPr>
          <w:rFonts w:ascii="SimSun" w:eastAsia="SimSun" w:hAnsi="SimSun" w:cs="SimSun"/>
          <w:sz w:val="20"/>
          <w:szCs w:val="20"/>
        </w:rPr>
      </w:pPr>
      <w:hyperlink r:id="rId23" w:history="1">
        <w:r>
          <w:rPr>
            <w:rFonts w:ascii="Times New Roman" w:eastAsia="Times New Roman" w:hAnsi="Times New Roman" w:cs="Times New Roman"/>
            <w:b/>
            <w:bCs/>
            <w:spacing w:val="-3"/>
            <w:sz w:val="20"/>
            <w:szCs w:val="20"/>
          </w:rPr>
          <w:t>6.3.1.1</w:t>
        </w:r>
      </w:hyperlink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3"/>
          <w:sz w:val="20"/>
          <w:szCs w:val="20"/>
        </w:rPr>
        <w:t>间伐原则是去劣存强，间伐方式包括隔株间伐和</w:t>
      </w:r>
      <w:r>
        <w:rPr>
          <w:rFonts w:ascii="SimSun" w:eastAsia="SimSun" w:hAnsi="SimSun" w:cs="SimSun"/>
          <w:spacing w:val="-4"/>
          <w:sz w:val="20"/>
          <w:szCs w:val="20"/>
        </w:rPr>
        <w:t>隔行间伐。</w:t>
      </w:r>
    </w:p>
    <w:p>
      <w:pPr>
        <w:spacing w:before="72" w:line="219" w:lineRule="auto"/>
        <w:rPr>
          <w:rFonts w:ascii="SimSun" w:eastAsia="SimSun" w:hAnsi="SimSun" w:cs="SimSun"/>
          <w:sz w:val="20"/>
          <w:szCs w:val="20"/>
        </w:rPr>
      </w:pPr>
      <w:hyperlink r:id="rId24" w:history="1">
        <w:r>
          <w:rPr>
            <w:rFonts w:ascii="Times New Roman" w:eastAsia="Times New Roman" w:hAnsi="Times New Roman" w:cs="Times New Roman"/>
            <w:b/>
            <w:bCs/>
            <w:spacing w:val="-5"/>
            <w:sz w:val="20"/>
            <w:szCs w:val="20"/>
          </w:rPr>
          <w:t>6.3.1.2</w:t>
        </w:r>
      </w:hyperlink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5"/>
          <w:sz w:val="20"/>
          <w:szCs w:val="20"/>
        </w:rPr>
        <w:t>间伐适宜时间是春季，将植株地上部分和地下主根砍断、挖除，技术要求按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/T</w:t>
      </w:r>
      <w:r>
        <w:rPr>
          <w:rFonts w:ascii="Times New Roman" w:eastAsia="Times New Roman" w:hAnsi="Times New Roman" w:cs="Times New Roman"/>
          <w:spacing w:val="49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15781</w:t>
      </w:r>
      <w:r>
        <w:rPr>
          <w:rFonts w:ascii="SimSun" w:eastAsia="SimSun" w:hAnsi="SimSun" w:cs="SimSun"/>
          <w:spacing w:val="-6"/>
          <w:sz w:val="20"/>
          <w:szCs w:val="20"/>
        </w:rPr>
        <w:t>执行。</w:t>
      </w:r>
    </w:p>
    <w:p>
      <w:pPr>
        <w:sectPr>
          <w:footerReference w:type="default" r:id="rId25"/>
          <w:type w:val="nextPage"/>
          <w:pgSz w:w="12260" w:h="17090"/>
          <w:pgMar w:top="1452" w:right="1550" w:bottom="1715" w:left="1809" w:header="0" w:footer="1566" w:gutter="0"/>
          <w:pgNumType w:start="15"/>
          <w:cols w:space="708"/>
          <w:titlePg w:val="0"/>
        </w:sectPr>
      </w:pPr>
    </w:p>
    <w:p>
      <w:pPr>
        <w:spacing w:line="405" w:lineRule="auto"/>
        <w:rPr>
          <w:rFonts w:ascii="Arial"/>
          <w:sz w:val="21"/>
        </w:rPr>
      </w:pPr>
    </w:p>
    <w:p>
      <w:pPr>
        <w:spacing w:before="49" w:line="192" w:lineRule="auto"/>
        <w:ind w:right="2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4"/>
          <w:sz w:val="17"/>
          <w:szCs w:val="17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3590—2014</w:t>
      </w:r>
    </w:p>
    <w:p>
      <w:pPr>
        <w:spacing w:before="281" w:line="224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6.3.2</w:t>
      </w:r>
      <w:r>
        <w:rPr>
          <w:rFonts w:ascii="SimHei" w:eastAsia="SimHei" w:hAnsi="SimHei" w:cs="SimHei"/>
          <w:spacing w:val="9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平茬</w:t>
      </w:r>
    </w:p>
    <w:p>
      <w:pPr>
        <w:spacing w:before="189" w:line="219" w:lineRule="auto"/>
        <w:rPr>
          <w:rFonts w:ascii="SimSun" w:eastAsia="SimSun" w:hAnsi="SimSun" w:cs="SimSun"/>
          <w:sz w:val="20"/>
          <w:szCs w:val="20"/>
        </w:rPr>
      </w:pPr>
      <w:hyperlink r:id="rId26" w:history="1">
        <w:r>
          <w:rPr>
            <w:rFonts w:ascii="Times New Roman" w:eastAsia="Times New Roman" w:hAnsi="Times New Roman" w:cs="Times New Roman"/>
            <w:b/>
            <w:bCs/>
            <w:spacing w:val="-3"/>
            <w:sz w:val="20"/>
            <w:szCs w:val="20"/>
          </w:rPr>
          <w:t>6.3.2.1</w:t>
        </w:r>
      </w:hyperlink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3"/>
          <w:sz w:val="20"/>
          <w:szCs w:val="20"/>
        </w:rPr>
        <w:t>平茬适宜时间是春季。</w:t>
      </w:r>
    </w:p>
    <w:p>
      <w:pPr>
        <w:spacing w:before="71" w:line="219" w:lineRule="auto"/>
        <w:rPr>
          <w:rFonts w:ascii="SimSun" w:eastAsia="SimSun" w:hAnsi="SimSun" w:cs="SimSun"/>
          <w:sz w:val="20"/>
          <w:szCs w:val="20"/>
        </w:rPr>
      </w:pPr>
      <w:hyperlink r:id="rId27" w:history="1">
        <w:r>
          <w:rPr>
            <w:rFonts w:ascii="Times New Roman" w:eastAsia="Times New Roman" w:hAnsi="Times New Roman" w:cs="Times New Roman"/>
            <w:b/>
            <w:bCs/>
            <w:spacing w:val="-2"/>
            <w:sz w:val="20"/>
            <w:szCs w:val="20"/>
          </w:rPr>
          <w:t>6.3.2.2</w:t>
        </w:r>
      </w:hyperlink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2"/>
          <w:sz w:val="20"/>
          <w:szCs w:val="20"/>
        </w:rPr>
        <w:t>将植株地上部分齐根砍伐或保留一定高度的枝干，技术</w:t>
      </w:r>
      <w:r>
        <w:rPr>
          <w:rFonts w:ascii="SimSun" w:eastAsia="SimSun" w:hAnsi="SimSun" w:cs="SimSun"/>
          <w:spacing w:val="-3"/>
          <w:sz w:val="20"/>
          <w:szCs w:val="20"/>
        </w:rPr>
        <w:t>要求按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/T</w:t>
      </w:r>
      <w:r>
        <w:rPr>
          <w:rFonts w:ascii="Times New Roman" w:eastAsia="Times New Roman" w:hAnsi="Times New Roman" w:cs="Times New Roman"/>
          <w:spacing w:val="25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15781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执行。</w:t>
      </w:r>
    </w:p>
    <w:p>
      <w:pPr>
        <w:spacing w:before="199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6.3.3</w:t>
      </w:r>
      <w:r>
        <w:rPr>
          <w:rFonts w:ascii="SimHei" w:eastAsia="SimHei" w:hAnsi="SimHei" w:cs="SimHei"/>
          <w:spacing w:val="8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更换新树种</w:t>
      </w:r>
    </w:p>
    <w:p>
      <w:pPr>
        <w:spacing w:before="204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伐掉适应性较差的树种，新植适应性更强的树种，操作技术要求见本规程6.2。</w:t>
      </w:r>
    </w:p>
    <w:p>
      <w:pPr>
        <w:spacing w:before="199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6.4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物理防沙</w:t>
      </w:r>
    </w:p>
    <w:p>
      <w:pPr>
        <w:spacing w:before="195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对于沙埋或植物死亡(或没有成活)的小范围局部地段，应进行物理防沙。</w:t>
      </w:r>
    </w:p>
    <w:p>
      <w:pPr>
        <w:spacing w:before="52" w:line="243" w:lineRule="auto"/>
        <w:ind w:right="21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6.4.1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1"/>
          <w:sz w:val="20"/>
          <w:szCs w:val="20"/>
        </w:rPr>
        <w:t>采用作物秸秆、柴草、树枝(平茬或间伐植物枝条)等生物质材料以及尼龙网等化工纺织材料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作为防沙材料。</w:t>
      </w:r>
    </w:p>
    <w:p>
      <w:pPr>
        <w:spacing w:before="54" w:line="241" w:lineRule="auto"/>
        <w:ind w:right="16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6.4.2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3"/>
          <w:sz w:val="20"/>
          <w:szCs w:val="20"/>
        </w:rPr>
        <w:t>在流沙快速入侵和严重压埋地段，补植苗木的同时，需要在补植苗木上风向</w:t>
      </w:r>
      <w:r>
        <w:rPr>
          <w:rFonts w:ascii="SimSun" w:eastAsia="SimSun" w:hAnsi="SimSun" w:cs="SimSun"/>
          <w:spacing w:val="-4"/>
          <w:sz w:val="20"/>
          <w:szCs w:val="20"/>
        </w:rPr>
        <w:t>林带边缘处平行于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林带增设高立式沙障(见附录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B,B.4),</w:t>
      </w:r>
      <w:r>
        <w:rPr>
          <w:rFonts w:ascii="SimSun" w:eastAsia="SimSun" w:hAnsi="SimSun" w:cs="SimSun"/>
          <w:spacing w:val="3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"/>
          <w:sz w:val="20"/>
          <w:szCs w:val="20"/>
        </w:rPr>
        <w:t>沙障施工具体技术要求按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1"/>
          <w:sz w:val="20"/>
          <w:szCs w:val="20"/>
        </w:rPr>
        <w:t>/T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16453.5和</w:t>
      </w:r>
      <w:r>
        <w:rPr>
          <w:rFonts w:ascii="SimSun" w:eastAsia="SimSun" w:hAnsi="SimSun" w:cs="SimSun"/>
          <w:sz w:val="20"/>
          <w:szCs w:val="20"/>
        </w:rPr>
        <w:t>JTGT</w:t>
      </w:r>
      <w:r>
        <w:rPr>
          <w:rFonts w:ascii="SimSun" w:eastAsia="SimSun" w:hAnsi="SimSun" w:cs="SimSun"/>
          <w:spacing w:val="21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D</w:t>
      </w:r>
      <w:r>
        <w:rPr>
          <w:rFonts w:ascii="SimSun" w:eastAsia="SimSun" w:hAnsi="SimSun" w:cs="SimSun"/>
          <w:spacing w:val="1"/>
          <w:sz w:val="20"/>
          <w:szCs w:val="20"/>
        </w:rPr>
        <w:t>31执行。</w:t>
      </w:r>
    </w:p>
    <w:p>
      <w:pPr>
        <w:spacing w:before="57" w:line="241" w:lineRule="auto"/>
        <w:ind w:right="2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6.4.3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3"/>
          <w:sz w:val="20"/>
          <w:szCs w:val="20"/>
        </w:rPr>
        <w:t>在林地严重风蚀地段，设置平铺式沙障或方格沙障，主风向明显地</w:t>
      </w:r>
      <w:r>
        <w:rPr>
          <w:rFonts w:ascii="SimSun" w:eastAsia="SimSun" w:hAnsi="SimSun" w:cs="SimSun"/>
          <w:spacing w:val="-4"/>
          <w:sz w:val="20"/>
          <w:szCs w:val="20"/>
        </w:rPr>
        <w:t>区可以采用行列式半隐蔽式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沙障(见附录B,B.5),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2"/>
          <w:sz w:val="20"/>
          <w:szCs w:val="20"/>
        </w:rPr>
        <w:t>具体技术要求按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/T16453.5</w:t>
      </w:r>
      <w:r>
        <w:rPr>
          <w:rFonts w:ascii="SimSun" w:eastAsia="SimSun" w:hAnsi="SimSun" w:cs="SimSun"/>
          <w:spacing w:val="-2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和</w:t>
      </w:r>
      <w:r>
        <w:rPr>
          <w:rFonts w:ascii="SimSun" w:eastAsia="SimSun" w:hAnsi="SimSun" w:cs="SimSun"/>
          <w:spacing w:val="-5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JTGTD</w:t>
      </w:r>
      <w:r>
        <w:rPr>
          <w:rFonts w:ascii="SimSun" w:eastAsia="SimSun" w:hAnsi="SimSun" w:cs="SimSun"/>
          <w:spacing w:val="2"/>
          <w:sz w:val="20"/>
          <w:szCs w:val="20"/>
        </w:rPr>
        <w:t>31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执行。</w:t>
      </w:r>
    </w:p>
    <w:p>
      <w:pPr>
        <w:spacing w:before="225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6.5</w:t>
      </w:r>
      <w:r>
        <w:rPr>
          <w:rFonts w:ascii="SimHei" w:eastAsia="SimHei" w:hAnsi="SimHei" w:cs="SimHei"/>
          <w:spacing w:val="9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盐碱危害防治</w:t>
      </w:r>
    </w:p>
    <w:p>
      <w:pPr>
        <w:spacing w:before="20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6.5.1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4"/>
          <w:sz w:val="20"/>
          <w:szCs w:val="20"/>
        </w:rPr>
        <w:t>主要采取合理灌水的模式调控水盐分布，以防治土壤盐碱危害发生。</w:t>
      </w:r>
    </w:p>
    <w:p>
      <w:pPr>
        <w:spacing w:before="52" w:line="244" w:lineRule="auto"/>
        <w:ind w:right="1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6.5.2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3"/>
          <w:sz w:val="20"/>
          <w:szCs w:val="20"/>
        </w:rPr>
        <w:t>灌区遭遇较大降雨后，应及时对耐盐性较差植物采取雨后或雨期同步灌溉</w:t>
      </w:r>
      <w:r>
        <w:rPr>
          <w:rFonts w:ascii="SimSun" w:eastAsia="SimSun" w:hAnsi="SimSun" w:cs="SimSun"/>
          <w:spacing w:val="-4"/>
          <w:sz w:val="20"/>
          <w:szCs w:val="20"/>
        </w:rPr>
        <w:t>的措施，补灌时间不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小于4h/次(滴头流量3L/H～4L/H)。</w:t>
      </w:r>
    </w:p>
    <w:p>
      <w:pPr>
        <w:spacing w:before="208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6.6</w:t>
      </w:r>
      <w:r>
        <w:rPr>
          <w:rFonts w:ascii="SimHei" w:eastAsia="SimHei" w:hAnsi="SimHei" w:cs="SimHei"/>
          <w:spacing w:val="8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病虫害防治</w:t>
      </w:r>
    </w:p>
    <w:p>
      <w:pPr>
        <w:spacing w:before="206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6.6.1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3"/>
          <w:sz w:val="20"/>
          <w:szCs w:val="20"/>
        </w:rPr>
        <w:t>识别病虫害的种类，掌握其生发时间和规律，及其与</w:t>
      </w:r>
      <w:r>
        <w:rPr>
          <w:rFonts w:ascii="SimSun" w:eastAsia="SimSun" w:hAnsi="SimSun" w:cs="SimSun"/>
          <w:spacing w:val="-4"/>
          <w:sz w:val="20"/>
          <w:szCs w:val="20"/>
        </w:rPr>
        <w:t>林地环境条件的关系。</w:t>
      </w:r>
    </w:p>
    <w:p>
      <w:pPr>
        <w:spacing w:before="5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6.6.2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3"/>
          <w:sz w:val="20"/>
          <w:szCs w:val="20"/>
        </w:rPr>
        <w:t>遵循早发现、早治理的原则，尽可能少用化学防</w:t>
      </w:r>
      <w:r>
        <w:rPr>
          <w:rFonts w:ascii="SimSun" w:eastAsia="SimSun" w:hAnsi="SimSun" w:cs="SimSun"/>
          <w:spacing w:val="-4"/>
          <w:sz w:val="20"/>
          <w:szCs w:val="20"/>
        </w:rPr>
        <w:t>治方法，避免危及当地生物链。</w:t>
      </w:r>
    </w:p>
    <w:p>
      <w:pPr>
        <w:spacing w:before="5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6.6.3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2"/>
          <w:sz w:val="20"/>
          <w:szCs w:val="20"/>
        </w:rPr>
        <w:t>1～2级危害，可以不用治理，也可通过改善生态</w:t>
      </w:r>
      <w:r>
        <w:rPr>
          <w:rFonts w:ascii="SimSun" w:eastAsia="SimSun" w:hAnsi="SimSun" w:cs="SimSun"/>
          <w:spacing w:val="1"/>
          <w:sz w:val="20"/>
          <w:szCs w:val="20"/>
        </w:rPr>
        <w:t>条件(如调整灌水定额和周期)来治理。</w:t>
      </w:r>
    </w:p>
    <w:p>
      <w:pPr>
        <w:spacing w:before="52" w:line="243" w:lineRule="auto"/>
        <w:ind w:left="139" w:right="18" w:hanging="13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6.6.4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5"/>
          <w:sz w:val="20"/>
          <w:szCs w:val="20"/>
        </w:rPr>
        <w:t>≥3级危害尤其是连年发生的病虫害，需要</w:t>
      </w:r>
      <w:r>
        <w:rPr>
          <w:rFonts w:ascii="SimSun" w:eastAsia="SimSun" w:hAnsi="SimSun" w:cs="SimSun"/>
          <w:spacing w:val="-6"/>
          <w:sz w:val="20"/>
          <w:szCs w:val="20"/>
        </w:rPr>
        <w:t>参照相关植物病虫害防治办法，清理发病区枯枝落叶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(藏匿虫卵)并烧毁。</w:t>
      </w:r>
    </w:p>
    <w:p>
      <w:pPr>
        <w:spacing w:before="53" w:line="244" w:lineRule="auto"/>
        <w:ind w:right="13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6.6.5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3"/>
          <w:sz w:val="20"/>
          <w:szCs w:val="20"/>
        </w:rPr>
        <w:t>比较重的植物病虫害可采用化学防治，具体方法按</w:t>
      </w:r>
      <w:r>
        <w:rPr>
          <w:rFonts w:ascii="SimSun" w:eastAsia="SimSun" w:hAnsi="SimSun" w:cs="SimSun"/>
          <w:spacing w:val="-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4285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和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GB/T</w:t>
      </w:r>
      <w:r>
        <w:rPr>
          <w:rFonts w:ascii="Times New Roman" w:eastAsia="Times New Roman" w:hAnsi="Times New Roman" w:cs="Times New Roman"/>
          <w:spacing w:val="38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8321</w:t>
      </w:r>
      <w:r>
        <w:rPr>
          <w:rFonts w:ascii="SimSun" w:eastAsia="SimSun" w:hAnsi="SimSun" w:cs="SimSun"/>
          <w:spacing w:val="-3"/>
          <w:sz w:val="20"/>
          <w:szCs w:val="20"/>
        </w:rPr>
        <w:t>执行，按照要</w:t>
      </w:r>
      <w:r>
        <w:rPr>
          <w:rFonts w:ascii="SimSun" w:eastAsia="SimSun" w:hAnsi="SimSun" w:cs="SimSun"/>
          <w:spacing w:val="-4"/>
          <w:sz w:val="20"/>
          <w:szCs w:val="20"/>
        </w:rPr>
        <w:t>求正确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喷施药物，避免人员伤害。</w:t>
      </w:r>
    </w:p>
    <w:p>
      <w:pPr>
        <w:spacing w:before="218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6.7</w:t>
      </w:r>
      <w:r>
        <w:rPr>
          <w:rFonts w:ascii="SimHei" w:eastAsia="SimHei" w:hAnsi="SimHei" w:cs="SimHei"/>
          <w:spacing w:val="92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动物啃食危害防治</w:t>
      </w:r>
    </w:p>
    <w:p>
      <w:pPr>
        <w:spacing w:before="20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6.7.1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3"/>
          <w:sz w:val="20"/>
          <w:szCs w:val="20"/>
        </w:rPr>
        <w:t>对于较小型动物(兔、鼠)尽量采用机械捕杀措施。</w:t>
      </w:r>
    </w:p>
    <w:p>
      <w:pPr>
        <w:spacing w:before="5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6.7.2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4"/>
          <w:sz w:val="20"/>
          <w:szCs w:val="20"/>
        </w:rPr>
        <w:t>药物防治要采用污染轻且对天敌不产生二次危害的药物。</w:t>
      </w:r>
    </w:p>
    <w:p>
      <w:pPr>
        <w:spacing w:before="5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6.7.3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1"/>
          <w:sz w:val="20"/>
          <w:szCs w:val="20"/>
        </w:rPr>
        <w:t>对于兔鼠啮咬危害多发区，应将毛管予以</w:t>
      </w:r>
      <w:r>
        <w:rPr>
          <w:rFonts w:ascii="SimSun" w:eastAsia="SimSun" w:hAnsi="SimSun" w:cs="SimSun"/>
          <w:sz w:val="20"/>
          <w:szCs w:val="20"/>
        </w:rPr>
        <w:t>一定深度的沙埋，或适当加大(选择)毛管壁厚度。</w:t>
      </w:r>
    </w:p>
    <w:p>
      <w:pPr>
        <w:spacing w:before="51" w:line="241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6.7.4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1"/>
          <w:sz w:val="20"/>
          <w:szCs w:val="20"/>
        </w:rPr>
        <w:t>对于危害严重区域，应补植新苗，苗木根基应扎设柴草、树枝、铁丝网或特制的防护罩</w:t>
      </w:r>
      <w:r>
        <w:rPr>
          <w:rFonts w:ascii="SimSun" w:eastAsia="SimSun" w:hAnsi="SimSun" w:cs="SimSun"/>
          <w:spacing w:val="-2"/>
          <w:sz w:val="20"/>
          <w:szCs w:val="20"/>
        </w:rPr>
        <w:t>(见附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录B,B.6),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2"/>
          <w:sz w:val="20"/>
          <w:szCs w:val="20"/>
        </w:rPr>
        <w:t>防止动物啃咬。</w:t>
      </w:r>
    </w:p>
    <w:p>
      <w:pPr>
        <w:spacing w:before="225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6.8</w:t>
      </w:r>
      <w:r>
        <w:rPr>
          <w:rFonts w:ascii="SimHei" w:eastAsia="SimHei" w:hAnsi="SimHei" w:cs="SimHei"/>
          <w:spacing w:val="10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火灾防治及灾后抚育</w:t>
      </w:r>
      <w:r>
        <w:rPr>
          <w:rFonts w:ascii="SimHei" w:eastAsia="SimHei" w:hAnsi="SimHei" w:cs="SimHei"/>
          <w:sz w:val="20"/>
          <w:szCs w:val="20"/>
        </w:rPr>
        <w:br/>
      </w:r>
      <w:r>
        <w:rPr>
          <w:rFonts w:ascii="SimHei" w:eastAsia="SimHei" w:hAnsi="SimHei" w:cs="Sim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https://d.book118.com/875023023020011101</w:t>
        </w:r>
      </w:hyperlink>
    </w:p>
    <w:p>
      <w:pPr>
        <w:spacing w:before="225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</w:p>
    <w:sectPr>
      <w:footerReference w:type="default" r:id="rId29"/>
      <w:pgSz w:w="11910" w:h="16840"/>
      <w:pgMar w:top="1431" w:right="1411" w:bottom="1708" w:left="1730" w:header="0" w:footer="1540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406"/>
      <w:jc w:val="right"/>
      <w:rPr>
        <w:rFonts w:ascii="Times New Roman" w:eastAsia="Times New Roman" w:hAnsi="Times New Roman" w:cs="Times New Roman"/>
        <w:sz w:val="25"/>
        <w:szCs w:val="25"/>
      </w:rPr>
    </w:pPr>
    <w:r>
      <w:rPr>
        <w:rFonts w:ascii="Times New Roman" w:eastAsia="Times New Roman" w:hAnsi="Times New Roman" w:cs="Times New Roman"/>
        <w:sz w:val="25"/>
        <w:szCs w:val="25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2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2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4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4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164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164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193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6.2.2.1" TargetMode="External" /><Relationship Id="rId17" Type="http://schemas.openxmlformats.org/officeDocument/2006/relationships/hyperlink" Target="https://6.2.2.2" TargetMode="External" /><Relationship Id="rId18" Type="http://schemas.openxmlformats.org/officeDocument/2006/relationships/hyperlink" Target="https://6.2.3.1" TargetMode="External" /><Relationship Id="rId19" Type="http://schemas.openxmlformats.org/officeDocument/2006/relationships/hyperlink" Target="https://6.2.3.2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6.2.4.1" TargetMode="External" /><Relationship Id="rId21" Type="http://schemas.openxmlformats.org/officeDocument/2006/relationships/hyperlink" Target="https://6.2.4.2" TargetMode="External" /><Relationship Id="rId22" Type="http://schemas.openxmlformats.org/officeDocument/2006/relationships/footer" Target="footer12.xml" /><Relationship Id="rId23" Type="http://schemas.openxmlformats.org/officeDocument/2006/relationships/hyperlink" Target="https://6.3.1.1" TargetMode="External" /><Relationship Id="rId24" Type="http://schemas.openxmlformats.org/officeDocument/2006/relationships/hyperlink" Target="https://6.3.1.2" TargetMode="External" /><Relationship Id="rId25" Type="http://schemas.openxmlformats.org/officeDocument/2006/relationships/footer" Target="footer13.xml" /><Relationship Id="rId26" Type="http://schemas.openxmlformats.org/officeDocument/2006/relationships/hyperlink" Target="https://6.3.2.1" TargetMode="External" /><Relationship Id="rId27" Type="http://schemas.openxmlformats.org/officeDocument/2006/relationships/hyperlink" Target="https://6.3.2.2" TargetMode="External" /><Relationship Id="rId28" Type="http://schemas.openxmlformats.org/officeDocument/2006/relationships/hyperlink" Target="https://d.book118.com/875023023020011101" TargetMode="External" /><Relationship Id="rId29" Type="http://schemas.openxmlformats.org/officeDocument/2006/relationships/footer" Target="footer14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2023-05-18T13:20:32Z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2023-05-18T13:20:35Z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6465b594fa57af001fea13c2</vt:lpwstr>
  </property>
</Properties>
</file>