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autoSpaceDE w:val="0"/>
        <w:autoSpaceDN w:val="0"/>
        <w:adjustRightInd w:val="0"/>
        <w:spacing w:line="400" w:lineRule="exact"/>
        <w:rPr>
          <w:b/>
          <w:bCs/>
          <w:color w:val="000000"/>
          <w:sz w:val="36"/>
          <w:szCs w:val="36"/>
        </w:rPr>
        <w:sectPr>
          <w:headerReference w:type="default" r:id="rId5"/>
          <w:footerReference w:type="default" r:id="rId6"/>
          <w:pgSz w:w="11906" w:h="16838"/>
          <w:pgMar w:top="1247" w:right="1247" w:bottom="1361" w:left="1361" w:header="851" w:footer="992" w:gutter="0"/>
          <w:pgNumType w:fmt="upperRoman" w:start="1"/>
          <w:cols w:num="1" w:space="720"/>
          <w:docGrid w:linePitch="312" w:charSpace="0"/>
        </w:sectPr>
      </w:pPr>
    </w:p>
    <w:p>
      <w:pPr>
        <w:rPr>
          <w:b/>
          <w:bCs/>
          <w:sz w:val="36"/>
          <w:szCs w:val="36"/>
        </w:rPr>
      </w:pPr>
    </w:p>
    <w:p>
      <w:pPr>
        <w:autoSpaceDE w:val="0"/>
        <w:autoSpaceDN w:val="0"/>
        <w:adjustRightInd w:val="0"/>
        <w:spacing w:line="400" w:lineRule="exact"/>
        <w:jc w:val="center"/>
        <w:rPr>
          <w:b/>
          <w:bCs/>
          <w:sz w:val="36"/>
          <w:szCs w:val="36"/>
        </w:rPr>
      </w:pPr>
    </w:p>
    <w:p>
      <w:pPr>
        <w:autoSpaceDE w:val="0"/>
        <w:autoSpaceDN w:val="0"/>
        <w:adjustRightInd w:val="0"/>
        <w:spacing w:line="400" w:lineRule="exact"/>
        <w:jc w:val="center"/>
        <w:rPr>
          <w:b/>
          <w:bCs/>
          <w:sz w:val="36"/>
          <w:szCs w:val="36"/>
        </w:rPr>
      </w:pPr>
    </w:p>
    <w:p>
      <w:pPr>
        <w:autoSpaceDE w:val="0"/>
        <w:autoSpaceDN w:val="0"/>
        <w:adjustRightInd w:val="0"/>
        <w:spacing w:line="400" w:lineRule="exact"/>
        <w:jc w:val="center"/>
        <w:rPr>
          <w:b/>
          <w:bCs/>
          <w:sz w:val="36"/>
          <w:szCs w:val="36"/>
        </w:rPr>
      </w:pPr>
    </w:p>
    <w:p>
      <w:pPr>
        <w:autoSpaceDE w:val="0"/>
        <w:autoSpaceDN w:val="0"/>
        <w:adjustRightInd w:val="0"/>
        <w:spacing w:line="400" w:lineRule="exact"/>
        <w:jc w:val="center"/>
        <w:rPr>
          <w:b/>
          <w:bCs/>
          <w:sz w:val="36"/>
          <w:szCs w:val="36"/>
        </w:rPr>
      </w:pPr>
    </w:p>
    <w:p>
      <w:pPr>
        <w:autoSpaceDE w:val="0"/>
        <w:autoSpaceDN w:val="0"/>
        <w:adjustRightInd w:val="0"/>
        <w:spacing w:line="400" w:lineRule="exact"/>
        <w:jc w:val="center"/>
        <w:rPr>
          <w:b/>
          <w:bCs/>
          <w:sz w:val="36"/>
          <w:szCs w:val="36"/>
        </w:rPr>
      </w:pPr>
    </w:p>
    <w:p>
      <w:pPr>
        <w:autoSpaceDE w:val="0"/>
        <w:autoSpaceDN w:val="0"/>
        <w:adjustRightInd w:val="0"/>
        <w:spacing w:line="400" w:lineRule="exact"/>
        <w:jc w:val="center"/>
        <w:rPr>
          <w:b/>
          <w:bCs/>
          <w:sz w:val="36"/>
          <w:szCs w:val="36"/>
        </w:rPr>
      </w:pPr>
    </w:p>
    <w:p>
      <w:pPr>
        <w:spacing w:line="400" w:lineRule="exact"/>
        <w:jc w:val="center"/>
        <w:rPr>
          <w:b/>
          <w:bCs/>
          <w:i/>
          <w:sz w:val="36"/>
          <w:szCs w:val="36"/>
          <w:lang w:val="es-MX"/>
        </w:rPr>
      </w:pPr>
      <w:r>
        <w:rPr>
          <w:b/>
          <w:bCs/>
          <w:sz w:val="36"/>
          <w:szCs w:val="36"/>
          <w:lang w:val="es-MX"/>
        </w:rPr>
        <w:t xml:space="preserve">Aplicación de las técnicas de traducción del chino al español en la traducción de subtítulos de </w:t>
      </w:r>
      <w:r>
        <w:rPr>
          <w:b/>
          <w:bCs/>
          <w:i/>
          <w:sz w:val="36"/>
          <w:szCs w:val="36"/>
          <w:lang w:val="es-MX"/>
        </w:rPr>
        <w:t>Tesoros Nacionales</w:t>
      </w:r>
    </w:p>
    <w:p>
      <w:pPr>
        <w:spacing w:line="400" w:lineRule="exact"/>
        <w:jc w:val="center"/>
        <w:rPr>
          <w:b/>
          <w:bCs/>
          <w:sz w:val="36"/>
          <w:szCs w:val="36"/>
          <w:lang w:val="es-MX"/>
        </w:rPr>
      </w:pPr>
    </w:p>
    <w:p>
      <w:pPr>
        <w:spacing w:line="400" w:lineRule="exact"/>
        <w:jc w:val="center"/>
        <w:rPr>
          <w:b/>
          <w:bCs/>
          <w:sz w:val="32"/>
          <w:szCs w:val="32"/>
        </w:rPr>
      </w:pPr>
      <w:bookmarkStart w:id="0" w:name="_GoBack"/>
      <w:r>
        <w:rPr>
          <w:rFonts w:cs="黑体" w:hint="eastAsia"/>
          <w:b/>
          <w:bCs/>
          <w:sz w:val="32"/>
          <w:szCs w:val="32"/>
        </w:rPr>
        <w:t>汉西翻译技巧在字幕翻译中的运用—以《国家宝藏》为例</w:t>
      </w:r>
    </w:p>
    <w:bookmarkEnd w:id="0"/>
    <w:p>
      <w:pPr>
        <w:spacing w:line="400" w:lineRule="exact"/>
        <w:jc w:val="center"/>
        <w:rPr>
          <w:b/>
          <w:bCs/>
          <w:sz w:val="32"/>
          <w:szCs w:val="32"/>
        </w:rPr>
      </w:pPr>
    </w:p>
    <w:p/>
    <w:p>
      <w:pPr>
        <w:spacing w:line="600" w:lineRule="exact"/>
        <w:ind w:firstLine="2900" w:firstLineChars="1074"/>
        <w:rPr>
          <w:b/>
          <w:bCs/>
          <w:sz w:val="27"/>
        </w:rPr>
      </w:pPr>
      <w:r>
        <w:rPr>
          <w:rFonts w:hint="eastAsia"/>
          <w:b/>
          <w:bCs/>
          <w:sz w:val="27"/>
        </w:rPr>
        <w:t xml:space="preserve"> </w:t>
      </w:r>
    </w:p>
    <w:p>
      <w:pPr>
        <w:spacing w:line="600" w:lineRule="exact"/>
        <w:ind w:firstLine="2900" w:firstLineChars="1074"/>
        <w:rPr>
          <w:b/>
          <w:bCs/>
          <w:sz w:val="27"/>
        </w:rPr>
      </w:pPr>
    </w:p>
    <w:p>
      <w:pPr>
        <w:spacing w:line="600" w:lineRule="exact"/>
        <w:ind w:firstLine="2900" w:firstLineChars="1074"/>
        <w:rPr>
          <w:b/>
          <w:bCs/>
          <w:sz w:val="27"/>
        </w:rPr>
      </w:pPr>
    </w:p>
    <w:p>
      <w:pPr>
        <w:jc w:val="center"/>
        <w:rPr>
          <w:b/>
          <w:sz w:val="28"/>
          <w:szCs w:val="32"/>
          <w:lang w:val="es-MX"/>
        </w:rPr>
        <w:sectPr>
          <w:headerReference w:type="default" r:id="rId7"/>
          <w:footerReference w:type="default" r:id="rId8"/>
          <w:type w:val="continuous"/>
          <w:pgSz w:w="11906" w:h="16838"/>
          <w:pgMar w:top="1247" w:right="1247" w:bottom="1361" w:left="1361" w:header="851" w:footer="992" w:gutter="0"/>
          <w:pgNumType w:fmt="upperRoman" w:start="2"/>
          <w:cols w:num="1" w:space="720"/>
          <w:docGrid w:linePitch="312" w:charSpace="0"/>
        </w:sectPr>
      </w:pPr>
    </w:p>
    <w:p>
      <w:pPr>
        <w:spacing w:line="400" w:lineRule="exact"/>
        <w:jc w:val="center"/>
        <w:rPr>
          <w:b/>
          <w:bCs/>
          <w:sz w:val="36"/>
          <w:lang w:val="es-MX"/>
        </w:rPr>
      </w:pPr>
    </w:p>
    <w:p>
      <w:pPr>
        <w:spacing w:line="400" w:lineRule="exact"/>
        <w:jc w:val="center"/>
        <w:rPr>
          <w:b/>
          <w:bCs/>
          <w:sz w:val="36"/>
          <w:lang w:val="es-MX"/>
        </w:rPr>
      </w:pPr>
      <w:r>
        <w:rPr>
          <w:rFonts w:hint="eastAsia"/>
          <w:b/>
          <w:bCs/>
          <w:sz w:val="36"/>
          <w:lang w:val="es-MX"/>
        </w:rPr>
        <w:t>Resumen</w:t>
      </w:r>
    </w:p>
    <w:p>
      <w:pPr>
        <w:autoSpaceDE w:val="0"/>
        <w:autoSpaceDN w:val="0"/>
        <w:adjustRightInd w:val="0"/>
        <w:spacing w:line="400" w:lineRule="exact"/>
        <w:rPr>
          <w:sz w:val="24"/>
          <w:lang w:val="es-MX"/>
        </w:rPr>
      </w:pPr>
    </w:p>
    <w:p>
      <w:pPr>
        <w:autoSpaceDE w:val="0"/>
        <w:autoSpaceDN w:val="0"/>
        <w:adjustRightInd w:val="0"/>
        <w:spacing w:line="400" w:lineRule="exact"/>
        <w:ind w:firstLine="480" w:firstLineChars="200"/>
        <w:rPr>
          <w:sz w:val="24"/>
          <w:lang w:val="es-MX"/>
        </w:rPr>
      </w:pPr>
      <w:r>
        <w:rPr>
          <w:sz w:val="24"/>
          <w:lang w:val="es-MX"/>
        </w:rPr>
        <w:t xml:space="preserve">Las comunicaciones culturales entre China y todos los países del mundo se han vuelto cada vez más frecuentes, en consecuencia, la demanda de la exportación cultural en China se ha hecho cada vez más urgente. Entre ellos, el espectáculo de variedades es un portador muy importante de la comunicación cultural. Además, el mercado de las obras originales de televisión es mucho más amplio que el de las de doblaje. Las audiencias principales son las que hablan español. Y las técnicas de traducción adoptadas de los subtítulos determinarán la aceptabilidad del programa, que se relaciona si la audiencia puede entender los elementos culturales </w:t>
      </w:r>
      <w:r>
        <w:rPr>
          <w:rFonts w:hint="eastAsia"/>
          <w:sz w:val="24"/>
          <w:lang w:val="es-MX"/>
        </w:rPr>
        <w:t xml:space="preserve">tradicionales </w:t>
      </w:r>
      <w:r>
        <w:rPr>
          <w:sz w:val="24"/>
          <w:lang w:val="es-MX"/>
        </w:rPr>
        <w:t>chinos.</w:t>
      </w:r>
    </w:p>
    <w:p>
      <w:pPr>
        <w:autoSpaceDE w:val="0"/>
        <w:autoSpaceDN w:val="0"/>
        <w:adjustRightInd w:val="0"/>
        <w:spacing w:line="400" w:lineRule="exact"/>
        <w:ind w:firstLine="480" w:firstLineChars="200"/>
        <w:rPr>
          <w:sz w:val="24"/>
          <w:lang w:val="es-MX"/>
        </w:rPr>
      </w:pPr>
      <w:r>
        <w:rPr>
          <w:i/>
          <w:sz w:val="24"/>
          <w:lang w:val="es-MX"/>
        </w:rPr>
        <w:t>Tesoros Nacionales</w:t>
      </w:r>
      <w:r>
        <w:rPr>
          <w:sz w:val="24"/>
          <w:lang w:val="es-MX"/>
        </w:rPr>
        <w:t xml:space="preserve"> es un programa de exploración cultural</w:t>
      </w:r>
      <w:r>
        <w:rPr>
          <w:rFonts w:hint="eastAsia"/>
          <w:sz w:val="24"/>
          <w:lang w:val="es-MX"/>
        </w:rPr>
        <w:t xml:space="preserve">. </w:t>
      </w:r>
      <w:r>
        <w:rPr>
          <w:sz w:val="24"/>
          <w:lang w:val="es-MX"/>
        </w:rPr>
        <w:t>A través de recionalizar y resumir las informaciones de las reliquias culturales, se interpreta las historias de las reliquias. Después de introducirse el fiebre en el interior, el espectáculo también tiene repercusión en el extranjero, por eso se traduce la versión de inglés. Sin embargo, todavía no nace la versión de español. En cuanto a esta falta, el objetivo de esta tesis es mejorar la traducción de este texto de subtítulos bajo la guía de las teorías de traducción, para que los telespectadores puedan apreciar la cultura material china cruzando las barreras del idioma. A la vez, el objetivo de este trabajo es resumir algunas de las lecciones aprendidas en el proceso de traducción de subtítulos y brindar asistencia para la traducción de subtítulos en el futuro desde los principios de traducción, las estrategias de traducción y los fenómenos culturales.</w:t>
      </w:r>
    </w:p>
    <w:p>
      <w:pPr>
        <w:autoSpaceDE w:val="0"/>
        <w:autoSpaceDN w:val="0"/>
        <w:adjustRightInd w:val="0"/>
        <w:spacing w:line="400" w:lineRule="exact"/>
        <w:ind w:firstLine="480" w:firstLineChars="200"/>
        <w:rPr>
          <w:sz w:val="24"/>
          <w:lang w:val="es-MX"/>
        </w:rPr>
      </w:pPr>
      <w:r>
        <w:rPr>
          <w:sz w:val="24"/>
          <w:lang w:val="es-MX"/>
        </w:rPr>
        <w:t>En esta prática de traducción se aplica fundamentalmente el método de documentación. A través de leer los trabajos de los escritores de traducción, los comentarios relacionados y otros materiales de literatura, seleciona y analizan los principios y las teorías de traducción que ayudan al cumplimento de esta práctica de traducción. Además, se utiliza el análisis lógico para analizar, comparar y resumir el contenido del texto original de los subtítulos, en propósito de encontrar la relación interna.</w:t>
      </w:r>
    </w:p>
    <w:p>
      <w:pPr>
        <w:autoSpaceDE w:val="0"/>
        <w:autoSpaceDN w:val="0"/>
        <w:adjustRightInd w:val="0"/>
        <w:spacing w:line="400" w:lineRule="exact"/>
        <w:ind w:firstLine="480" w:firstLineChars="200"/>
        <w:rPr>
          <w:sz w:val="24"/>
          <w:lang w:val="es-MX"/>
        </w:rPr>
      </w:pPr>
      <w:r>
        <w:rPr>
          <w:sz w:val="24"/>
          <w:lang w:val="es-MX"/>
        </w:rPr>
        <w:t xml:space="preserve">Este artículo se investiga principalmente los problemas y dificultades encontrados en la práctica de la traducción de subtítulos, y tratan de resolver las dificultades de traducción bajo la guía de las teorías de traducción. En primer lugar, se describe el fondo del texto original desde la definición y las características de la traducción de subtítulos, en los cuales incluyen la introducción del programa Tesoros Nacionales y sus características lingüísticas. En segundo lugar, se combinan la teoría de equivalencia funcional, la teoría skopos y las características de la traducción de subtítulos para analizar el texto original de </w:t>
      </w:r>
      <w:r>
        <w:rPr>
          <w:i/>
          <w:sz w:val="24"/>
          <w:lang w:val="es-MX"/>
        </w:rPr>
        <w:t>Tesoros Nacionales</w:t>
      </w:r>
      <w:r>
        <w:rPr>
          <w:sz w:val="24"/>
          <w:lang w:val="es-MX"/>
        </w:rPr>
        <w:t xml:space="preserve"> y</w:t>
      </w:r>
      <w:r>
        <w:rPr>
          <w:sz w:val="24"/>
          <w:lang w:val="es-MX"/>
        </w:rPr>
        <w:t xml:space="preserve"> facilitar</w:t>
      </w:r>
      <w:r>
        <w:rPr>
          <w:sz w:val="24"/>
          <w:lang w:val="es-MX"/>
        </w:rPr>
        <w:t xml:space="preserve"> el</w:t>
      </w:r>
      <w:r>
        <w:rPr>
          <w:sz w:val="24"/>
          <w:lang w:val="es-MX"/>
        </w:rPr>
        <w:t xml:space="preserve"> trabajo</w:t>
      </w:r>
      <w:r>
        <w:rPr>
          <w:sz w:val="24"/>
          <w:lang w:val="es-MX"/>
        </w:rPr>
        <w:t xml:space="preserve"> de</w:t>
      </w:r>
      <w:r>
        <w:rPr>
          <w:sz w:val="24"/>
          <w:lang w:val="es-MX"/>
        </w:rPr>
        <w:t xml:space="preserve"> traducción.</w:t>
      </w:r>
      <w:r>
        <w:rPr>
          <w:sz w:val="24"/>
          <w:lang w:val="es-MX"/>
        </w:rPr>
        <w:t xml:space="preserve"> En</w:t>
      </w:r>
      <w:r>
        <w:rPr>
          <w:sz w:val="24"/>
          <w:lang w:val="es-MX"/>
        </w:rPr>
        <w:t xml:space="preserve"> tercer</w:t>
      </w:r>
      <w:r>
        <w:rPr>
          <w:sz w:val="24"/>
          <w:lang w:val="es-MX"/>
        </w:rPr>
        <w:t xml:space="preserve"> lugar,</w:t>
      </w:r>
      <w:r>
        <w:rPr>
          <w:sz w:val="24"/>
          <w:lang w:val="es-MX"/>
        </w:rPr>
        <w:t xml:space="preserve"> se</w:t>
      </w:r>
      <w:r>
        <w:rPr>
          <w:sz w:val="24"/>
          <w:lang w:val="es-MX"/>
        </w:rPr>
        <w:t xml:space="preserve"> describe</w:t>
      </w:r>
      <w:r>
        <w:rPr>
          <w:sz w:val="24"/>
          <w:lang w:val="es-MX"/>
        </w:rPr>
        <w:t xml:space="preserve"> las</w:t>
      </w:r>
      <w:r>
        <w:rPr>
          <w:sz w:val="24"/>
          <w:lang w:val="es-MX"/>
        </w:rPr>
        <w:t xml:space="preserve"> dificultades</w:t>
      </w:r>
      <w:r>
        <w:rPr>
          <w:sz w:val="24"/>
          <w:lang w:val="es-MX"/>
        </w:rPr>
        <w:t xml:space="preserve"> de</w:t>
      </w:r>
      <w:r>
        <w:rPr>
          <w:sz w:val="24"/>
          <w:lang w:val="es-MX"/>
        </w:rPr>
        <w:t xml:space="preserve"> traducción</w:t>
      </w:r>
      <w:r>
        <w:rPr>
          <w:sz w:val="24"/>
          <w:lang w:val="es-MX"/>
        </w:rPr>
        <w:t xml:space="preserve"> encontradas</w:t>
      </w:r>
      <w:r>
        <w:rPr>
          <w:sz w:val="24"/>
          <w:lang w:val="es-MX"/>
        </w:rPr>
        <w:t xml:space="preserve"> en</w:t>
      </w:r>
      <w:r>
        <w:rPr>
          <w:sz w:val="24"/>
          <w:lang w:val="es-MX"/>
        </w:rPr>
        <w:br/>
      </w:r>
      <w:r>
        <w:rPr>
          <w:sz w:val="24"/>
          <w:lang w:val="es-MX"/>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https://d.book118.com/875210314132011104</w:t>
        </w:r>
      </w:hyperlink>
    </w:p>
    <w:p>
      <w:pPr>
        <w:autoSpaceDE w:val="0"/>
        <w:autoSpaceDN w:val="0"/>
        <w:adjustRightInd w:val="0"/>
        <w:spacing w:line="400" w:lineRule="exact"/>
        <w:ind w:firstLine="480" w:firstLineChars="200"/>
        <w:rPr>
          <w:sz w:val="24"/>
          <w:lang w:val="es-MX"/>
        </w:rPr>
      </w:pPr>
    </w:p>
    <w:sectPr>
      <w:headerReference w:type="default" r:id="rId10"/>
      <w:footerReference w:type="default" r:id="rId11"/>
      <w:pgSz w:w="11906" w:h="16838"/>
      <w:pgMar w:top="1247" w:right="1247" w:bottom="1361" w:left="1361" w:header="851" w:footer="992" w:gutter="0"/>
      <w:pgNumType w:fmt="upperRoman" w:start="3"/>
      <w:cols w:num="1" w:space="72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行楷">
    <w:altName w:val="微软雅黑"/>
    <w:panose1 w:val="02010800040101010101"/>
    <w:charset w:val="86"/>
    <w:family w:val="auto"/>
    <w:pitch w:val="default"/>
    <w:sig w:usb0="00000000" w:usb1="00000000" w:usb2="00000010" w:usb3="00000000" w:csb0="00040000" w:csb1="00000000"/>
  </w:font>
  <w:font w:name="Monotype Corsiva">
    <w:altName w:val="Mongolian Baiti"/>
    <w:panose1 w:val="03010101010201010101"/>
    <w:charset w:val="00"/>
    <w:family w:val="script"/>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Mongolian Baiti">
    <w:panose1 w:val="03000500000000000000"/>
    <w:charset w:val="00"/>
    <w:family w:val="auto"/>
    <w:pitch w:val="default"/>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0"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III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III</w:t>
                    </w:r>
                    <w:r>
                      <w:rPr>
                        <w:rFonts w:hint="eastAsia"/>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B48D2"/>
    <w:rsid w:val="000177A5"/>
    <w:rsid w:val="000A60A5"/>
    <w:rsid w:val="000B29FA"/>
    <w:rsid w:val="000D0549"/>
    <w:rsid w:val="00184B66"/>
    <w:rsid w:val="001B5C88"/>
    <w:rsid w:val="002115C2"/>
    <w:rsid w:val="002B28C9"/>
    <w:rsid w:val="002D15D3"/>
    <w:rsid w:val="003A473A"/>
    <w:rsid w:val="003B3F87"/>
    <w:rsid w:val="003D1E2E"/>
    <w:rsid w:val="00405E92"/>
    <w:rsid w:val="00422FFA"/>
    <w:rsid w:val="004242E3"/>
    <w:rsid w:val="00494F84"/>
    <w:rsid w:val="004C4A11"/>
    <w:rsid w:val="004C57A9"/>
    <w:rsid w:val="005707DB"/>
    <w:rsid w:val="0059310D"/>
    <w:rsid w:val="006219FC"/>
    <w:rsid w:val="007936EE"/>
    <w:rsid w:val="00797E13"/>
    <w:rsid w:val="00834AB4"/>
    <w:rsid w:val="008B4289"/>
    <w:rsid w:val="008D6BA2"/>
    <w:rsid w:val="00997618"/>
    <w:rsid w:val="00A60BCA"/>
    <w:rsid w:val="00A94576"/>
    <w:rsid w:val="00AD578A"/>
    <w:rsid w:val="00B97DDD"/>
    <w:rsid w:val="00BF485E"/>
    <w:rsid w:val="00C65177"/>
    <w:rsid w:val="00CA2D33"/>
    <w:rsid w:val="00D87BAC"/>
    <w:rsid w:val="00D915A9"/>
    <w:rsid w:val="00DB2AFE"/>
    <w:rsid w:val="00DB4D3F"/>
    <w:rsid w:val="00E21919"/>
    <w:rsid w:val="00E865EC"/>
    <w:rsid w:val="00EC25CE"/>
    <w:rsid w:val="00EF4851"/>
    <w:rsid w:val="00F31607"/>
    <w:rsid w:val="00FB033C"/>
    <w:rsid w:val="00FF119E"/>
    <w:rsid w:val="2E9B48D2"/>
    <w:rsid w:val="3AEC74EB"/>
    <w:rsid w:val="63507141"/>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unhideWhenUsed="0"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lsdException w:name="header" w:semiHidden="0" w:unhideWhenUsed="0" w:qFormat="1"/>
    <w:lsdException w:name="footer" w:semiHidden="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qFormat="1"/>
    <w:lsdException w:name="line number" w:uiPriority="0"/>
    <w:lsdException w:name="page number" w:semiHidden="0" w:uiPriority="0" w:unhideWhenUsed="0" w:qFormat="1"/>
    <w:lsdException w:name="endnote reference" w:uiPriority="0"/>
    <w:lsdException w:name="endnote text" w:uiPriority="0"/>
    <w:lsdException w:name="table of authorities" w:uiPriority="0"/>
    <w:lsdException w:name="macro" w:semiHidden="0" w:uiPriority="0" w:unhideWhenUsed="0"/>
    <w:lsdException w:name="toa heading" w:uiPriority="0"/>
    <w:lsdException w:name="List" w:uiPriority="0"/>
    <w:lsdException w:name="List Bullet" w:semiHidden="0" w:uiPriority="0" w:unhideWhenUsed="0"/>
    <w:lsdException w:name="List Number" w:semiHidden="0" w:uiPriority="0" w:unhideWhenUsed="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uiPriority="0"/>
    <w:lsdException w:name="Body Text Indent" w:semiHidden="0" w:uiPriority="0" w:unhideWhenUsed="0" w:qFormat="1"/>
    <w:lsdException w:name="List Continue" w:uiPriority="0"/>
    <w:lsdException w:name="List Continue 2" w:uiPriority="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semiHidden="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semiHidden="0" w:uiPriority="0" w:unhideWhenUsed="0"/>
    <w:lsdException w:name="Balloon Text" w:semiHidden="0" w:uiPriority="0" w:unhideWhenUsed="0" w:qFormat="1"/>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5">
    <w:name w:val="heading 5"/>
    <w:basedOn w:val="Normal"/>
    <w:next w:val="Normal"/>
    <w:qFormat/>
    <w:pPr>
      <w:keepNext/>
      <w:keepLines/>
      <w:spacing w:line="377" w:lineRule="auto"/>
      <w:outlineLvl w:val="4"/>
    </w:pPr>
    <w:rPr>
      <w:rFonts w:ascii="Arial" w:hAnsi="Arial"/>
      <w:b/>
      <w:bCs/>
      <w:szCs w:val="28"/>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uiPriority w:val="99"/>
    <w:semiHidden/>
    <w:unhideWhenUsed/>
    <w:qFormat/>
    <w:pPr>
      <w:jc w:val="left"/>
    </w:pPr>
  </w:style>
  <w:style w:type="paragraph" w:styleId="BodyTextIndent">
    <w:name w:val="Body Text Indent"/>
    <w:basedOn w:val="Normal"/>
    <w:qFormat/>
    <w:pPr>
      <w:spacing w:line="400" w:lineRule="exact"/>
      <w:ind w:firstLine="540"/>
    </w:pPr>
    <w:rPr>
      <w:sz w:val="24"/>
    </w:rPr>
  </w:style>
  <w:style w:type="paragraph" w:styleId="BalloonText">
    <w:name w:val="Balloon Text"/>
    <w:basedOn w:val="Normal"/>
    <w:link w:val="a"/>
    <w:qFormat/>
    <w:rPr>
      <w:sz w:val="18"/>
      <w:szCs w:val="18"/>
    </w:rPr>
  </w:style>
  <w:style w:type="paragraph" w:styleId="Footer">
    <w:name w:val="footer"/>
    <w:basedOn w:val="Normal"/>
    <w:uiPriority w:val="99"/>
    <w:qFormat/>
    <w:pPr>
      <w:tabs>
        <w:tab w:val="center" w:pos="4153"/>
        <w:tab w:val="right" w:pos="8306"/>
      </w:tabs>
      <w:snapToGrid w:val="0"/>
      <w:ind w:right="360"/>
      <w:jc w:val="center"/>
    </w:pPr>
    <w:rPr>
      <w:sz w:val="18"/>
      <w:szCs w:val="18"/>
    </w:rPr>
  </w:style>
  <w:style w:type="paragraph" w:styleId="Header">
    <w:name w:val="header"/>
    <w:basedOn w:val="Normal"/>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qFormat/>
    <w:pPr>
      <w:tabs>
        <w:tab w:val="left" w:pos="426"/>
        <w:tab w:val="right" w:leader="dot" w:pos="8505"/>
      </w:tabs>
      <w:spacing w:line="400" w:lineRule="exact"/>
      <w:ind w:right="25" w:rightChars="12"/>
      <w:jc w:val="center"/>
    </w:pPr>
    <w:rPr>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1">
    <w:name w:val="正文1"/>
    <w:basedOn w:val="DefaultParagraphFont"/>
    <w:qFormat/>
  </w:style>
  <w:style w:type="character" w:customStyle="1" w:styleId="a">
    <w:name w:val="批注框文本 字符"/>
    <w:basedOn w:val="DefaultParagraphFont"/>
    <w:link w:val="BalloonText"/>
    <w:qFormat/>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d.book118.com/875210314132011104"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9828</Words>
  <Characters>27617</Characters>
  <Application>Microsoft Office Word</Application>
  <DocSecurity>0</DocSecurity>
  <Lines>1726</Lines>
  <Paragraphs>1386</Paragraphs>
  <ScaleCrop>false</ScaleCrop>
  <Company/>
  <LinksUpToDate>false</LinksUpToDate>
  <CharactersWithSpaces>36059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花间旧事1384527792</dc:creator>
  <cp:lastModifiedBy>张老师</cp:lastModifiedBy>
  <cp:revision>39</cp:revision>
  <dcterms:created xsi:type="dcterms:W3CDTF">2019-05-18T01:44:00Z</dcterms:created>
  <dcterms:modified xsi:type="dcterms:W3CDTF">2023-11-04T10:23:24Z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D022D3DE86354B53859E46FF4D07DDEA_12</vt:lpwstr>
  </property>
  <property fmtid="{D5CDD505-2E9C-101B-9397-08002B2CF9AE}" pid="3" name="KSOProductBuildVer">
    <vt:lpwstr>2052-12.1.0.15712</vt:lpwstr>
  </property>
</Properties>
</file>