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F478D" w:rsidP="005F478D" w14:paraId="24222C9C" w14:textId="77777777">
      <w:pPr>
        <w:spacing w:before="48" w:beforeLines="20" w:after="360" w:afterLines="150" w:line="360" w:lineRule="auto"/>
        <w:jc w:val="center"/>
        <w:rPr>
          <w:rFonts w:ascii="华文中宋" w:eastAsia="华文中宋" w:hAnsi="华文中宋"/>
          <w:b/>
          <w:sz w:val="30"/>
        </w:rPr>
      </w:pPr>
      <w:r w:rsidRPr="005F478D">
        <w:rPr>
          <w:rFonts w:ascii="华文中宋" w:eastAsia="华文中宋" w:hAnsi="华文中宋"/>
          <w:b/>
          <w:sz w:val="30"/>
        </w:rPr>
        <w:t>2023</w:t>
      </w:r>
      <w:r w:rsidRPr="005F478D">
        <w:rPr>
          <w:rFonts w:ascii="华文中宋" w:eastAsia="华文中宋" w:hAnsi="华文中宋"/>
          <w:b/>
          <w:sz w:val="30"/>
        </w:rPr>
        <w:t>浙江金华市义乌市机关事业单位编外聘用人员招聘笔试备考题库及答案解析</w:t>
      </w:r>
    </w:p>
    <w:p w:rsidR="00A77B3E" w14:paraId="4E1628A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3224930" w14:textId="77777777">
      <w:pPr>
        <w:spacing w:after="260" w:line="360" w:lineRule="auto"/>
      </w:pPr>
      <w:r>
        <w:rPr>
          <w:rFonts w:ascii="微软雅黑" w:eastAsia="微软雅黑" w:cs="微软雅黑"/>
        </w:rPr>
        <w:t>一、选择题</w:t>
      </w:r>
    </w:p>
    <w:p w:rsidR="0030475A" w14:paraId="155E8AF6"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科举制在中国影响深远，乡试录取者称为举人，会试录取者为贡生，那么殿试录取者称为</w:t>
      </w:r>
      <w:r w:rsidRPr="0030475A">
        <w:rPr>
          <w:rFonts w:ascii="微软雅黑" w:eastAsia="微软雅黑" w:cs="微软雅黑"/>
          <w:szCs w:val="14"/>
        </w:rPr>
        <w:t>()</w:t>
      </w:r>
      <w:r w:rsidRPr="0030475A">
        <w:rPr>
          <w:rFonts w:ascii="微软雅黑" w:eastAsia="微软雅黑" w:cs="微软雅黑"/>
          <w:szCs w:val="14"/>
        </w:rPr>
        <w:t>。</w:t>
      </w:r>
    </w:p>
    <w:p w:rsidR="0030475A" w14:paraId="6705AEA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、大元</w:t>
      </w:r>
    </w:p>
    <w:p w:rsidR="0030475A" w14:paraId="6009E162"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、进士</w:t>
      </w:r>
    </w:p>
    <w:p w:rsidR="0030475A" w14:paraId="76184696"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、解元</w:t>
      </w:r>
    </w:p>
    <w:p w:rsidR="0030475A" w14:paraId="1C58EE7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、榜眼</w:t>
      </w:r>
    </w:p>
    <w:p w:rsidR="0030475A" w14:paraId="1AC11C61"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7D6A8436"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明代正式科举考试分为乡试、会试、殿试三级。乡试是由南、北直隶和各布政使司举行的地方考试</w:t>
      </w:r>
      <w:r w:rsidRPr="0030475A">
        <w:rPr>
          <w:rFonts w:ascii="微软雅黑" w:eastAsia="微软雅黑" w:cs="微软雅黑"/>
          <w:szCs w:val="14"/>
        </w:rPr>
        <w:t>;</w:t>
      </w:r>
      <w:r w:rsidRPr="0030475A">
        <w:rPr>
          <w:rFonts w:ascii="微软雅黑" w:eastAsia="微软雅黑" w:cs="微软雅黑"/>
          <w:szCs w:val="14"/>
        </w:rPr>
        <w:t>乡试考中的称举人，俗称孝廉，第一名称解元。会试是由礼部主持的全国考试，又称礼闱，于乡试的第二年即逢丑、辰、未、戌年举行</w:t>
      </w:r>
      <w:r w:rsidRPr="0030475A">
        <w:rPr>
          <w:rFonts w:ascii="微软雅黑" w:eastAsia="微软雅黑" w:cs="微软雅黑"/>
          <w:szCs w:val="14"/>
        </w:rPr>
        <w:t>;</w:t>
      </w:r>
      <w:r w:rsidRPr="0030475A">
        <w:rPr>
          <w:rFonts w:ascii="微软雅黑" w:eastAsia="微软雅黑" w:cs="微软雅黑"/>
          <w:szCs w:val="14"/>
        </w:rPr>
        <w:t>考中的称贡士，俗称出贡，别称明经，第一名称会元。殿试在会试后当年举行，时间最初是三月初一。明宪宗成化八年起，改为三月十五，应试者为贡士</w:t>
      </w:r>
      <w:r w:rsidRPr="0030475A">
        <w:rPr>
          <w:rFonts w:ascii="微软雅黑" w:eastAsia="微软雅黑" w:cs="微软雅黑"/>
          <w:szCs w:val="14"/>
        </w:rPr>
        <w:t>;</w:t>
      </w:r>
      <w:r w:rsidRPr="0030475A">
        <w:rPr>
          <w:rFonts w:ascii="微软雅黑" w:eastAsia="微软雅黑" w:cs="微软雅黑"/>
          <w:szCs w:val="14"/>
        </w:rPr>
        <w:t>贡士在殿试中均不落榜，只是由皇帝重新安排名次。殿试毕，次日放榜。录取分三甲：一甲三名，赐进士及第，第一名称状元、鼎元，二名榜眼，三名探花，合称三鼎甲。二甲赐进士出身，三甲赐</w:t>
      </w:r>
    </w:p>
    <w:p w:rsidR="0030475A" w14:textId="77777777">
      <w:pPr>
        <w:pStyle w:val="NormalWeb"/>
        <w:widowControl/>
        <w:spacing w:beforeAutospacing="0" w:after="260" w:afterAutospacing="0" w:line="360" w:lineRule="auto"/>
      </w:pPr>
      <w:r w:rsidRPr="0030475A">
        <w:rPr>
          <w:rFonts w:ascii="微软雅黑" w:eastAsia="微软雅黑" w:cs="微软雅黑"/>
          <w:szCs w:val="14"/>
        </w:rPr>
        <w:t>同进士出身。二、三甲第一名皆称传胪。一、二、三甲通称进士。进士榜称甲榜，或称甲科。进士榜用黄纸书写，故叫黄甲，也称金榜，中进士称金榜题名。故选</w:t>
      </w:r>
      <w:r w:rsidRPr="0030475A">
        <w:rPr>
          <w:rFonts w:ascii="微软雅黑" w:eastAsia="微软雅黑" w:cs="微软雅黑"/>
          <w:szCs w:val="14"/>
        </w:rPr>
        <w:t>B</w:t>
      </w:r>
      <w:r w:rsidRPr="0030475A">
        <w:rPr>
          <w:rFonts w:ascii="微软雅黑" w:eastAsia="微软雅黑" w:cs="微软雅黑"/>
          <w:szCs w:val="14"/>
        </w:rPr>
        <w:t>。</w:t>
      </w:r>
    </w:p>
    <w:p w:rsidR="0030475A" w14:paraId="7A5EF6B0"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下列对</w:t>
      </w:r>
      <w:r w:rsidRPr="0030475A">
        <w:rPr>
          <w:rFonts w:ascii="微软雅黑" w:eastAsia="微软雅黑" w:cs="微软雅黑"/>
          <w:szCs w:val="14"/>
        </w:rPr>
        <w:t>“</w:t>
      </w:r>
      <w:r w:rsidRPr="0030475A">
        <w:rPr>
          <w:rFonts w:ascii="微软雅黑" w:eastAsia="微软雅黑" w:cs="微软雅黑"/>
          <w:szCs w:val="14"/>
        </w:rPr>
        <w:t>公示</w:t>
      </w:r>
      <w:r w:rsidRPr="0030475A">
        <w:rPr>
          <w:rFonts w:ascii="微软雅黑" w:eastAsia="微软雅黑" w:cs="微软雅黑"/>
          <w:szCs w:val="14"/>
        </w:rPr>
        <w:t>”</w:t>
      </w:r>
      <w:r w:rsidRPr="0030475A">
        <w:rPr>
          <w:rFonts w:ascii="微软雅黑" w:eastAsia="微软雅黑" w:cs="微软雅黑"/>
          <w:szCs w:val="14"/>
        </w:rPr>
        <w:t>的表述，错误的一项是</w:t>
      </w:r>
      <w:r w:rsidRPr="0030475A">
        <w:rPr>
          <w:rFonts w:ascii="微软雅黑" w:eastAsia="微软雅黑" w:cs="微软雅黑"/>
          <w:szCs w:val="14"/>
        </w:rPr>
        <w:t>()</w:t>
      </w:r>
      <w:r w:rsidRPr="0030475A">
        <w:rPr>
          <w:rFonts w:ascii="微软雅黑" w:eastAsia="微软雅黑" w:cs="微软雅黑"/>
          <w:szCs w:val="14"/>
        </w:rPr>
        <w:t>。</w:t>
      </w:r>
    </w:p>
    <w:p w:rsidR="0030475A" w14:paraId="282AAD8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、公示与公告不同之处在于需要听取反馈意见</w:t>
      </w:r>
    </w:p>
    <w:p w:rsidR="0030475A" w14:paraId="084F198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、公示发布时间的当天也就是公示的生效时间</w:t>
      </w:r>
    </w:p>
    <w:p w:rsidR="0030475A" w14:paraId="5D937748"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、公示的正文包括所公示的原因、意义和事由</w:t>
      </w:r>
    </w:p>
    <w:p w:rsidR="0030475A" w14:paraId="7D53EF2D"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、公示的内容属于初步的决定而非最终的决定</w:t>
      </w:r>
    </w:p>
    <w:p w:rsidR="0030475A" w14:paraId="180B926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0EFB3EA0"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公示的正文包括所公示的原因</w:t>
      </w:r>
      <w:r w:rsidRPr="0030475A">
        <w:rPr>
          <w:rFonts w:ascii="微软雅黑" w:eastAsia="微软雅黑" w:cs="微软雅黑"/>
          <w:szCs w:val="14"/>
        </w:rPr>
        <w:t>;</w:t>
      </w:r>
      <w:r w:rsidRPr="0030475A">
        <w:rPr>
          <w:rFonts w:ascii="微软雅黑" w:eastAsia="微软雅黑" w:cs="微软雅黑"/>
          <w:szCs w:val="14"/>
        </w:rPr>
        <w:t>事物的基本情况</w:t>
      </w:r>
      <w:r w:rsidRPr="0030475A">
        <w:rPr>
          <w:rFonts w:ascii="微软雅黑" w:eastAsia="微软雅黑" w:cs="微软雅黑"/>
          <w:szCs w:val="14"/>
        </w:rPr>
        <w:t>(</w:t>
      </w:r>
      <w:r w:rsidRPr="0030475A">
        <w:rPr>
          <w:rFonts w:ascii="微软雅黑" w:eastAsia="微软雅黑" w:cs="微软雅黑"/>
          <w:szCs w:val="14"/>
        </w:rPr>
        <w:t>党员发展公示一般要包括有关人员的姓名、性别、出生年月、工作单位、职务、入党时间等</w:t>
      </w:r>
      <w:r w:rsidRPr="0030475A">
        <w:rPr>
          <w:rFonts w:ascii="微软雅黑" w:eastAsia="微软雅黑" w:cs="微软雅黑"/>
          <w:szCs w:val="14"/>
        </w:rPr>
        <w:t>);</w:t>
      </w:r>
      <w:r w:rsidRPr="0030475A">
        <w:rPr>
          <w:rFonts w:ascii="微软雅黑" w:eastAsia="微软雅黑" w:cs="微软雅黑"/>
          <w:szCs w:val="14"/>
        </w:rPr>
        <w:t>公示的起始及截止日期</w:t>
      </w:r>
      <w:r w:rsidRPr="0030475A">
        <w:rPr>
          <w:rFonts w:ascii="微软雅黑" w:eastAsia="微软雅黑" w:cs="微软雅黑"/>
          <w:szCs w:val="14"/>
        </w:rPr>
        <w:t>(</w:t>
      </w:r>
      <w:r w:rsidRPr="0030475A">
        <w:rPr>
          <w:rFonts w:ascii="微软雅黑" w:eastAsia="微软雅黑" w:cs="微软雅黑"/>
          <w:szCs w:val="14"/>
        </w:rPr>
        <w:t>以工作日计</w:t>
      </w:r>
      <w:r w:rsidRPr="0030475A">
        <w:rPr>
          <w:rFonts w:ascii="微软雅黑" w:eastAsia="微软雅黑" w:cs="微软雅黑"/>
          <w:szCs w:val="14"/>
        </w:rPr>
        <w:t>)</w:t>
      </w:r>
      <w:r w:rsidRPr="0030475A">
        <w:rPr>
          <w:rFonts w:ascii="微软雅黑" w:eastAsia="微软雅黑" w:cs="微软雅黑"/>
          <w:szCs w:val="14"/>
        </w:rPr>
        <w:t>，意见反馈单位地址及联系方式</w:t>
      </w:r>
      <w:r w:rsidRPr="0030475A">
        <w:rPr>
          <w:rFonts w:ascii="微软雅黑" w:eastAsia="微软雅黑" w:cs="微软雅黑"/>
          <w:szCs w:val="14"/>
        </w:rPr>
        <w:t>;</w:t>
      </w:r>
      <w:r w:rsidRPr="0030475A">
        <w:rPr>
          <w:rFonts w:ascii="微软雅黑" w:eastAsia="微软雅黑" w:cs="微软雅黑"/>
          <w:szCs w:val="14"/>
        </w:rPr>
        <w:t>发布公示的单位名称</w:t>
      </w:r>
      <w:r w:rsidRPr="0030475A">
        <w:rPr>
          <w:rFonts w:ascii="微软雅黑" w:eastAsia="微软雅黑" w:cs="微软雅黑"/>
          <w:szCs w:val="14"/>
        </w:rPr>
        <w:t>(</w:t>
      </w:r>
      <w:r w:rsidRPr="0030475A">
        <w:rPr>
          <w:rFonts w:ascii="微软雅黑" w:eastAsia="微软雅黑" w:cs="微软雅黑"/>
          <w:szCs w:val="14"/>
        </w:rPr>
        <w:t>加盖公章</w:t>
      </w:r>
      <w:r w:rsidRPr="0030475A">
        <w:rPr>
          <w:rFonts w:ascii="微软雅黑" w:eastAsia="微软雅黑" w:cs="微软雅黑"/>
          <w:szCs w:val="14"/>
        </w:rPr>
        <w:t>)</w:t>
      </w:r>
      <w:r w:rsidRPr="0030475A">
        <w:rPr>
          <w:rFonts w:ascii="微软雅黑" w:eastAsia="微软雅黑" w:cs="微软雅黑"/>
          <w:szCs w:val="14"/>
        </w:rPr>
        <w:t>及发布时间。故选</w:t>
      </w:r>
      <w:r w:rsidRPr="0030475A">
        <w:rPr>
          <w:rFonts w:ascii="微软雅黑" w:eastAsia="微软雅黑" w:cs="微软雅黑"/>
          <w:szCs w:val="14"/>
        </w:rPr>
        <w:t>C</w:t>
      </w:r>
      <w:r w:rsidRPr="0030475A">
        <w:rPr>
          <w:rFonts w:ascii="微软雅黑" w:eastAsia="微软雅黑" w:cs="微软雅黑"/>
          <w:szCs w:val="14"/>
        </w:rPr>
        <w:t>。</w:t>
      </w:r>
    </w:p>
    <w:p w:rsidR="0030475A" w14:paraId="579E3A1E"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实践的观点是马克思主义的首要的基本观点，是理解马克思主义哲学的基础。下列关于实践的说法不正确的是</w:t>
      </w:r>
      <w:r w:rsidRPr="0030475A">
        <w:rPr>
          <w:rFonts w:ascii="微软雅黑" w:eastAsia="微软雅黑" w:cs="微软雅黑"/>
          <w:szCs w:val="14"/>
        </w:rPr>
        <w:t>()</w:t>
      </w:r>
      <w:r w:rsidRPr="0030475A">
        <w:rPr>
          <w:rFonts w:ascii="微软雅黑" w:eastAsia="微软雅黑" w:cs="微软雅黑"/>
          <w:szCs w:val="14"/>
        </w:rPr>
        <w:t>。</w:t>
      </w:r>
    </w:p>
    <w:p w:rsidR="0030475A" w14:paraId="6C28815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、实践是主观见之于客观的东西</w:t>
      </w:r>
    </w:p>
    <w:p w:rsidR="0030475A" w14:paraId="68F7BF4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、实践具有社会历史性</w:t>
      </w:r>
    </w:p>
    <w:p w:rsidR="0030475A" w14:paraId="0371CF4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、实践是社会生活的本质</w:t>
      </w:r>
    </w:p>
    <w:p w:rsidR="0030475A" w14:paraId="40289687"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D</w:t>
      </w:r>
      <w:r w:rsidRPr="0030475A">
        <w:rPr>
          <w:rFonts w:ascii="微软雅黑" w:eastAsia="微软雅黑" w:cs="微软雅黑"/>
          <w:szCs w:val="14"/>
        </w:rPr>
        <w:t>、实践是最根本的认识方法</w:t>
      </w:r>
    </w:p>
    <w:p w:rsidR="0030475A" w14:paraId="70238F6F"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1F427FBA"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A</w:t>
      </w:r>
      <w:r w:rsidRPr="0030475A">
        <w:rPr>
          <w:rFonts w:ascii="微软雅黑" w:eastAsia="微软雅黑" w:cs="微软雅黑"/>
          <w:szCs w:val="14"/>
        </w:rPr>
        <w:t>选项即主体能动地反映客体对象，是主体作用于客体的活动，</w:t>
      </w:r>
      <w:r w:rsidRPr="0030475A">
        <w:rPr>
          <w:rFonts w:ascii="微软雅黑" w:eastAsia="微软雅黑" w:cs="微软雅黑"/>
          <w:szCs w:val="14"/>
        </w:rPr>
        <w:t>A</w:t>
      </w:r>
      <w:r w:rsidRPr="0030475A">
        <w:rPr>
          <w:rFonts w:ascii="微软雅黑" w:eastAsia="微软雅黑" w:cs="微软雅黑"/>
          <w:szCs w:val="14"/>
        </w:rPr>
        <w:t>说法正确，实践具有社会历史性是指人类以社会的形式进行着社会实践，人类的实践贯穿于社会历史的发展始终，</w:t>
      </w:r>
      <w:r w:rsidRPr="0030475A">
        <w:rPr>
          <w:rFonts w:ascii="微软雅黑" w:eastAsia="微软雅黑" w:cs="微软雅黑"/>
          <w:szCs w:val="14"/>
        </w:rPr>
        <w:t>B</w:t>
      </w:r>
      <w:r w:rsidRPr="0030475A">
        <w:rPr>
          <w:rFonts w:ascii="微软雅黑" w:eastAsia="微软雅黑" w:cs="微软雅黑"/>
          <w:szCs w:val="14"/>
        </w:rPr>
        <w:t>说法正确，马克思说：</w:t>
      </w:r>
      <w:r w:rsidRPr="0030475A">
        <w:rPr>
          <w:rFonts w:ascii="微软雅黑" w:eastAsia="微软雅黑" w:cs="微软雅黑"/>
          <w:szCs w:val="14"/>
        </w:rPr>
        <w:t>“</w:t>
      </w:r>
      <w:r w:rsidRPr="0030475A">
        <w:rPr>
          <w:rFonts w:ascii="微软雅黑" w:eastAsia="微软雅黑" w:cs="微软雅黑"/>
          <w:szCs w:val="14"/>
        </w:rPr>
        <w:t>社会生活在本质上是实践的</w:t>
      </w:r>
      <w:r w:rsidRPr="0030475A">
        <w:rPr>
          <w:rFonts w:ascii="微软雅黑" w:eastAsia="微软雅黑" w:cs="微软雅黑"/>
          <w:szCs w:val="14"/>
        </w:rPr>
        <w:t>”</w:t>
      </w:r>
      <w:r w:rsidRPr="0030475A">
        <w:rPr>
          <w:rFonts w:ascii="微软雅黑" w:eastAsia="微软雅黑" w:cs="微软雅黑"/>
          <w:szCs w:val="14"/>
        </w:rPr>
        <w:t>，即实践是社会生活的本质内容，</w:t>
      </w:r>
      <w:r w:rsidRPr="0030475A">
        <w:rPr>
          <w:rFonts w:ascii="微软雅黑" w:eastAsia="微软雅黑" w:cs="微软雅黑"/>
          <w:szCs w:val="14"/>
        </w:rPr>
        <w:t>C</w:t>
      </w:r>
      <w:r w:rsidRPr="0030475A">
        <w:rPr>
          <w:rFonts w:ascii="微软雅黑" w:eastAsia="微软雅黑" w:cs="微软雅黑"/>
          <w:szCs w:val="14"/>
        </w:rPr>
        <w:t>说法正确，认识事物最根本的方法是矛盾分析法，</w:t>
      </w:r>
      <w:r w:rsidRPr="0030475A">
        <w:rPr>
          <w:rFonts w:ascii="微软雅黑" w:eastAsia="微软雅黑" w:cs="微软雅黑"/>
          <w:szCs w:val="14"/>
        </w:rPr>
        <w:t>D</w:t>
      </w:r>
      <w:r w:rsidRPr="0030475A">
        <w:rPr>
          <w:rFonts w:ascii="微软雅黑" w:eastAsia="微软雅黑" w:cs="微软雅黑"/>
          <w:szCs w:val="14"/>
        </w:rPr>
        <w:t>说法错误。故选</w:t>
      </w:r>
      <w:r w:rsidRPr="0030475A">
        <w:rPr>
          <w:rFonts w:ascii="微软雅黑" w:eastAsia="微软雅黑" w:cs="微软雅黑"/>
          <w:szCs w:val="14"/>
        </w:rPr>
        <w:t>D</w:t>
      </w:r>
      <w:r w:rsidRPr="0030475A">
        <w:rPr>
          <w:rFonts w:ascii="微软雅黑" w:eastAsia="微软雅黑" w:cs="微软雅黑"/>
          <w:szCs w:val="14"/>
        </w:rPr>
        <w:t>。</w:t>
      </w:r>
    </w:p>
    <w:p w:rsidR="0030475A" w14:paraId="552AB359"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被代理人出示的授权委托书，授权不明的，应当</w:t>
      </w:r>
      <w:r w:rsidRPr="0030475A">
        <w:rPr>
          <w:rFonts w:ascii="微软雅黑" w:eastAsia="微软雅黑" w:cs="微软雅黑"/>
          <w:szCs w:val="14"/>
        </w:rPr>
        <w:t>()</w:t>
      </w:r>
      <w:r w:rsidRPr="0030475A">
        <w:rPr>
          <w:rFonts w:ascii="微软雅黑" w:eastAsia="微软雅黑" w:cs="微软雅黑"/>
          <w:szCs w:val="14"/>
        </w:rPr>
        <w:t>。</w:t>
      </w:r>
    </w:p>
    <w:p w:rsidR="0030475A" w14:paraId="622F40AF"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、由被代理人对第三人承担民事责任，代理人不负责任</w:t>
      </w:r>
    </w:p>
    <w:p w:rsidR="0030475A" w14:paraId="49D1743B"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、由代理人对第三人承担民事责任，被代理人不负责任</w:t>
      </w:r>
    </w:p>
    <w:p w:rsidR="0030475A" w14:paraId="0364E28A"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、由被代理人对第三人承担民事责任，代理人负连带责任</w:t>
      </w:r>
    </w:p>
    <w:p w:rsidR="0030475A" w14:paraId="50537936"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、先由代理人对第三人承担民事责任，代理人无法承担责任的，由被代理人承担责任</w:t>
      </w:r>
    </w:p>
    <w:p w:rsidR="0030475A" w14:paraId="2D5DE57C"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063989DC"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委托代理是指委托代理人按照被代理人的委托行使代理权。民事法律行为的委托代理，可以用书面形式，也可以用口头形式。书面委托代理的授权委托书应当载明代理人的姓名或者名称、代理事项、权限和期间，并由委托人签名或盖章。委托书授权不明的，被代理人应当向第三人承担民事责任，代理人负连带责任。故选</w:t>
      </w:r>
      <w:r w:rsidRPr="0030475A">
        <w:rPr>
          <w:rFonts w:ascii="微软雅黑" w:eastAsia="微软雅黑" w:cs="微软雅黑"/>
          <w:szCs w:val="14"/>
        </w:rPr>
        <w:t>C</w:t>
      </w:r>
      <w:r w:rsidRPr="0030475A">
        <w:rPr>
          <w:rFonts w:ascii="微软雅黑" w:eastAsia="微软雅黑" w:cs="微软雅黑"/>
          <w:szCs w:val="14"/>
        </w:rPr>
        <w:t>。</w:t>
      </w:r>
    </w:p>
    <w:p w:rsidR="0030475A" w14:paraId="686A7F28"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下列做法在日常生活中可行的是</w:t>
      </w:r>
      <w:r w:rsidRPr="0030475A">
        <w:rPr>
          <w:rFonts w:ascii="微软雅黑" w:eastAsia="微软雅黑" w:cs="微软雅黑"/>
          <w:szCs w:val="14"/>
        </w:rPr>
        <w:t>()</w:t>
      </w:r>
      <w:r w:rsidRPr="0030475A">
        <w:rPr>
          <w:rFonts w:ascii="微软雅黑" w:eastAsia="微软雅黑" w:cs="微软雅黑"/>
          <w:szCs w:val="14"/>
        </w:rPr>
        <w:t>。</w:t>
      </w:r>
    </w:p>
    <w:p w:rsidR="0030475A" w14:paraId="589D114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、医用酒精和工业酒精的主要成分相同，都可用于伤口消毒</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https://d.book118.com/875213321121011101</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478D" w:rsidP="00683DD2" w14:paraId="0F4344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478D" w14:paraId="398E56D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478D" w:rsidP="00683DD2" w14:paraId="22A6C0F5" w14:textId="688B4F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F478D" w14:paraId="7B97A1A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478D" w14:paraId="19A80FE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478D"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478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478D" w:rsidP="00683DD2" w14:textId="688B4F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F478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478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478D"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478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478D" w:rsidP="00683DD2" w14:textId="688B4F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F478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478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478D" w14:paraId="7FA5E52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478D" w14:paraId="5E01A7A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478D" w14:paraId="34B3777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478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478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478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478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478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478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5F478D"/>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170A1AC"/>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5F478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F478D"/>
    <w:rPr>
      <w:sz w:val="18"/>
      <w:szCs w:val="18"/>
    </w:rPr>
  </w:style>
  <w:style w:type="paragraph" w:styleId="Footer">
    <w:name w:val="footer"/>
    <w:basedOn w:val="Normal"/>
    <w:link w:val="a0"/>
    <w:rsid w:val="005F478D"/>
    <w:pPr>
      <w:tabs>
        <w:tab w:val="center" w:pos="4153"/>
        <w:tab w:val="right" w:pos="8306"/>
      </w:tabs>
      <w:snapToGrid w:val="0"/>
    </w:pPr>
    <w:rPr>
      <w:sz w:val="18"/>
      <w:szCs w:val="18"/>
    </w:rPr>
  </w:style>
  <w:style w:type="character" w:customStyle="1" w:styleId="a0">
    <w:name w:val="页脚 字符"/>
    <w:basedOn w:val="DefaultParagraphFont"/>
    <w:link w:val="Footer"/>
    <w:rsid w:val="005F478D"/>
    <w:rPr>
      <w:sz w:val="18"/>
      <w:szCs w:val="18"/>
    </w:rPr>
  </w:style>
  <w:style w:type="character" w:styleId="PageNumber">
    <w:name w:val="page number"/>
    <w:basedOn w:val="DefaultParagraphFont"/>
    <w:rsid w:val="005F47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75213321121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2984</Words>
  <Characters>17011</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2024-01-29T10:40:00Z</dcterms:created>
  <dcterms:modified xsi:type="dcterms:W3CDTF">2024-01-29T10:40:00Z</dcterms:modified>
</cp:coreProperties>
</file>