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5" w:history="1">
        <w:r>
          <w:rPr>
            <w:rFonts w:ascii="仿宋" w:eastAsia="仿宋" w:hAnsi="仿宋" w:cs="仿宋" w:hint="eastAsia"/>
            <w:lang w:eastAsia="zh-CN"/>
          </w:rPr>
          <w:t>(一)、烟胶项目选址原则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(五)、烟胶项目选址综合评价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三、烟胶筹建公司基本信息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_Toc19270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_Toc10730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九、烟胶项目经济效益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_Toc13563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(三)、烟胶项目盈利能力分析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4" w:history="1">
        <w:r>
          <w:rPr>
            <w:rFonts w:ascii="仿宋" w:eastAsia="仿宋" w:hAnsi="仿宋" w:cs="仿宋" w:hint="eastAsia"/>
            <w:lang w:eastAsia="zh-CN"/>
          </w:rPr>
          <w:t>十、烟胶项目风险分析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(一)、烟胶项目风险分析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(二)、烟胶项目风险对策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0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75"/>
      <w:r>
        <w:rPr>
          <w:rFonts w:ascii="仿宋" w:eastAsia="仿宋" w:hAnsi="仿宋" w:cs="仿宋" w:hint="eastAsia"/>
          <w:lang w:eastAsia="zh-CN"/>
        </w:rPr>
        <w:t>(一)、烟胶项目选址原则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烟胶项目选址是决定工业烟胶项目成败的关键因素之一。根据现行政策，烟胶项目选址必须符合一系列要求，以确保城乡建设、环境保护和资源利用的协调。以下是一些关于烟胶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烟胶项目选址必须与当地城乡建设总体规划相一致。它应该符合工业烟胶项目占地使用规划的要求，并与大气污染防治、水资源和自然生态保护政策相协调。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烟胶项目选址应避开自然保护区、风景名胜区、生活饮用水源地和其他特别需要保护的敏感性目标。这有助于维护自然环境的完整性和生态系统的稳定。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烟胶项目选址应充分考虑土地资源的节约。最好选择空闲地、非耕地或荒地，以减少对良田或耕地的占用。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烟胶项目选址应提供足够的场地，以满足工艺和辅助生产设施的建设需要。这有助于确保生产流程的高效运行。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烟胶项目选址应具备良好的生产基础条件，包括充足的水源、电力、运输和可靠的能源供应。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烟胶项目选址应地势平缓，便于排除雨水和处理生产、生活废水。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烟胶项目选址应与居民区及环境污染敏感点保持足够的防护距离，以确保生产活动不会对人民健康和环境造成危害。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烟胶项目选址是烟胶项目成功的第一步，符合政策要求的选址将有助于确保烟胶项目的可持续发展，并避免对环境和社会造成不利影响。因此，在烟胶项目规划和选址阶段，应认真考虑这些原则和要求。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593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烟胶项目，坐落于中国东南沿海地带，占地面积约为XX平方公里。其地理位置堪称优越，距离市中心仅有短短的XX公里，具备出色的交通便捷性。在过去几十年的快速发展中，烟胶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https://d.book118.com/875220300040011044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5220300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2024-01-15T09:45:00Z</dcterms:created>
  <dcterms:modified xsi:type="dcterms:W3CDTF">2024-01-15T09:45:21Z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9872C2C7B3E5402E806551875D67D8B7_11</vt:lpwstr>
  </property>
  <property fmtid="{D5CDD505-2E9C-101B-9397-08002B2CF9AE}" pid="3" name="KSOProductBuildVer">
    <vt:lpwstr>2052-12.1.0.16120</vt:lpwstr>
  </property>
</Properties>
</file>