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申健琦赞</w:t>
      </w:r>
      <w:r>
        <w:rPr>
          <w:rFonts w:hint="eastAsia"/>
          <w:b/>
          <w:bCs/>
          <w:sz w:val="28"/>
          <w:szCs w:val="28"/>
          <w:lang w:val="en-US" w:eastAsia="zh-CN"/>
        </w:rPr>
        <w:t>杨徐骁</w:t>
      </w:r>
      <w:r>
        <w:rPr>
          <w:rFonts w:hint="eastAsia"/>
          <w:b/>
          <w:bCs/>
          <w:sz w:val="28"/>
          <w:szCs w:val="28"/>
          <w:lang w:eastAsia="zh-CN"/>
        </w:rPr>
        <w:t>语文【贾勇指导】</w:t>
      </w:r>
    </w:p>
    <w:p>
      <w:pPr>
        <w:widowControl/>
        <w:shd w:val="clear" w:color="auto" w:fill="FFFFFF"/>
        <w:spacing w:line="360" w:lineRule="atLeast"/>
        <w:ind w:firstLine="560" w:firstLineChars="200"/>
        <w:jc w:val="left"/>
        <w:rPr>
          <w:rFonts w:hint="eastAsia"/>
          <w:b/>
          <w:sz w:val="28"/>
          <w:szCs w:val="28"/>
        </w:rPr>
      </w:pPr>
    </w:p>
    <w:p>
      <w:pPr>
        <w:widowControl/>
        <w:shd w:val="clear" w:color="auto" w:fill="FFFFFF"/>
        <w:spacing w:line="360" w:lineRule="atLeast"/>
        <w:ind w:firstLine="560" w:firstLineChars="200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指导老师</w:t>
      </w:r>
      <w:r>
        <w:rPr>
          <w:rFonts w:hint="eastAsia"/>
          <w:b/>
          <w:sz w:val="28"/>
          <w:szCs w:val="28"/>
        </w:rPr>
        <w:t>简介</w:t>
      </w:r>
    </w:p>
    <w:p>
      <w:pPr>
        <w:widowControl/>
        <w:shd w:val="clear" w:color="auto" w:fill="FFFFFF"/>
        <w:spacing w:line="360" w:lineRule="atLeast"/>
        <w:ind w:firstLine="560" w:firstLineChars="200"/>
        <w:jc w:val="left"/>
        <w:rPr>
          <w:rFonts w:hint="eastAsia"/>
          <w:b/>
          <w:sz w:val="28"/>
          <w:szCs w:val="28"/>
        </w:rPr>
      </w:pPr>
    </w:p>
    <w:p>
      <w:pPr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/>
          <w:b/>
          <w:bCs/>
          <w:sz w:val="28"/>
          <w:szCs w:val="28"/>
        </w:rPr>
        <w:drawing>
          <wp:inline distT="0" distB="0" distL="0" distR="0">
            <wp:extent cx="2962910" cy="3892550"/>
            <wp:effectExtent l="0" t="0" r="8890" b="127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910" cy="389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  <w:sectPr>
          <w:headerReference w:type="default" r:id="rId6"/>
          <w:pgSz w:w="11900" w:h="16840"/>
          <w:pgMar w:top="1440" w:right="1800" w:bottom="1440" w:left="1800" w:header="567" w:footer="992" w:gutter="0"/>
          <w:cols w:num="1" w:space="425"/>
          <w:docGrid w:type="lines" w:linePitch="326" w:charSpace="0"/>
        </w:sectPr>
      </w:pPr>
      <w:r>
        <w:rPr>
          <w:rFonts w:hint="eastAsia"/>
          <w:sz w:val="28"/>
          <w:szCs w:val="28"/>
        </w:rPr>
        <w:t>贾勇（1967-），中文学科（汉语言文学专业）教授，硕士研究生毕业。陕西省教育厅评定的省级优秀教材《大学语文》《新编大学语文》主编；公开出版专著及高校教材12部，公开发表学术论文百余篇；北京大学语文教育研究所《作文素材》编委，《意林》杂志特刊《中考作文冲刺</w:t>
      </w:r>
      <w:r>
        <w:rPr>
          <w:sz w:val="28"/>
          <w:szCs w:val="28"/>
        </w:rPr>
        <w:t>热点考点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素材》编委。曾连续三年在青年教师赛教活动中荣获第一名。曾在北京大学、美国马里兰大学支持下，获得美国福特基金会资助，主持的科研项目《部分学生厌读怕写的成因与对策研究》结项时被评为优秀课题。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2010年以来主攻中高考语文辅导，所辅导的西安五大等名校学生，已经毕业</w:t>
      </w:r>
      <w:r>
        <w:rPr>
          <w:sz w:val="28"/>
          <w:szCs w:val="28"/>
        </w:rPr>
        <w:t>者</w:t>
      </w:r>
      <w:r>
        <w:rPr>
          <w:rFonts w:hint="eastAsia"/>
          <w:sz w:val="28"/>
          <w:szCs w:val="28"/>
        </w:rPr>
        <w:t>均取得学生本人及其家长十分满意的中考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高考语文成绩；尚未毕业</w:t>
      </w:r>
      <w:r>
        <w:rPr>
          <w:sz w:val="28"/>
          <w:szCs w:val="28"/>
        </w:rPr>
        <w:t>者</w:t>
      </w:r>
      <w:r>
        <w:rPr>
          <w:rFonts w:hint="eastAsia"/>
          <w:sz w:val="28"/>
          <w:szCs w:val="28"/>
        </w:rPr>
        <w:t>都公开发表了报刊文章并被专家评为“中高考范文”。如西工大附中贾志昊、陈世祥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李雨洋等，西安</w:t>
      </w:r>
      <w:r>
        <w:rPr>
          <w:sz w:val="28"/>
          <w:szCs w:val="28"/>
        </w:rPr>
        <w:t>高新一中</w:t>
      </w:r>
      <w:r>
        <w:rPr>
          <w:rFonts w:hint="eastAsia"/>
          <w:sz w:val="28"/>
          <w:szCs w:val="28"/>
        </w:rPr>
        <w:t>刘一帆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党敏瑞、</w:t>
      </w:r>
      <w:r>
        <w:rPr>
          <w:sz w:val="28"/>
          <w:szCs w:val="28"/>
        </w:rPr>
        <w:t>丁杨等，</w:t>
      </w:r>
      <w:r>
        <w:rPr>
          <w:rFonts w:hint="eastAsia"/>
          <w:sz w:val="28"/>
          <w:szCs w:val="28"/>
        </w:rPr>
        <w:t>交大附中王世阳、张汭娜等，陕师大附中李韵涵、西安铁一中秦阳等。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信奉“高徒显名师”</w:t>
      </w:r>
      <w:r>
        <w:rPr>
          <w:sz w:val="28"/>
          <w:szCs w:val="28"/>
        </w:rPr>
        <w:t>。</w:t>
      </w:r>
      <w:r>
        <w:rPr>
          <w:rFonts w:hint="eastAsia"/>
          <w:sz w:val="28"/>
          <w:szCs w:val="28"/>
        </w:rPr>
        <w:t>分别网搜，</w:t>
      </w:r>
      <w:r>
        <w:rPr>
          <w:sz w:val="28"/>
          <w:szCs w:val="28"/>
        </w:rPr>
        <w:t>比如百度一下——</w:t>
      </w:r>
      <w:r>
        <w:rPr>
          <w:rFonts w:hint="eastAsia"/>
          <w:sz w:val="28"/>
          <w:szCs w:val="28"/>
        </w:rPr>
        <w:t>“</w:t>
      </w:r>
      <w:hyperlink r:id="rId7" w:tgtFrame="_blank" w:history="1">
        <w:r>
          <w:rPr>
            <w:sz w:val="28"/>
            <w:szCs w:val="28"/>
            <w:u w:val="single"/>
          </w:rPr>
          <w:t>北大段天赐</w:t>
        </w:r>
      </w:hyperlink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贾勇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郭子荀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党敏瑞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张汭娜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唐墨翀</w:t>
      </w:r>
      <w:r>
        <w:rPr>
          <w:rFonts w:hint="eastAsia"/>
          <w:sz w:val="28"/>
          <w:szCs w:val="28"/>
        </w:rPr>
        <w:t>”、“</w:t>
      </w:r>
      <w:r>
        <w:rPr>
          <w:sz w:val="28"/>
          <w:szCs w:val="28"/>
        </w:rPr>
        <w:t>史懿尔</w:t>
      </w:r>
      <w:r>
        <w:rPr>
          <w:rFonts w:hint="eastAsia"/>
          <w:sz w:val="28"/>
          <w:szCs w:val="28"/>
        </w:rPr>
        <w:t>”、“</w:t>
      </w:r>
      <w:r>
        <w:rPr>
          <w:sz w:val="28"/>
          <w:szCs w:val="28"/>
        </w:rPr>
        <w:t>戴培楠</w:t>
      </w:r>
      <w:r>
        <w:rPr>
          <w:rFonts w:hint="eastAsia"/>
          <w:sz w:val="28"/>
          <w:szCs w:val="28"/>
        </w:rPr>
        <w:t>”、 “陈世祥语文”、“李雨洋语文”、“贾雨晴语文”、“丁杨 贾勇”、“</w:t>
      </w:r>
      <w:r>
        <w:rPr>
          <w:sz w:val="28"/>
          <w:szCs w:val="28"/>
        </w:rPr>
        <w:t>杨浩宇</w:t>
      </w:r>
      <w:r>
        <w:rPr>
          <w:rFonts w:hint="eastAsia"/>
          <w:sz w:val="28"/>
          <w:szCs w:val="28"/>
        </w:rPr>
        <w:t xml:space="preserve"> 贾勇”、“刘一帆 贾勇”、“</w:t>
      </w:r>
      <w:r>
        <w:rPr>
          <w:sz w:val="28"/>
          <w:szCs w:val="28"/>
        </w:rPr>
        <w:t>贺钰真</w:t>
      </w:r>
      <w:r>
        <w:rPr>
          <w:rFonts w:hint="eastAsia"/>
          <w:sz w:val="28"/>
          <w:szCs w:val="28"/>
        </w:rPr>
        <w:t xml:space="preserve"> 贾勇”、“刘若彤 贾勇”、“李韵涵 贾勇”等，所能</w:t>
      </w:r>
      <w:r>
        <w:rPr>
          <w:sz w:val="28"/>
          <w:szCs w:val="28"/>
        </w:rPr>
        <w:t>搜到的</w:t>
      </w:r>
      <w:r>
        <w:rPr>
          <w:rFonts w:hint="eastAsia"/>
          <w:sz w:val="28"/>
          <w:szCs w:val="28"/>
        </w:rPr>
        <w:t>大量信息</w:t>
      </w:r>
      <w:r>
        <w:rPr>
          <w:sz w:val="28"/>
          <w:szCs w:val="28"/>
        </w:rPr>
        <w:t>证明：</w:t>
      </w:r>
      <w:r>
        <w:rPr>
          <w:rFonts w:hint="eastAsia"/>
          <w:sz w:val="28"/>
          <w:szCs w:val="28"/>
        </w:rPr>
        <w:t>贾勇</w:t>
      </w:r>
      <w:r>
        <w:rPr>
          <w:sz w:val="28"/>
          <w:szCs w:val="28"/>
        </w:rPr>
        <w:t>老师的学生被誉为</w:t>
      </w:r>
      <w:r>
        <w:rPr>
          <w:rFonts w:hint="eastAsia"/>
          <w:sz w:val="28"/>
          <w:szCs w:val="28"/>
        </w:rPr>
        <w:t>“鱼化龙文苑的少年大师”（网搜</w:t>
      </w:r>
      <w:r>
        <w:rPr>
          <w:sz w:val="28"/>
          <w:szCs w:val="28"/>
        </w:rPr>
        <w:t>比如百度一下</w:t>
      </w:r>
      <w:r>
        <w:rPr>
          <w:rFonts w:hint="eastAsia"/>
          <w:sz w:val="28"/>
          <w:szCs w:val="28"/>
        </w:rPr>
        <w:t>引号里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汉字可知）。</w:t>
      </w:r>
    </w:p>
    <w:p>
      <w:pPr>
        <w:rPr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读写一体化之作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必修四期末综合试题二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一．本大题共5小题，每小题3分，共15分。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1．D（给（jǐ）予）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2．B（“冠缅堂皇”中的“缅”应为“冕”）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 xml:space="preserve">3．D（多事之秋：事故或事变很多的时期。 </w:t>
      </w:r>
      <w:r>
        <w:rPr>
          <w:rFonts w:ascii="宋体" w:eastAsia="宋体" w:hAnsi="宋体"/>
          <w:b/>
          <w:szCs w:val="21"/>
        </w:rPr>
        <w:t>陈词滥调</w:t>
      </w:r>
      <w:r>
        <w:rPr>
          <w:rFonts w:ascii="宋体" w:eastAsia="宋体" w:hAnsi="宋体" w:hint="eastAsia"/>
          <w:b/>
          <w:szCs w:val="21"/>
        </w:rPr>
        <w:t>：陈腐．空泛的论调。 门庭若市：门前和院子里人很多，象市场一样。形容来的人很多，非常热闹。 手足无措：措：安放。手脚不知放到哪儿好。形容举动慌张，或无法应付。不合语境，应为瞠目结舌或张口结舌。）</w:t>
      </w:r>
    </w:p>
    <w:p>
      <w:pPr>
        <w:rPr>
          <w:rFonts w:ascii="宋体" w:eastAsia="宋体" w:hAnsi="宋体" w:hint="eastAsia"/>
          <w:b/>
          <w:szCs w:val="21"/>
        </w:rPr>
        <w:sectPr>
          <w:headerReference w:type="default" r:id="rId8"/>
          <w:type w:val="nextPage"/>
          <w:pgSz w:w="11900" w:h="16840"/>
          <w:pgMar w:top="1440" w:right="1800" w:bottom="1440" w:left="1800" w:header="567" w:footer="992" w:gutter="0"/>
          <w:pgNumType w:start="2"/>
          <w:cols w:num="1" w:space="425"/>
          <w:titlePg w:val="0"/>
          <w:docGrid w:type="lines" w:linePitch="326" w:charSpace="0"/>
        </w:sectPr>
      </w:pP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4．A（B“不仅仅是藏满精美艺术品的博物馆，而且更像是交通工具”语序不当。C“因为他们太在乎考试成绩，心理负担过重造成的”句式杂糅。D“位居全球第四”“第三大汽车产销国”不合逻辑。）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5．C（莎士比亚四大悲剧是指</w:t>
      </w:r>
      <w:r>
        <w:rPr>
          <w:rFonts w:ascii="宋体" w:eastAsia="宋体" w:hAnsi="宋体"/>
          <w:b/>
          <w:szCs w:val="21"/>
        </w:rPr>
        <w:t>《奥瑟罗》《李尔王》《麦克白》和</w:t>
      </w:r>
      <w:r>
        <w:rPr>
          <w:rFonts w:ascii="宋体" w:eastAsia="宋体" w:hAnsi="宋体" w:hint="eastAsia"/>
          <w:b/>
          <w:szCs w:val="21"/>
        </w:rPr>
        <w:t>《哈姆雷特》）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二．古诗文默写（6分）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1．樯橹灰飞烟灭。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2．一蓑烟雨任平生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3．赢得仓皇北顾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4．满地黄花堆积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5．以先国家之急而后私仇也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三．诗词鉴赏 品位下面这首词，然后回答问题。（7分）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1．词牌名  表现故国之思，亡国之恨。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2．比喻  “剪不断，理还乱，是离愁”</w:t>
      </w:r>
      <w:r>
        <w:rPr>
          <w:rFonts w:ascii="宋体" w:eastAsia="宋体" w:hAnsi="宋体"/>
          <w:b/>
          <w:szCs w:val="21"/>
        </w:rPr>
        <w:t>以麻丝喻离愁，将抽象的情感加以具象化</w:t>
      </w:r>
      <w:r>
        <w:rPr>
          <w:rFonts w:ascii="宋体" w:eastAsia="宋体" w:hAnsi="宋体" w:hint="eastAsia"/>
          <w:b/>
          <w:szCs w:val="21"/>
        </w:rPr>
        <w:t>，“</w:t>
      </w:r>
      <w:r>
        <w:rPr>
          <w:rFonts w:ascii="宋体" w:eastAsia="宋体" w:hAnsi="宋体"/>
          <w:b/>
          <w:szCs w:val="21"/>
        </w:rPr>
        <w:t>寂寞梧桐深院锁清秋</w:t>
      </w:r>
      <w:r>
        <w:rPr>
          <w:rFonts w:ascii="宋体" w:eastAsia="宋体" w:hAnsi="宋体" w:hint="eastAsia"/>
          <w:b/>
          <w:szCs w:val="21"/>
        </w:rPr>
        <w:t>”</w:t>
      </w:r>
      <w:r>
        <w:rPr>
          <w:rFonts w:ascii="宋体" w:eastAsia="宋体" w:hAnsi="宋体"/>
          <w:b/>
          <w:szCs w:val="21"/>
        </w:rPr>
        <w:t>，</w:t>
      </w:r>
      <w:r>
        <w:rPr>
          <w:rFonts w:ascii="宋体" w:eastAsia="宋体" w:hAnsi="宋体" w:hint="eastAsia"/>
          <w:b/>
          <w:szCs w:val="21"/>
        </w:rPr>
        <w:t>情景交融</w:t>
      </w:r>
      <w:r>
        <w:rPr>
          <w:rFonts w:ascii="宋体" w:eastAsia="宋体" w:hAnsi="宋体"/>
          <w:b/>
          <w:szCs w:val="21"/>
        </w:rPr>
        <w:t>，“寂寞”者究竟是梧桐还是作者，已无法．也无须分辨，情与景已妙合无垠。</w:t>
      </w:r>
      <w:r>
        <w:rPr>
          <w:rFonts w:ascii="宋体" w:eastAsia="宋体" w:hAnsi="宋体" w:hint="eastAsia"/>
          <w:b/>
          <w:szCs w:val="21"/>
        </w:rPr>
        <w:t xml:space="preserve"> “无言独上西楼”的诗人，举头见“如钩”的残月，触景生情，万千悲绪，悲凉之极。 </w:t>
      </w: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三．文言文阅读（15分）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1．豪放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2．① 师：（以</w:t>
      </w:r>
      <w:r>
        <w:rPr>
          <w:rFonts w:ascii="宋体" w:eastAsia="宋体" w:hAnsi="宋体"/>
          <w:b/>
          <w:szCs w:val="21"/>
        </w:rPr>
        <w:t>……</w:t>
      </w:r>
      <w:r>
        <w:rPr>
          <w:rFonts w:ascii="宋体" w:eastAsia="宋体" w:hAnsi="宋体" w:hint="eastAsia"/>
          <w:b/>
          <w:szCs w:val="21"/>
        </w:rPr>
        <w:t>师）        ②南  ( 向南  )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③节制  ( 制约．管理  )   ④谋  （谋划）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3．B （A“以”前者是“用．拿”后者“因为”B“为“都是“担任”C“于”前者“在”后者是“对．表对象”D“之”前者代词“他”后者是“这样的事”。）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4．C（省略成分应该是“辛弃疾”）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5．京令弃疾奉表归宋/高宗劳师建康/召见/嘉纳之/授承务郎/天平节度掌书记/并以节使印告召京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四．现代文阅读（10分）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1．但   纵使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2．思想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 xml:space="preserve">3．对比论证法 把宇宙这个庞然大物与苇草般的“人”对比，突出人能思想的伟大。 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4．如：“好好地思想。这就是道德的准则。”好好思想才能成其为人，称其人的伟大，否则就不合乎做人的道德。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四．语言表达（9分）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1．理由充分即可，能够利用对比论证．比喻论证．举例论证更好。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2．写出自己看法即可，关键注重语言表达的流畅和思想的深度。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 xml:space="preserve">五．作文（50分） 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略。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第Ⅱ卷  (附加题 共50分)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1．允许学生可以个性解读，答案参考：洒脱．豁达的人生态度 例：《定风波》回首向来萧瑟处，归去，也无风雨也无晴。</w:t>
      </w:r>
    </w:p>
    <w:p>
      <w:pPr>
        <w:rPr>
          <w:rFonts w:ascii="宋体" w:eastAsia="宋体" w:hAnsi="宋体" w:hint="eastAsia"/>
          <w:b/>
          <w:szCs w:val="21"/>
        </w:rPr>
        <w:sectPr>
          <w:headerReference w:type="default" r:id="rId9"/>
          <w:type w:val="nextPage"/>
          <w:pgSz w:w="11900" w:h="16840"/>
          <w:pgMar w:top="1440" w:right="1800" w:bottom="1440" w:left="1800" w:header="567" w:footer="992" w:gutter="0"/>
          <w:pgNumType w:start="3"/>
          <w:cols w:num="1" w:space="425"/>
          <w:titlePg w:val="0"/>
          <w:docGrid w:type="lines" w:linePitch="326" w:charSpace="0"/>
        </w:sectPr>
      </w:pPr>
      <w:r>
        <w:rPr>
          <w:rFonts w:ascii="宋体" w:eastAsia="宋体" w:hAnsi="宋体" w:hint="eastAsia"/>
          <w:b/>
          <w:szCs w:val="21"/>
        </w:rPr>
        <w:t>2．允许学生个性解读 答案参考：壮阔美 例：大江东去，浪淘尽，千古风流人物 解析：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/>
          <w:b/>
          <w:szCs w:val="21"/>
        </w:rPr>
        <w:t>开篇即景抒情，时越古今，地跨万里，把倾注不尽的大江与名高累世的历史人物联系起来，布置了一个极为广阔而悠久的空间．时间背景。它既使人看到大江的汹涌奔腾，又使人想见风流人物的卓荦气概，并将读者带入历史的沉思之中，唤起人们对人生的思索，气势恢宏，笔大如橼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3．关键词：教育公平化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4．提倡学生个性表达。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五．现代文阅读(20分)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1．好的书籍可以使人的心灵受到震撼，感人的诗句会令人热血沸腾。（本题从语句本身来理解就是好诗，让人激动。结合文章来理解就是好的文章，从精神上可以鼓舞人。）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．（1）①好书是生命的最佳归宿，精华尽在其中。一个人读好书，他的一生便是思想的一生。②好书是金玉良言与思想光华之总成，令人感铭于心，爱不忍释。③当诱惑袭来，好书可以产生高尚纯美的思想，一扫杂念，守护心灵。④好书中的良言善语常会激发出畅举嘉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行。所以欲知其人，常可观其所读之书。（2）书籍将我们引入到一个高尚的社会，在那里，历代圣人贤士群聚，仿佛与我们同处一堂，心心相印，欢悦与共，悲哀同历。（重点是思想，金玉良言，守护心灵，激发出畅举嘉行，悲哀同历。答案就在文章第5和第6</w:t>
      </w:r>
      <w:r>
        <w:rPr>
          <w:rFonts w:ascii="宋体" w:eastAsia="宋体" w:hAnsi="宋体"/>
          <w:b/>
          <w:szCs w:val="21"/>
        </w:rPr>
        <w:t xml:space="preserve"> </w:t>
      </w:r>
      <w:r>
        <w:rPr>
          <w:rFonts w:ascii="宋体" w:eastAsia="宋体" w:hAnsi="宋体" w:hint="eastAsia"/>
          <w:b/>
          <w:szCs w:val="21"/>
        </w:rPr>
        <w:t>两节中，也就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是说对文句的理解要结合上下文，概括总结。）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3．①书籍具有不朽的本质，在人类所有的奋斗中，惟有书籍最能经受岁月的磨蚀。②经典书籍中伟大的思想能挣脱时光的束缚，直到今天仍新颖如故，熠熠生辉。③书籍记载其精华而远播天下，永成佳音。（</w:t>
      </w:r>
      <w:r>
        <w:rPr>
          <w:rFonts w:ascii="宋体" w:eastAsia="宋体" w:hAnsi="宋体"/>
          <w:b/>
          <w:szCs w:val="21"/>
        </w:rPr>
        <w:t xml:space="preserve"> </w:t>
      </w:r>
      <w:r>
        <w:rPr>
          <w:rFonts w:ascii="宋体" w:eastAsia="宋体" w:hAnsi="宋体" w:hint="eastAsia"/>
          <w:b/>
          <w:szCs w:val="21"/>
        </w:rPr>
        <w:t>要点：经受岁月的磨蚀，伟大的思想能挣脱时光的束缚，远播天下，永成佳音。本题答案就在文章第6和第8两节中，理解时要结合上下文。）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4．AB（C项因果关系不成立，D项语气太肯定，E项理解太表面化，只有AB两项符合文章的意思。）</w:t>
      </w:r>
    </w:p>
    <w:p>
      <w:pPr>
        <w:rPr>
          <w:rFonts w:ascii="宋体" w:eastAsia="宋体" w:hAnsi="宋体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  <w:sectPr>
          <w:headerReference w:type="default" r:id="rId10"/>
          <w:type w:val="nextPage"/>
          <w:pgSz w:w="11900" w:h="16840"/>
          <w:pgMar w:top="1440" w:right="1800" w:bottom="1440" w:left="1800" w:header="567" w:footer="992" w:gutter="0"/>
          <w:pgNumType w:start="4"/>
          <w:cols w:num="1" w:space="425"/>
          <w:titlePg w:val="0"/>
          <w:docGrid w:type="lines" w:linePitch="326" w:charSpace="0"/>
        </w:sect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必修四期末综合试题三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1、C（原文是说“其中敬畏之心，是相对于现代动物伦理所独有的精神特质”，不包括爱惜、同情。）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2、C（“否定了动物天生作为食物”是宋儒程颐的观点。）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3、D（古代中国人的敬畏心态面对的是“祥瑞动物”，而不是“动物”。）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4、D、（病：使动用法，使……为难）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5、A（A、因：就，于是；B、乃：才，副词/竟，副词；C、以：介词，因/表目的连词“来”；D、于：介词，在/介词，对于。）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6、B（韩愈因反对不事师的坏风气，抗颜为师，而遭到笑骂攻击，以至被逼得不能安其位。字里行间，渗透着作者深切的同情。也说明师道之衰，自己不敢为师的社会原因。）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7、（1）承蒙您来信说，想要认我做老师。我的道德修养不深，学识非常浅薄，从各方面审察自己，没有值得师法学习的地方。（2）如今韩愈已经把自己当作蜀地的太阳，而您又想使我成为越地的雪，这不是要为难我吗？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8、写的是春末夏初的景色。上片写景为下片服务，让人充满着大好时光春去也的感。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9、行人多情，佳人无情。包含着人与物、主观与客观的两者之间的辩证关系。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  <w:lang w:val="en-GB"/>
        </w:rPr>
        <w:t>10、（1）</w:t>
      </w:r>
      <w:r>
        <w:rPr>
          <w:rFonts w:ascii="宋体" w:eastAsia="宋体" w:hAnsi="宋体" w:hint="eastAsia"/>
          <w:b/>
          <w:szCs w:val="21"/>
        </w:rPr>
        <w:t>竟无语凝噎   暮霭沉沉楚天阔（2）乱石穿空</w:t>
      </w:r>
      <w:r>
        <w:rPr>
          <w:rFonts w:ascii="宋体" w:eastAsia="宋体" w:hAnsi="宋体"/>
          <w:b/>
          <w:szCs w:val="21"/>
        </w:rPr>
        <w:t xml:space="preserve">   </w:t>
      </w:r>
      <w:r>
        <w:rPr>
          <w:rFonts w:ascii="宋体" w:eastAsia="宋体" w:hAnsi="宋体" w:hint="eastAsia"/>
          <w:b/>
          <w:szCs w:val="21"/>
        </w:rPr>
        <w:t>一时多少豪杰（3）</w:t>
      </w:r>
      <w:r>
        <w:rPr>
          <w:rFonts w:ascii="宋体" w:eastAsia="宋体" w:hAnsi="宋体" w:hint="eastAsia"/>
          <w:b/>
          <w:bCs/>
          <w:szCs w:val="21"/>
        </w:rPr>
        <w:t>金戈铁马  气吞万里如虎</w:t>
      </w:r>
      <w:r>
        <w:rPr>
          <w:rFonts w:ascii="宋体" w:eastAsia="宋体" w:hAnsi="宋体" w:hint="eastAsia"/>
          <w:b/>
          <w:szCs w:val="21"/>
        </w:rPr>
        <w:tab/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11、（1）BD（A、不全面，顶住将要滑下悬崖的汽车献出了自己的生命这一关键情节给漏掉了。C、情节跌宕起伏不恰当。E、“对年轻战士献出了自己生命的惋惜”不恰当。）（2）第一处：“暴风雪呼啸得更加狂怒”；第二处：“狂风像一把巨大的扫帚，将下坡的雪一片片扫向悬崖谷底。作用：①推动情节发展。第一处描写是为故事的发展“蓄势”。 第二处推动情节发展、逐步将故事引向高潮。②有利于塑造人物形象。文中的“风雪”描写为人物活动所设置环境，有利于表现“大兵” 舍己为人的牺牲精神。（3）大兵意识到自己被冻掉双脚的危险，可他考虑到半瓶酒可以为大伙换来些许温暖，抵御风寒，便不再顾及自己了。（4）“大兵”是一位舍己为人，敢于献出年轻生命的可歌可泣的英雄形象。表现方法：①紧扣情节突出人物形象。如客车被困，“大兵”把自己的御寒之物都一件件献给了最需要的人；如为了顶住将要滑下悬崖的汽车献出了自己的生命。②对比。用200元买“大兵”大头鞋等人的行为与“大兵”温暖众人的做法对比，反衬“大兵”其精神和人格的伟大。</w:t>
      </w:r>
    </w:p>
    <w:p>
      <w:pPr>
        <w:rPr>
          <w:rFonts w:ascii="宋体" w:eastAsia="宋体" w:hAnsi="宋体" w:hint="eastAsia"/>
          <w:b/>
          <w:szCs w:val="21"/>
        </w:rPr>
        <w:sectPr>
          <w:headerReference w:type="default" r:id="rId11"/>
          <w:type w:val="nextPage"/>
          <w:pgSz w:w="11900" w:h="16840"/>
          <w:pgMar w:top="1440" w:right="1800" w:bottom="1440" w:left="1800" w:header="567" w:footer="992" w:gutter="0"/>
          <w:pgNumType w:start="5"/>
          <w:cols w:num="1" w:space="425"/>
          <w:titlePg w:val="0"/>
          <w:docGrid w:type="lines" w:linePitch="326" w:charSpace="0"/>
        </w:sectPr>
      </w:pP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12、（1）AC（B、“讽刺的笔调”不恰当，应为“抒情的笔调和浪漫的风格”。D、“还大量吸收外来词汇”原文无此信息。E、前后不能构成因果关系。）（2）莎士比亚有丰富的人生阅历，他的创作以现实生活为基础，运用浪漫主义的创作手法，从结构到思想，从方法到语言，无处不洋溢着天才的想象力。他常常以诗人般的激情，抒情的笔调和浪漫的风格，歌颂人文主义者理想中的社会和人际关系。（3）三条线索：哈姆莱特为父被谋杀篡权复仇；雷欧提斯为被哈姆莱特无意杀死的父亲波洛涅斯复仇；福丁布拉斯为其在战场上比武丧生的父亲复仇。三条线索以哈姆莱特的复仇为主线，其它两条为副线，交错发展，而又主次分明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（4）①塑造了许多个性鲜明、性格复杂的人物形象。②许多人物的性格还是发展、变化的。③莎士比亚运用各种方法去刻画、塑造人物，内心独白是其中最重要的一种。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13、A（A、望其项背：意思是能看见他人的脖子和后背，表示赶得上或比得上。B、“不容置喙”的意思是不容许插嘴。“不容置喙”可以改为“不容置疑”。“不容置疑”意思是不容许有什么怀疑，一般用来强调事实清楚、道理正确。C、“耳闻目睹”不恰当，应该用“耳濡目染”。二者都有“耳听眼看”的意思。但耳闻目睹强调亲自看到亲自听到，突出其真实性。耳濡目染则强调经常看到听到并不知不觉地受到深刻的影响。 D、耸人听闻：指故意夸大或捏造事实使人震惊。用在这里不恰当，可改为“骇人听闻”：使人听了非常吃惊、害怕。）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14、C（A、语序不当，应改为“第九届中国（北京）国际园林博览会”。B、最后一个分句少主语，在“成为代表委员们热议的话题”前加上“雾霾”一词。D、成分赘余，去掉句子末尾的“这部《赵氏孤儿案》”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15、B．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16、品味苏轼“大江东去，浪淘尽，千古风流人物”的胸怀与气度。品味辛弃疾“想当年，金戈铁马，气吞万里如虎”的豪放与悲壮。品味李清照“寻寻觅觅，冷冷清清，凄凄惨惨戚戚”的凄凉与悲怆。品味李商隐“此情可待成追忆，只是当时已惘然”的惆怅与迷茫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17、（1）雷雨震荡，埋葬了旧中国一个错乱的时代；曹禺先生的话剧《雷雨》，是现代话剧的巅峰之作。（2）旧中国的雷雨令我们震撼。让我们走出雷雨，穿越时空，去欣赏传统戏剧中的精品《窦娥冤》。（3）悲剧精品《窦娥冤》向我们展示了一位精神高尚的善良女性窦娥被毁灭的过程。让我们走出悲剧，跨越国度，去欣赏英国文艺复兴时期伟大的戏剧家莎士比亚的《哈姆莱特》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18、【思路点拨】可以选择其中一个或几个人物的事迹，确立一个论点，写一篇议论文。在论证过程中，要运用事实论证和道理论证的方法，使文章更具说服力。参考话题：信念；感动；奉献；敬业；坚守；人性之美；精神脊梁。</w:t>
      </w: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译文：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二十一日，宗元启：承蒙您来信说，想要认我做老师。我的道德修养不深，学识非常浅薄，从各方面审察自己，没有值得师法学习的地方。虽然经常喜欢发些议论，写点文章，但我自己很不以为都是正确的。没有想到您从京城来到偏远的永州，竟幸运地被您取法。我自估量本来就没有什么可取的东西；即使有可取的，也不敢做别人的老师。做一般人的老师尚且不敢，更何况敢做您的老师呢？ 　　</w:t>
      </w:r>
    </w:p>
    <w:p>
      <w:pPr>
        <w:rPr>
          <w:rFonts w:ascii="宋体" w:eastAsia="宋体" w:hAnsi="宋体" w:hint="eastAsia"/>
          <w:b/>
          <w:szCs w:val="21"/>
        </w:rPr>
        <w:sectPr>
          <w:headerReference w:type="default" r:id="rId12"/>
          <w:type w:val="nextPage"/>
          <w:pgSz w:w="11900" w:h="16840"/>
          <w:pgMar w:top="1440" w:right="1800" w:bottom="1440" w:left="1800" w:header="567" w:footer="992" w:gutter="0"/>
          <w:pgNumType w:start="6"/>
          <w:cols w:num="1" w:space="425"/>
          <w:titlePg w:val="0"/>
          <w:docGrid w:type="lines" w:linePitch="326" w:charSpace="0"/>
        </w:sectPr>
      </w:pP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孟子说，“人们的毛病，在于喜欢充当别人的老师。”从魏、晋以来，人们更加不尊奉老师。在当今的时代，没听说还有老师；如果有，人们就会哗然讥笑他，把他看作狂人。只有韩愈奋然不顾时俗，冒着人们的嘲笑侮辱，招收后辈学生，写作《师说》，就严正不屈地当起老师来。世人果然都感到惊怪，相聚咒骂，对他指指点点使眼色，相互拉拉扯扯示意，而且大肆渲染地编造谣言来攻击他。韩愈因此得到了狂人的名声。他住在长安，煮饭都来不及煮熟，又被外放而匆匆忙忙地向东奔去。像这样的情况有好几次了。</w:t>
      </w:r>
      <w:r>
        <w:rPr>
          <w:rFonts w:ascii="宋体" w:eastAsia="宋体" w:hAnsi="宋体" w:hint="eastAsia"/>
          <w:b/>
          <w:szCs w:val="21"/>
        </w:rPr>
        <w:t xml:space="preserve"> 　　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屈原的赋里说：“城镇中的狗成群地乱叫，叫的是它们感到奇怪的东西。”我过去听说庸、蜀的南边，经常下雨，很少出太阳，太阳一出来就会引起狗叫。我以为这是过分夸大的话。六七年前，我来到南方。元和二年的冬天，幸好下大雪，越过了五岭，覆盖了南越的几个州；这几个州的狗，都惊慌地叫着咬着，疯狂奔跑了好几天，直到没有雪了才静止下来，这以后我才相信过去所听说的话。如今韩愈已经把自己当作蜀地的太阳，而您又想使我成为越地的雪，这不是要为难我吗？不仅我会感到为难，也会使你感到为难。然而雪和太阳难道有罪过吗？只不过感到惊怪而狂叫的是狗罢了。试想当今天下见到奇异的事情不象狗那样乱叫的能有几个人，因而谁又敢在众人眼前显出自己与众不同，来招惹人们的喧闹和恼怒呢？</w:t>
      </w: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/>
          <w:b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/>
          <w:b/>
          <w:bCs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必修五期末综合试题一</w:t>
      </w: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参考答案</w:t>
      </w:r>
    </w:p>
    <w:p>
      <w:pPr>
        <w:numPr>
          <w:ilvl w:val="0"/>
          <w:numId w:val="5"/>
        </w:num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A</w:t>
      </w:r>
    </w:p>
    <w:p>
      <w:pPr>
        <w:numPr>
          <w:ilvl w:val="0"/>
          <w:numId w:val="5"/>
        </w:numPr>
        <w:rPr>
          <w:rFonts w:ascii="宋体" w:eastAsia="宋体" w:hAnsi="宋体" w:hint="eastAsia"/>
          <w:b/>
          <w:bCs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C(装—妆  义—仪  苍—沧)</w:t>
      </w:r>
    </w:p>
    <w:p>
      <w:pPr>
        <w:numPr>
          <w:ilvl w:val="0"/>
          <w:numId w:val="5"/>
        </w:numPr>
        <w:rPr>
          <w:rFonts w:ascii="宋体" w:eastAsia="宋体" w:hAnsi="宋体" w:hint="eastAsia"/>
          <w:b/>
          <w:bCs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D （“波澜壮阔”比喻气势浩大，多用于诗文，群众运动，不能形容情感激荡。）</w:t>
      </w:r>
    </w:p>
    <w:p>
      <w:pPr>
        <w:numPr>
          <w:ilvl w:val="0"/>
          <w:numId w:val="5"/>
        </w:num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A</w:t>
      </w:r>
    </w:p>
    <w:p>
      <w:pPr>
        <w:numPr>
          <w:ilvl w:val="0"/>
          <w:numId w:val="5"/>
        </w:num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C</w:t>
      </w:r>
    </w:p>
    <w:p>
      <w:pPr>
        <w:rPr>
          <w:rFonts w:ascii="宋体" w:eastAsia="宋体" w:hAnsi="宋体" w:hint="eastAsia"/>
          <w:b/>
          <w:szCs w:val="21"/>
        </w:rPr>
        <w:sectPr>
          <w:headerReference w:type="default" r:id="rId13"/>
          <w:type w:val="nextPage"/>
          <w:pgSz w:w="11900" w:h="16840"/>
          <w:pgMar w:top="1440" w:right="1800" w:bottom="1440" w:left="1800" w:header="567" w:footer="992" w:gutter="0"/>
          <w:pgNumType w:start="7"/>
          <w:cols w:num="1" w:space="425"/>
          <w:titlePg w:val="0"/>
          <w:docGrid w:type="lines" w:linePitch="326" w:charSpace="0"/>
        </w:sectPr>
      </w:pPr>
      <w:r>
        <w:rPr>
          <w:rFonts w:ascii="宋体" w:eastAsia="宋体" w:hAnsi="宋体" w:hint="eastAsia"/>
          <w:b/>
          <w:bCs/>
          <w:szCs w:val="21"/>
        </w:rPr>
        <w:t>6、木欣欣以向荣，泉涓涓而始流；落霞与孤鹜齐飞；茕茕孑立，形影相吊；日薄西山，气息奄奄</w:t>
      </w:r>
    </w:p>
    <w:p>
      <w:pPr>
        <w:numPr>
          <w:ilvl w:val="0"/>
          <w:numId w:val="2"/>
        </w:num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众人：一般人；且：将要；劝：奋勉；待：依靠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8、D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 xml:space="preserve">9、A </w:t>
      </w:r>
    </w:p>
    <w:p>
      <w:pPr>
        <w:rPr>
          <w:rFonts w:ascii="宋体" w:eastAsia="宋体" w:hAnsi="宋体" w:hint="eastAsia"/>
          <w:b/>
          <w:bCs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 xml:space="preserve"> 10、D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 xml:space="preserve"> 11、因此那些才智能胜任一官之职，善行能联合一乡的人，品德可使一位君主满意，能力使一国的人信人的人，他们看待自己，也像这只小鸟一样。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 xml:space="preserve"> 12、⑴明显而确实   ⑵变化莫测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 xml:space="preserve"> 13、把直指的意义比作：月轮；把联想的意义比作：轮外圆晕，晕外霞光；作用：生动形象贴切地表现了字的直指意义和联想意义的特征，化抽象为具体，使人易于理解，且增添了文章的文学色彩。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 xml:space="preserve"> 14、中心是：无论是阅读或写作，字的难处在意义的确定与控制。论证方法有：例证法，引证法，比喻论证等。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 xml:space="preserve"> 15、C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16、选择永远敞开的门可以让自己的人生成为坦途，而选择那扇关着的门，可能会给自己的人生带来遗憾。（2分）意在惋惜王勃没能一心为文，去敲了那扇不属于自己的官宦之门，误入官场，触怒龙颜，终至留下落泊溺水而死的遗憾。（2分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17．怀才不遇，在迷茫中放纵文字；不甘寂寞，仕途中遭受重大挫折；溺水而亡，过早结束了人生。（每点2分，共6分）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18. （1）王勃曾在滕王阁抒写才情，写就了《滕王阁序》，使滕王阁名闻天下。（1分）文章写“流泪的滕王阁”实际是在写自己为王勃的际遇而感伤流泪。（1分）（2）作者借滕王阁上凭吊王勃，描写了王勃当年在滕王阁上写诗作赋的昂扬奋发的精神，既高度肯定了他在文学史上的贡献，同时又表达了对王勃难言的遗憾与伤痛，慨叹王勃不该去敲那扇不属于自己的官宦之门，而应在文学的殿堂里挥洒自己的才情，抒发了对王勃的千古之思。（3分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19、表达交流（略）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附加题：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1、①元宵节 ②七夕节 ③重阳节 ④春节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2、庚辰年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3、中国公民将以游客身份入场雅典奥运会。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4、“只恐夜深花睡去，故烧高烛照红妆”被誉为“造语之奇，构思之巧”，“奇”在古人常常以人喻花，而作者却以花喻人且兼用移情手法。在诗人的想象里，海棠花也和人一样，会在深夜睡去，因此，特地点燃高烛，使海棠打起精神，真是痴语。同时，也化用了李商隐的“客散酒醒深夜后，更持红烛照残酒”，却无斧凿之迹。故这首绝句流传千古。</w:t>
      </w: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/>
          <w:b/>
          <w:szCs w:val="21"/>
        </w:rPr>
        <w:sectPr>
          <w:headerReference w:type="default" r:id="rId14"/>
          <w:type w:val="nextPage"/>
          <w:pgSz w:w="11900" w:h="16840"/>
          <w:pgMar w:top="1440" w:right="1800" w:bottom="1440" w:left="1800" w:header="567" w:footer="992" w:gutter="0"/>
          <w:pgNumType w:start="8"/>
          <w:cols w:num="1" w:space="425"/>
          <w:titlePg w:val="0"/>
          <w:docGrid w:type="lines" w:linePitch="326" w:charSpace="0"/>
        </w:sectPr>
      </w:pPr>
      <w:r>
        <w:rPr>
          <w:rFonts w:ascii="宋体" w:eastAsia="宋体" w:hAnsi="宋体" w:hint="eastAsia"/>
          <w:b/>
          <w:szCs w:val="21"/>
        </w:rPr>
        <w:t>必修五期末综合试题二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1．C（A中“浃”应读“jiā”；中“轴”应读“zhòu”，“寥”应读“liáo”，“哑”应读“yā”；C中“症”应读“zhèng”，“应”应读“yīng”，“殷”应读“yīn”，“累”应读“lěi”；D无错误。）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2、B（A中“孰不知”应为“殊不知”，“心心相映”应为“心心相印”；C中“过度房”应为“过渡房”，“合盘托出” 应为“和盘托出”；D中的“睽违” 应为“暌违”，“开源截流”应为“开源节流”。）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3．A            4．D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5．C（无独有偶：虽然罕见，但是不止一个，还有一个可以成对（多用于贬义）。挡箭牌：盾牌，比喻推脱或掩饰的借口。不忍卒读：不忍心读完多形容文章悲惨动人。拍手称快：拍着手喊痛快，多指仇恨得到消除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6．D（A中“景德镇陶瓷”应改为“景德镇制瓷”，“首批” 应调整到“国家级”的前面。B中搭配不当，“山东大嫚”的后面应加上“的典型特征”；C中关联词语位置不当，“虽然”应调至“内容”的前面。）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7．D  8．C       9．B（“现、当代”有误，应是“近、现代”）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10、D（“形式上”与“意义上”应对调。）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11．（1）把世上其他说书人的耳朵摘下来，使他们仔细听柳敬亭说书，恐怕都会惊叹得咬舌死去呢！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（2）但是他口齿灵利，眼神流动，衣服雅静，简直与王月生一样地美好，所以他们的声价正好相等。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12、 D（戴进的真迹）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13．C（A项①中“且”：副词，将要；②中“且”：副词，况且。B项①中“为”：动词，做；②中“为”：动词，成为。C项中“于”，都是介词，在，到。D项①中“而”：连词，可是；②中“而”：连词，表示假设或顺承。）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 xml:space="preserve">14.①戴进学画前做锻工时“瘁心力” “为人物花鸟，肖状精奇，直倍常工” （竭尽心力）； 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 xml:space="preserve">②及时地将自己的心智从“巧托诸金”转移到“命意不朽”的“徙智于缣素” （技艺调整）； 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③把技艺从“徒得糈”（养家糊口），提升到“托此不朽吾名” （追求高远）；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④戴进在绘画上从不容易达到的 “著红” 入手，“独得古法入妙”， 学画名高一时（技取独到）；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⑤戴进在绘画上“画疏而能密，著笔澹远，其画人尤佳”（技法独步）。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15．如从选取典型材料、人生重大（事件）遭际，以小见大、烘托对比手法塑造人物形象；写作手法上的语言描写、白描手法等等。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参考译文：</w:t>
      </w:r>
    </w:p>
    <w:p>
      <w:pPr>
        <w:rPr>
          <w:rFonts w:ascii="宋体" w:eastAsia="宋体" w:hAnsi="宋体" w:hint="eastAsia"/>
          <w:b/>
          <w:szCs w:val="21"/>
        </w:rPr>
        <w:sectPr>
          <w:headerReference w:type="default" r:id="rId15"/>
          <w:type w:val="nextPage"/>
          <w:pgSz w:w="11900" w:h="16840"/>
          <w:pgMar w:top="1440" w:right="1800" w:bottom="1440" w:left="1800" w:header="567" w:footer="992" w:gutter="0"/>
          <w:pgNumType w:start="9"/>
          <w:cols w:num="1" w:space="425"/>
          <w:titlePg w:val="0"/>
          <w:docGrid w:type="lines" w:linePitch="326" w:charSpace="0"/>
        </w:sectPr>
      </w:pPr>
      <w:r>
        <w:rPr>
          <w:rFonts w:ascii="宋体" w:eastAsia="宋体" w:hAnsi="宋体" w:hint="eastAsia"/>
          <w:b/>
          <w:szCs w:val="21"/>
        </w:rPr>
        <w:t>明代画家以戴进为第一名。戴进，字文进，杭州人。明宣宗喜欢绘画，他绘制的画充分发挥了上天赐予他的才能。当时，他身边的待诏有谢廷循、倪端、石锐、李在，都有名气。戴进入京城，画家们妒忌他。一天，在仁智殿呈画给皇上，戴进呈上的是《秋江独钓图》，画中人穿着红袍在水边垂钓。绘画唯有红颜色不易著，戴进独自得到古法的妙处。明宣宗观赏它。谢廷循在旁边跪下对皇帝说：“戴进的画非常美，只是赤红色是朝廷高级官员的服色，怎么让钓鱼人穿红袍呢？”宣宗点头赞同，于是就用手一挥不再看戴进其余的画。所以戴进住在京师，十分穷苦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戴进原先是首饰匠，他锻制的人物花鸟，模拟得形神毕肖十分精奇，其价值超过一般锻工制品的一倍。戴进自己很得意，以为人们一定十分看重而把它们当作宝贝流传下去。一天，在集市的熔金人那里，看到的首饰，就是戴进打制的，顿时感到悲伤失意。回来他对人说：“我耗尽了心血制作了这些东西，哪里仅仅为了换饭吃呢？心想借首饰使我的名字不朽啊。如今他们销毁我制造的首饰一点不爱惜，这种手艺不值得再做下去了。今后我将干什么工作才行呢？”人们对他说：“你那巧妙的技术放在金银首饰上，首饰只供世人把玩及小孩妇女装饰而已。他们只沉溺于首饰的辉煌光亮，哪里了解制作人的辛苦？你若能把手艺移以素绢上作画，这样一定能流传下去的。”戴进非常高兴，就学画画，当时名声很高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然而戴进命运不好，虽然得到待诏的官位，但前途坎坷不平没有得到皇帝的恩遇。他的画在疏淡的几笔中能细致的描摩事物，用笔清淡幽深。他画人物尤其美，他的真迹也很少看见了。我钦佩戴进，一个首饰匠，却立下不朽志向，最终出了名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16．（1）①节中夸张、比喻：阿尔的太阳狠刺……是一个螺旋形的、柠檬黄液体的火球”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（2）②节中比喻、拟人：犹如泥水匠……瞌睡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（3）③节中拟物：像山羊似地在……一直跳到顶层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（4）④节中比喻：脚底下的市镇，像一条万花筒似的瀑布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17．参考《导学练91页题目以及答案》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18．引陆游诗句的作用在于借陆游的愤怒揭示了当时的社会现实，交代了李清照生活的社会背景；引王维的诗句在于赞美李清照如“松间明月”“石上清泉”般的超俗人格。 (考查分析文章写作手法与表达方式)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19．李清照的“美”体现在：①追求民族气节和政治立场上的坚定；②追求人格的超俗；③化愁为美，创造了让人们永远享受不尽的词作珍品。 ( 考查筛选信息、归纳要点)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20．在封建社会，作为女人，她们依附于男人而存在，没有独立的社会地位；作为一个知识分子，她又处在社会思想的制高点，她看到了许多别人看不到的事情，追求着许多别人不追求的境界。正由于这两方面的矛盾，她只能生活在孤独与悲哀之中，这就是李清照的悲剧。 (考查理解文章的含义)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21． （１）如《雨霖铃》或“多情自古伤别离”；《》。无数的词人诗人，写着无数的离情闺怨的诗词（２）赞同：①在写作的主题上，离情闺怨类诗词写的都是男女相思；李清照的词作往往表现的是女词人在国难当头的困境里的愁思。②在诗词的格调上，离情闺怨类诗词表现的都是狭隘的个人愁绪；李清照的诗词往往表现出关心国家兴亡，坚守操守的大志。③在艺术风格上，离情闺怨类诗词往往滥用感情，手法粗劣；李清照的诗词含蓄蕴藉，给人以美的享受。</w:t>
      </w:r>
    </w:p>
    <w:p>
      <w:pPr>
        <w:rPr>
          <w:rFonts w:ascii="宋体" w:eastAsia="宋体" w:hAnsi="宋体" w:hint="eastAsia"/>
          <w:b/>
          <w:szCs w:val="21"/>
        </w:rPr>
        <w:sectPr>
          <w:headerReference w:type="default" r:id="rId16"/>
          <w:type w:val="nextPage"/>
          <w:pgSz w:w="11900" w:h="16840"/>
          <w:pgMar w:top="1440" w:right="1800" w:bottom="1440" w:left="1800" w:header="567" w:footer="992" w:gutter="0"/>
          <w:pgNumType w:start="10"/>
          <w:cols w:num="1" w:space="425"/>
          <w:titlePg w:val="0"/>
          <w:docGrid w:type="lines" w:linePitch="326" w:charSpace="0"/>
        </w:sectPr>
      </w:pPr>
      <w:r>
        <w:rPr>
          <w:rFonts w:ascii="宋体" w:eastAsia="宋体" w:hAnsi="宋体" w:hint="eastAsia"/>
          <w:b/>
          <w:szCs w:val="21"/>
        </w:rPr>
        <w:t>不赞同：①“无数”“粪土”等说法太绝对；②高于或相当于李诗者不乏其人，例如柳永等：③诗作风格、内容等应该丰富多彩，不拘一格。(谈出两点理由，且角度不重复，言之成理即可。每点2分。考查鉴赏与评价人物形象及作品含义)22【句式变换】(4分)  参考答案：长城既不是自然的地貌形态，也不是人类的聚落和交通线，但无论是绘制人文政治地图，还是绘制环境资源地图，都习惯地标上它。长城已成为中国“底图”上的一种“基本”的东西。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 评分标准：以“长城”开头，得1分；原句信息保留准确，得1分；内在逻辑关系合理，如“既不是……也不是”、“但……”，得1分；语言表达准确、通顺，得1分。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 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23．陶渊明既有静穆悠然的《归园田居》，也有激昂强烈的《读山海经》；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李清照既有凄婉清丽的《声声慢》，也有雄浑奔放的《夏日绝句》：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苏轼既有豪放旷达的《念奴娇》，也有缠绵婉约的《江城子》。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岳飞既有慷慨激昂的《满江红》，也有蕴藉婉约的《小重山》。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24．（1）“兴来每独往，胜事自知” 中“独往”，写出诗人的勃勃兴致；下一句“自知”，又写出诗人欣赏美景时的乐趣。诗人同调无多，兴致来时，惟有独游，赏景怡情，能自得其乐，随处若有所得，不求人知，自己心会其趣而已。一个“空”字透露出来的不是消极、悲观、失望之情，而是那种自得其乐的闲情逸致。可谓“空”字不空、词“空”意丰。</w:t>
      </w: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（2）“行到水穷处，坐看云起时”是说随意而行，走到哪里算哪里，然而不知不觉，竟来到流水的尽头，看是无路可走了，于是索性就地坐了下来，是心情悠闲到极点的表示。云给人以悠闲的感觉，也给人以无心的印象。通过这一行、一到、一坐、一看的描写，诗人此时心境的闲适也就明白揭出了。此二句深为后代诗家赞赏。俞陛云在是很有见地的。再从艺术上看，这二句诗真是诗中有画，天然便是一幅山水画。毋怪《宣和画谱》指出：“‘行到水穷处，坐看云起时’及‘白云回望合，青霭入看无’之类，以其句法，皆所画也。”诗句有随遇而安的理趣。</w:t>
      </w: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/>
          <w:b/>
          <w:bCs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必修五期末综合试题三</w:t>
      </w: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numPr>
          <w:ilvl w:val="0"/>
          <w:numId w:val="3"/>
        </w:numPr>
        <w:rPr>
          <w:rFonts w:ascii="宋体" w:eastAsia="宋体" w:hAnsi="宋体" w:hint="eastAsia"/>
          <w:b/>
          <w:bCs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现化文阅读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1</w:t>
      </w:r>
      <w:r>
        <w:rPr>
          <w:rFonts w:ascii="宋体" w:eastAsia="宋体" w:hAnsi="宋体"/>
          <w:b/>
          <w:szCs w:val="21"/>
        </w:rPr>
        <w:t>解析:A项,“陶瓷雕塑是纯写实的艺术”表述有误,由原文第三段可知,写实仅仅是其经历的一个阶段,以偏概全,理解错误。B项,由第四段可知,二者的审美本质是共同的,而不是“有许多相同之处”。D项,“但与单个形象的塑造还是有一定差距的”,原文未提及。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答案:C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2</w:t>
      </w:r>
      <w:r>
        <w:rPr>
          <w:rFonts w:ascii="宋体" w:eastAsia="宋体" w:hAnsi="宋体"/>
          <w:b/>
          <w:szCs w:val="21"/>
        </w:rPr>
        <w:t>解析:D项,“固定的死板的艺术”有误,原文第六段只是说“瓷器表现的只是一个瞬间性的艺术形象”。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答案:D</w:t>
      </w:r>
    </w:p>
    <w:p>
      <w:pPr>
        <w:rPr>
          <w:rFonts w:ascii="宋体" w:eastAsia="宋体" w:hAnsi="宋体"/>
          <w:b/>
          <w:szCs w:val="21"/>
        </w:rPr>
        <w:sectPr>
          <w:headerReference w:type="default" r:id="rId17"/>
          <w:type w:val="nextPage"/>
          <w:pgSz w:w="11900" w:h="16840"/>
          <w:pgMar w:top="1440" w:right="1800" w:bottom="1440" w:left="1800" w:header="567" w:footer="992" w:gutter="0"/>
          <w:pgNumType w:start="11"/>
          <w:cols w:num="1" w:space="425"/>
          <w:titlePg w:val="0"/>
          <w:docGrid w:type="lines" w:linePitch="326" w:charSpace="0"/>
        </w:sectPr>
      </w:pPr>
      <w:r>
        <w:rPr>
          <w:rFonts w:ascii="宋体" w:eastAsia="宋体" w:hAnsi="宋体" w:hint="eastAsia"/>
          <w:b/>
          <w:bCs/>
          <w:szCs w:val="21"/>
        </w:rPr>
        <w:t>3</w:t>
      </w:r>
      <w:r>
        <w:rPr>
          <w:rFonts w:ascii="宋体" w:eastAsia="宋体" w:hAnsi="宋体"/>
          <w:b/>
          <w:szCs w:val="21"/>
        </w:rPr>
        <w:t>解析:A项,由原文“景德镇称不上文学之城,但却是无可争辩的陶瓷之城”可知。B项,“所有”说法太绝对化。C项,原文第六段表述为“不是如实地复制”,此选项中的表述恰恰相反。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答案:D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4</w:t>
      </w:r>
      <w:r>
        <w:rPr>
          <w:rFonts w:ascii="宋体" w:eastAsia="宋体" w:hAnsi="宋体"/>
          <w:b/>
          <w:szCs w:val="21"/>
        </w:rPr>
        <w:t>解析:A项,“望”,此处是“怨恨”“责怪”之意。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答案:A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5.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解析:①表现其具有远见卓识,谋事沉稳;③则陈述黄真事迹,与吴祐无关;⑥则陈述功曹看法,与吴祐品节没有直接关联。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答案:D</w:t>
      </w:r>
    </w:p>
    <w:p>
      <w:pPr>
        <w:rPr>
          <w:rFonts w:ascii="宋体" w:eastAsia="宋体" w:hAnsi="宋体" w:hint="eastAsia"/>
          <w:b/>
          <w:szCs w:val="21"/>
        </w:rPr>
      </w:pPr>
    </w:p>
    <w:p>
      <w:pPr>
        <w:rPr>
          <w:rFonts w:ascii="宋体" w:eastAsia="宋体" w:hAnsi="宋体" w:hint="eastAsia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6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解析:黄真被举荐为孝廉是在吴祐之后的事情,而且,被人称赞为清廉有节操的是黄真。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答案:B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7.(1)昔马援以薏苡兴谤,嫌疑之间,诚先贤所慎也。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(2)祐屏左右问其故,性具谈父言。祐使归谢其父,还以衣遗之。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参考答案:(1)从前马援因为运回薏苡招致毁谤,这是容易让人产生嫌疑的事情,确实是先贤十分慎重的举止。(落实“兴”“诚”“所慎”等词的翻译且做到语句通畅即可)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(2)吴祐屏退左右,询问缘由,孙性如实把父亲的话说了。吴祐让他回去感谢父亲,并把自己的衣服送给他的父亲。</w:t>
      </w:r>
      <w:r>
        <w:rPr>
          <w:rFonts w:ascii="宋体" w:eastAsia="宋体" w:hAnsi="宋体"/>
          <w:b/>
          <w:szCs w:val="21"/>
        </w:rPr>
        <w:drawing>
          <wp:inline distT="0" distB="0" distL="114300" distR="114300">
            <wp:extent cx="18415" cy="16510"/>
            <wp:effectExtent l="0" t="0" r="0" b="0"/>
            <wp:docPr id="534" name="图片 43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图片 430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  <w:b/>
          <w:szCs w:val="21"/>
        </w:rPr>
        <w:t>(落实“故”“具”“谢”“遗”等词的翻译且做到语句通畅即可)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8.全诗围绕“望”字展开,诗人“望”到了怎样的画面?(5分)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参考答案:密密的树丛中隐约露出古寺的影子,山下散落着宛如棋盘的水田,天空中偶尔掠过一只小鸟,夕阳西下,炊烟里也带着丝丝寒意。</w:t>
      </w:r>
    </w:p>
    <w:p>
      <w:pPr>
        <w:numPr>
          <w:ilvl w:val="0"/>
          <w:numId w:val="4"/>
        </w:num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尾联抒发了诗人怎样的思想感情?请简要分析。(6分)</w:t>
      </w:r>
    </w:p>
    <w:p>
      <w:pPr>
        <w:rPr>
          <w:rFonts w:ascii="宋体" w:eastAsia="宋体" w:hAnsi="宋体"/>
          <w:b/>
          <w:szCs w:val="21"/>
        </w:rPr>
      </w:pPr>
    </w:p>
    <w:p>
      <w:pPr>
        <w:rPr>
          <w:rFonts w:ascii="宋体" w:eastAsia="宋体" w:hAnsi="宋体"/>
          <w:b/>
          <w:szCs w:val="21"/>
        </w:rPr>
      </w:pP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参考答案:诗人流连忘返、依依不舍,决定等待冬日雪花漫天时,再来观赏这与其庐舍相近的佛门圣地。抒发了诗人宁静淡泊,超然物外的情怀。</w:t>
      </w:r>
    </w:p>
    <w:p>
      <w:pPr>
        <w:rPr>
          <w:rFonts w:ascii="宋体" w:eastAsia="宋体" w:hAnsi="宋体" w:hint="eastAsia"/>
          <w:b/>
          <w:bCs/>
          <w:szCs w:val="21"/>
        </w:rPr>
      </w:pPr>
    </w:p>
    <w:p>
      <w:pPr>
        <w:rPr>
          <w:rFonts w:ascii="宋体" w:eastAsia="宋体" w:hAnsi="宋体" w:hint="eastAsia"/>
          <w:b/>
          <w:bCs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>10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答案:(1)过蒙拔擢　宠命优渥　(2)响穷彭蠡之滨　声断衡阳之浦　(3)舟遥遥以轻飏　恨晨光之熹微</w:t>
      </w:r>
    </w:p>
    <w:p>
      <w:pPr>
        <w:rPr>
          <w:rFonts w:ascii="宋体" w:eastAsia="宋体" w:hAnsi="宋体" w:hint="eastAsia"/>
          <w:b/>
          <w:bCs/>
          <w:szCs w:val="21"/>
        </w:rPr>
      </w:pPr>
      <w:r>
        <w:rPr>
          <w:rFonts w:ascii="宋体" w:eastAsia="宋体" w:hAnsi="宋体" w:hint="eastAsia"/>
          <w:b/>
          <w:bCs/>
          <w:szCs w:val="21"/>
        </w:rPr>
        <w:t xml:space="preserve">  文学类阅读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11（1）</w:t>
      </w:r>
      <w:r>
        <w:rPr>
          <w:rFonts w:ascii="宋体" w:eastAsia="宋体" w:hAnsi="宋体"/>
          <w:b/>
          <w:szCs w:val="21"/>
        </w:rPr>
        <w:t>解析:E项,符合小说艺术特色;B项,不太完善,考虑王海生一个老兵的情绪也很重要;C项,更为主要的是情节上的串联作用;A项,“也想回到大陆”错误;D项,“经验不足”没有根据。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答案:BE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(2)请分析小说中海虎的形象特点。(6分)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参考答案:海虎作为一个老兵,坚守岗位,尽职尽责,在岛上服役十年;台风事件,表现出海虎的敬业精神和高超能力;误伤王海生,心生愧疚,绝食而亡,表现出它重情义的特点。</w:t>
      </w:r>
    </w:p>
    <w:p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t>(3)请概述小说中王海生不愿海虎退休的原因。(6分)</w:t>
      </w:r>
      <w:r>
        <w:rPr>
          <w:rFonts w:ascii="宋体" w:eastAsia="宋体" w:hAnsi="宋体"/>
          <w:b/>
          <w:szCs w:val="21"/>
        </w:rPr>
        <w:br/>
      </w:r>
      <w:r>
        <w:rPr>
          <w:rFonts w:ascii="宋体" w:eastAsia="宋体" w:hAnsi="宋体"/>
          <w:b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https://d.book118.com/875304013102011104</w:t>
        </w:r>
      </w:hyperlink>
    </w:p>
    <w:p>
      <w:pPr>
        <w:rPr>
          <w:rFonts w:ascii="宋体" w:eastAsia="宋体" w:hAnsi="宋体"/>
          <w:b/>
          <w:szCs w:val="21"/>
        </w:rPr>
      </w:pPr>
    </w:p>
    <w:sectPr>
      <w:headerReference w:type="default" r:id="rId20"/>
      <w:type w:val="nextPage"/>
      <w:pgSz w:w="11900" w:h="16840"/>
      <w:pgMar w:top="1440" w:right="1800" w:bottom="1440" w:left="1800" w:header="567" w:footer="992" w:gutter="0"/>
      <w:pgNumType w:start="12"/>
      <w:cols w:num="1" w:space="425"/>
      <w:titlePg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Yuanti SC Light">
    <w:altName w:val="MS Mincho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990327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1623469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1761823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2354699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497555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0752340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5896617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2449376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3901043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6443717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3639151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1ADBAAB"/>
    <w:multiLevelType w:val="multilevel"/>
    <w:tmpl w:val="37A168F0"/>
    <w:lvl w:ilvl="0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37A168F0"/>
    <w:multiLevelType w:val="multilevel"/>
    <w:tmpl w:val="37A168F0"/>
    <w:lvl w:ilvl="0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8B510C8"/>
    <w:multiLevelType w:val="singleLevel"/>
    <w:tmpl w:val="58B510C8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58B5118B"/>
    <w:multiLevelType w:val="singleLevel"/>
    <w:tmpl w:val="58B5118B"/>
    <w:lvl w:ilvl="0">
      <w:start w:val="9"/>
      <w:numFmt w:val="decimal"/>
      <w:suff w:val="nothing"/>
      <w:lvlText w:val="%1."/>
      <w:lvlJc w:val="left"/>
    </w:lvl>
  </w:abstractNum>
  <w:abstractNum w:abstractNumId="4">
    <w:nsid w:val="78F11A2A"/>
    <w:multiLevelType w:val="multilevel"/>
    <w:tmpl w:val="78F11A2A"/>
    <w:lvl w:ilvl="0">
      <w:start w:val="7"/>
      <w:numFmt w:val="decimal"/>
      <w:lvlText w:val="%1、"/>
      <w:lvlJc w:val="left"/>
      <w:pPr>
        <w:ind w:left="48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960" w:hanging="420"/>
      </w:pPr>
    </w:lvl>
    <w:lvl w:ilvl="2">
      <w:start w:val="1"/>
      <w:numFmt w:val="lowerRoman"/>
      <w:lvlText w:val="%3."/>
      <w:lvlJc w:val="right"/>
      <w:pPr>
        <w:ind w:left="1380" w:hanging="420"/>
      </w:pPr>
    </w:lvl>
    <w:lvl w:ilvl="3">
      <w:start w:val="1"/>
      <w:numFmt w:val="decimal"/>
      <w:lvlText w:val="%4."/>
      <w:lvlJc w:val="left"/>
      <w:pPr>
        <w:ind w:left="1800" w:hanging="420"/>
      </w:pPr>
    </w:lvl>
    <w:lvl w:ilvl="4">
      <w:start w:val="1"/>
      <w:numFmt w:val="lowerLetter"/>
      <w:lvlText w:val="%5)"/>
      <w:lvlJc w:val="left"/>
      <w:pPr>
        <w:ind w:left="2220" w:hanging="420"/>
      </w:pPr>
    </w:lvl>
    <w:lvl w:ilvl="5">
      <w:start w:val="1"/>
      <w:numFmt w:val="lowerRoman"/>
      <w:lvlText w:val="%6."/>
      <w:lvlJc w:val="right"/>
      <w:pPr>
        <w:ind w:left="2640" w:hanging="420"/>
      </w:pPr>
    </w:lvl>
    <w:lvl w:ilvl="6">
      <w:start w:val="1"/>
      <w:numFmt w:val="decimal"/>
      <w:lvlText w:val="%7."/>
      <w:lvlJc w:val="left"/>
      <w:pPr>
        <w:ind w:left="3060" w:hanging="420"/>
      </w:pPr>
    </w:lvl>
    <w:lvl w:ilvl="7">
      <w:start w:val="1"/>
      <w:numFmt w:val="lowerLetter"/>
      <w:lvlText w:val="%8)"/>
      <w:lvlJc w:val="left"/>
      <w:pPr>
        <w:ind w:left="3480" w:hanging="420"/>
      </w:pPr>
    </w:lvl>
    <w:lvl w:ilvl="8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515265"/>
    <w:rsid w:val="01736502"/>
    <w:rsid w:val="01FC6473"/>
    <w:rsid w:val="025A09FE"/>
    <w:rsid w:val="02C24513"/>
    <w:rsid w:val="02F2594D"/>
    <w:rsid w:val="062077BC"/>
    <w:rsid w:val="064E1F37"/>
    <w:rsid w:val="078C0D1B"/>
    <w:rsid w:val="08B60493"/>
    <w:rsid w:val="0B1D17F9"/>
    <w:rsid w:val="0CD70749"/>
    <w:rsid w:val="11E71F34"/>
    <w:rsid w:val="18C179CD"/>
    <w:rsid w:val="19085735"/>
    <w:rsid w:val="1C297D63"/>
    <w:rsid w:val="1C9E5823"/>
    <w:rsid w:val="1D173410"/>
    <w:rsid w:val="1D5A5540"/>
    <w:rsid w:val="1E6828C2"/>
    <w:rsid w:val="21FB1BED"/>
    <w:rsid w:val="29D97667"/>
    <w:rsid w:val="2B5E2B0A"/>
    <w:rsid w:val="2DEC3E01"/>
    <w:rsid w:val="2E6E3CFB"/>
    <w:rsid w:val="312B04A3"/>
    <w:rsid w:val="322E5C7B"/>
    <w:rsid w:val="33105381"/>
    <w:rsid w:val="342A00B4"/>
    <w:rsid w:val="34C35E4E"/>
    <w:rsid w:val="38986974"/>
    <w:rsid w:val="3A184FE2"/>
    <w:rsid w:val="3F706D19"/>
    <w:rsid w:val="404C1F33"/>
    <w:rsid w:val="40722D28"/>
    <w:rsid w:val="42DC5CC8"/>
    <w:rsid w:val="434E0C41"/>
    <w:rsid w:val="43D6672E"/>
    <w:rsid w:val="454977AD"/>
    <w:rsid w:val="45B94000"/>
    <w:rsid w:val="4780636A"/>
    <w:rsid w:val="4B7A359C"/>
    <w:rsid w:val="4C403F79"/>
    <w:rsid w:val="4D197AA7"/>
    <w:rsid w:val="4DCA69B7"/>
    <w:rsid w:val="4E406CC8"/>
    <w:rsid w:val="4E537B8C"/>
    <w:rsid w:val="4FBF3F5F"/>
    <w:rsid w:val="51AB1AE9"/>
    <w:rsid w:val="546832F7"/>
    <w:rsid w:val="5569651D"/>
    <w:rsid w:val="564D7C8C"/>
    <w:rsid w:val="59F40D4B"/>
    <w:rsid w:val="5C682994"/>
    <w:rsid w:val="5D014AD8"/>
    <w:rsid w:val="5E084D23"/>
    <w:rsid w:val="5E2A4056"/>
    <w:rsid w:val="5E9A3801"/>
    <w:rsid w:val="5FDD6B34"/>
    <w:rsid w:val="61702784"/>
    <w:rsid w:val="619C5EAE"/>
    <w:rsid w:val="61FC3E67"/>
    <w:rsid w:val="62100FDD"/>
    <w:rsid w:val="62A96AD4"/>
    <w:rsid w:val="634D493A"/>
    <w:rsid w:val="652F7039"/>
    <w:rsid w:val="67BC2E06"/>
    <w:rsid w:val="68481127"/>
    <w:rsid w:val="68902072"/>
    <w:rsid w:val="6C982DAE"/>
    <w:rsid w:val="6EF5508B"/>
    <w:rsid w:val="6F16141B"/>
    <w:rsid w:val="709C53B3"/>
    <w:rsid w:val="71E10366"/>
    <w:rsid w:val="75722DB2"/>
    <w:rsid w:val="75FE0A8D"/>
    <w:rsid w:val="789214E0"/>
    <w:rsid w:val="793F3897"/>
    <w:rsid w:val="799A6F05"/>
    <w:rsid w:val="7A3335DB"/>
  </w:rsids>
  <w:docVars>
    <w:docVar w:name="commondata" w:val="eyJoZGlkIjoiM2FlZmNjMTUwY2JmZmE3ZGI3MmJhYzlmYzljODEwN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qFormat="1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qFormat="1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qFormat/>
    <w:pPr>
      <w:ind w:firstLine="560" w:firstLineChars="200"/>
    </w:pPr>
    <w:rPr>
      <w:rFonts w:eastAsia="仿宋_GB2312"/>
      <w:sz w:val="28"/>
    </w:rPr>
  </w:style>
  <w:style w:type="paragraph" w:styleId="PlainText">
    <w:name w:val="Plain Text"/>
    <w:basedOn w:val="Normal"/>
    <w:rPr>
      <w:rFonts w:ascii="宋体" w:eastAsia="Times New Roman" w:hAnsi="Courier New"/>
      <w:kern w:val="0"/>
      <w:szCs w:val="21"/>
    </w:rPr>
  </w:style>
  <w:style w:type="paragraph" w:styleId="Footer">
    <w:name w:val="footer"/>
    <w:basedOn w:val="Normal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NormalWeb">
    <w:name w:val="Normal (Web)"/>
    <w:basedOn w:val="Normal"/>
    <w:autoRedefine/>
    <w:uiPriority w:val="99"/>
    <w:qFormat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autoRedefine/>
    <w:qFormat/>
    <w:rPr>
      <w:b/>
    </w:rPr>
  </w:style>
  <w:style w:type="character" w:styleId="PageNumber">
    <w:name w:val="page number"/>
    <w:basedOn w:val="DefaultParagraphFont"/>
    <w:qFormat/>
  </w:style>
  <w:style w:type="character" w:styleId="Emphasis">
    <w:name w:val="Emphasis"/>
    <w:qFormat/>
    <w:rPr>
      <w:rFonts w:cs="Times New Roman"/>
      <w:color w:val="CC0000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>
      <w:rFonts w:ascii="Calibri" w:eastAsia="宋体" w:hAnsi="Calibri" w:cs="Times New Roman"/>
      <w:szCs w:val="22"/>
    </w:rPr>
  </w:style>
  <w:style w:type="paragraph" w:customStyle="1" w:styleId="p0">
    <w:name w:val="p0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header" Target="header11.xml" /><Relationship Id="rId18" Type="http://schemas.openxmlformats.org/officeDocument/2006/relationships/image" Target="media/image2.png" /><Relationship Id="rId19" Type="http://schemas.openxmlformats.org/officeDocument/2006/relationships/hyperlink" Target="https://d.book118.com/875304013102011104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12.xm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yperlink" Target="https://www.so.com/link?m=wJ48M8irjj7P%2BQ0TZup%2F%2Bsty2eXLCLaZOEn6ubOpYfeJENPzApqgCCRUPWspWoccsk%2FTLoghoBVA1g6Ahj0y8qD404sEbJt4lXSo%2FyAABuVCavBWCNDnnH4drbwGC4%2FAj%2Fjo8cAlnnCZ9ckuZiCoc29TVFhMJegkr7l2eTNWr2nHhMWhbTh6HSIQZBcU%3D" TargetMode="Externa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2024-02-08T10:17:00Z</dcterms:created>
  <dcterms:modified xsi:type="dcterms:W3CDTF">2024-02-11T01:41:58Z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2B487FBBAFA541A6AF5071D8D8BC8CA7_13</vt:lpwstr>
  </property>
  <property fmtid="{D5CDD505-2E9C-101B-9397-08002B2CF9AE}" pid="3" name="KSOProductBuildVer">
    <vt:lpwstr>2052-12.1.0.16120</vt:lpwstr>
  </property>
</Properties>
</file>