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水果及坚果相关行业公司成立报告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8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_Toc29206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(七)、水果及坚果项目建设必要性分析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_Toc17626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_Toc29935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四、水果及坚果项目概况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(二)、水果及坚果项目提出的理由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(三)、水果及坚果项目选址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_Toc4093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(六)、水果及坚果项目投资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(七)、水果及坚果项目进度规划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(九)、水果及坚果项目综合评价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_Toc17409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60" w:history="1">
        <w:r>
          <w:rPr>
            <w:rFonts w:ascii="仿宋" w:eastAsia="仿宋" w:hAnsi="仿宋" w:cs="仿宋" w:hint="eastAsia"/>
            <w:lang w:eastAsia="zh-CN"/>
          </w:rPr>
          <w:t>(一)、水果及坚果项目背景分析</w:t>
        </w:r>
        <w:r>
          <w:tab/>
        </w:r>
        <w:r>
          <w:fldChar w:fldCharType="begin"/>
        </w:r>
        <w:r>
          <w:instrText xml:space="preserve"> PAGEREF _Toc11260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(二)、水果及坚果项目建设必要性分析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八、水果及坚果项目经济效益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(三)、水果及坚果项目盈利能力分析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(一)、水果及坚果项目进度安排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(二)、水果及坚果项目实施保障措施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_Toc8655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(五)、水果及坚果项目总投资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_Toc32640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_Toc7516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(一)、社会责任水果及坚果项目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_Toc21357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8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1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5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5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https://d.book118.com/876010231231010035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水果及坚果相关行业公司成立报告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水果及坚果相关行业公司成立报告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水果及坚果相关行业公司成立报告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水果及坚果相关行业公司成立报告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水果及坚果相关行业公司成立报告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601023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2024-01-09T15:16:00Z</dcterms:created>
  <dcterms:modified xsi:type="dcterms:W3CDTF">2024-01-09T15:16:37Z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7E0AF617104E4E2C89B1DC66BD3BB0A5_11</vt:lpwstr>
  </property>
  <property fmtid="{D5CDD505-2E9C-101B-9397-08002B2CF9AE}" pid="3" name="KSOProductBuildVer">
    <vt:lpwstr>2052-12.1.0.16120</vt:lpwstr>
  </property>
</Properties>
</file>