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98" w:line="226" w:lineRule="auto"/>
        <w:ind w:left="566"/>
        <w:outlineLvl w:val="0"/>
        <w:rPr>
          <w:rFonts w:ascii="SimHei" w:eastAsia="SimHei" w:hAnsi="SimHei" w:cs="SimHei"/>
          <w:sz w:val="31"/>
          <w:szCs w:val="31"/>
        </w:rPr>
      </w:pPr>
      <w:r>
        <w:rPr>
          <w:rFonts w:ascii="SimHei" w:eastAsia="SimHei" w:hAnsi="SimHei" w:cs="SimHei"/>
          <w:spacing w:val="10"/>
          <w:sz w:val="31"/>
          <w:szCs w:val="31"/>
        </w:rPr>
        <w:t>《软土深基坑智能控制降水与高效开挖技术</w:t>
      </w:r>
      <w:r>
        <w:rPr>
          <w:rFonts w:ascii="SimHei" w:eastAsia="SimHei" w:hAnsi="SimHei" w:cs="SimHei"/>
          <w:spacing w:val="9"/>
          <w:sz w:val="31"/>
          <w:szCs w:val="31"/>
        </w:rPr>
        <w:t>规程》编制说明</w:t>
      </w:r>
    </w:p>
    <w:p>
      <w:pPr>
        <w:spacing w:line="349" w:lineRule="auto"/>
        <w:rPr>
          <w:rFonts w:ascii="Arial"/>
          <w:sz w:val="21"/>
        </w:rPr>
      </w:pPr>
    </w:p>
    <w:p>
      <w:pPr>
        <w:spacing w:before="91" w:line="223" w:lineRule="auto"/>
        <w:ind w:left="5"/>
        <w:rPr>
          <w:rFonts w:ascii="SimHei" w:eastAsia="SimHei" w:hAnsi="SimHei" w:cs="SimHei"/>
          <w:sz w:val="28"/>
          <w:szCs w:val="28"/>
        </w:rPr>
      </w:pPr>
      <w:r>
        <w:rPr>
          <w:rFonts w:ascii="SimHei" w:eastAsia="SimHei" w:hAnsi="SimHei" w:cs="SimHei"/>
          <w:spacing w:val="-2"/>
          <w:sz w:val="28"/>
          <w:szCs w:val="28"/>
        </w:rPr>
        <w:t>一、标准制定的必要性</w:t>
      </w:r>
    </w:p>
    <w:p>
      <w:pPr>
        <w:pStyle w:val="BodyText"/>
        <w:spacing w:before="208" w:line="359" w:lineRule="auto"/>
        <w:ind w:firstLine="578"/>
      </w:pPr>
      <w:r>
        <w:rPr>
          <w:spacing w:val="6"/>
        </w:rPr>
        <w:t>当前我国在城市发展过程中，各大城市都需要进行新区的建设与老区的</w:t>
      </w:r>
      <w:r>
        <w:rPr>
          <w:spacing w:val="15"/>
        </w:rPr>
        <w:t xml:space="preserve"> </w:t>
      </w:r>
      <w:r>
        <w:rPr>
          <w:spacing w:val="7"/>
        </w:rPr>
        <w:t>更新。但随着城市的建设用地愈发紧张的情况下</w:t>
      </w:r>
      <w:r>
        <w:rPr>
          <w:spacing w:val="6"/>
        </w:rPr>
        <w:t>，需要根据已有城市建设经</w:t>
      </w:r>
      <w:r>
        <w:t xml:space="preserve"> </w:t>
      </w:r>
      <w:r>
        <w:rPr>
          <w:spacing w:val="7"/>
        </w:rPr>
        <w:t>验，提高土地的利用效率。城市建设从原来的平</w:t>
      </w:r>
      <w:r>
        <w:rPr>
          <w:spacing w:val="6"/>
        </w:rPr>
        <w:t>面式扩张转向三维立体式发</w:t>
      </w:r>
      <w:r>
        <w:t xml:space="preserve"> </w:t>
      </w:r>
      <w:r>
        <w:rPr>
          <w:spacing w:val="6"/>
        </w:rPr>
        <w:t>展，城市地下空间的开发利用受到了广泛的关注。《2021中国城市地下空间</w:t>
      </w:r>
      <w:r>
        <w:rPr>
          <w:spacing w:val="7"/>
        </w:rPr>
        <w:t xml:space="preserve"> </w:t>
      </w:r>
      <w:r>
        <w:rPr>
          <w:spacing w:val="-1"/>
        </w:rPr>
        <w:t>发展蓝皮书》指出，截至2020年底，中国城市地下</w:t>
      </w:r>
      <w:r>
        <w:rPr>
          <w:spacing w:val="-2"/>
        </w:rPr>
        <w:t>空间累计建设24亿平方米。</w:t>
      </w:r>
      <w:r>
        <w:t xml:space="preserve"> </w:t>
      </w:r>
      <w:r>
        <w:rPr>
          <w:spacing w:val="7"/>
        </w:rPr>
        <w:t>城市地下空间开发利用呈现规模发展态势，中国</w:t>
      </w:r>
      <w:r>
        <w:rPr>
          <w:spacing w:val="6"/>
        </w:rPr>
        <w:t>已成为名副其实的地下空间</w:t>
      </w:r>
      <w:r>
        <w:t xml:space="preserve"> </w:t>
      </w:r>
      <w:r>
        <w:rPr>
          <w:spacing w:val="7"/>
        </w:rPr>
        <w:t>开发利用大国。长三角城市群作为我国地下空间</w:t>
      </w:r>
      <w:r>
        <w:rPr>
          <w:spacing w:val="6"/>
        </w:rPr>
        <w:t>开发的东部发展中心，地下</w:t>
      </w:r>
      <w:r>
        <w:t xml:space="preserve"> </w:t>
      </w:r>
      <w:r>
        <w:rPr>
          <w:spacing w:val="6"/>
        </w:rPr>
        <w:t>空间开发强度位于全国前列，2020年新增地下空间建筑面积占同期城市建筑</w:t>
      </w:r>
      <w:r>
        <w:rPr>
          <w:spacing w:val="9"/>
        </w:rPr>
        <w:t xml:space="preserve"> </w:t>
      </w:r>
      <w:r>
        <w:rPr>
          <w:spacing w:val="1"/>
        </w:rPr>
        <w:t>竣工面积24%。其中《上海市“十四五</w:t>
      </w:r>
      <w:r>
        <w:rPr>
          <w:spacing w:val="-96"/>
        </w:rPr>
        <w:t xml:space="preserve"> </w:t>
      </w:r>
      <w:r>
        <w:rPr>
          <w:spacing w:val="1"/>
        </w:rPr>
        <w:t>”规划纲要》提到，要强化集约高效利</w:t>
      </w:r>
      <w:r>
        <w:t xml:space="preserve"> </w:t>
      </w:r>
      <w:r>
        <w:rPr>
          <w:spacing w:val="7"/>
        </w:rPr>
        <w:t>用土地资源，积极推进土地复合利用，鼓励可兼</w:t>
      </w:r>
      <w:r>
        <w:rPr>
          <w:spacing w:val="6"/>
        </w:rPr>
        <w:t>容功能的立体混合布局。在</w:t>
      </w:r>
      <w:r>
        <w:t xml:space="preserve"> </w:t>
      </w:r>
      <w:r>
        <w:rPr>
          <w:spacing w:val="7"/>
        </w:rPr>
        <w:t>商业综合体建设中一体化布局是最显著特点，其</w:t>
      </w:r>
      <w:r>
        <w:rPr>
          <w:spacing w:val="6"/>
        </w:rPr>
        <w:t>与城市轨道交通规划紧密联</w:t>
      </w:r>
      <w:r>
        <w:t xml:space="preserve"> </w:t>
      </w:r>
      <w:r>
        <w:rPr>
          <w:spacing w:val="-2"/>
        </w:rPr>
        <w:t>系，因而大量新建建筑物深基坑工程将不可避免的位于地铁车站和隧道附近，</w:t>
      </w:r>
      <w:r>
        <w:rPr>
          <w:spacing w:val="18"/>
        </w:rPr>
        <w:t xml:space="preserve"> </w:t>
      </w:r>
      <w:r>
        <w:rPr>
          <w:spacing w:val="7"/>
        </w:rPr>
        <w:t>当基坑与既有建构筑物距离较近时，由于基坑施</w:t>
      </w:r>
      <w:r>
        <w:rPr>
          <w:spacing w:val="6"/>
        </w:rPr>
        <w:t>工导致的开挖卸荷将引起基</w:t>
      </w:r>
      <w:r>
        <w:t xml:space="preserve"> </w:t>
      </w:r>
      <w:r>
        <w:rPr>
          <w:spacing w:val="7"/>
        </w:rPr>
        <w:t>坑周围的地表沉降，从而影响周围已有建构筑物</w:t>
      </w:r>
      <w:r>
        <w:rPr>
          <w:spacing w:val="6"/>
        </w:rPr>
        <w:t>的安全。因此控制基坑开挖</w:t>
      </w:r>
      <w:r>
        <w:t xml:space="preserve"> </w:t>
      </w:r>
      <w:r>
        <w:rPr>
          <w:spacing w:val="7"/>
        </w:rPr>
        <w:t>对周围环境影响及已有建构筑物的影响成为了研</w:t>
      </w:r>
      <w:r>
        <w:rPr>
          <w:spacing w:val="6"/>
        </w:rPr>
        <w:t>究的热点问题之一，施工中</w:t>
      </w:r>
    </w:p>
    <w:p>
      <w:pPr>
        <w:pStyle w:val="BodyText"/>
        <w:spacing w:before="1" w:line="220" w:lineRule="auto"/>
        <w:ind w:left="6"/>
      </w:pPr>
      <w:r>
        <w:rPr>
          <w:spacing w:val="-1"/>
        </w:rPr>
        <w:t>也将面临大面积、多区块开挖以及安全要求高的难题。</w:t>
      </w:r>
    </w:p>
    <w:p>
      <w:pPr>
        <w:pStyle w:val="BodyText"/>
        <w:spacing w:before="211" w:line="359" w:lineRule="auto"/>
        <w:ind w:right="10" w:firstLine="559"/>
      </w:pPr>
      <w:r>
        <w:rPr>
          <w:spacing w:val="4"/>
        </w:rPr>
        <w:t>近年来，新建建筑的基坑呈现出四个显著特点</w:t>
      </w:r>
      <w:r>
        <w:rPr>
          <w:spacing w:val="-18"/>
        </w:rPr>
        <w:t>：（</w:t>
      </w:r>
      <w:r>
        <w:rPr>
          <w:spacing w:val="4"/>
        </w:rPr>
        <w:t>1）基坑</w:t>
      </w:r>
      <w:r>
        <w:rPr>
          <w:spacing w:val="3"/>
        </w:rPr>
        <w:t>的尺寸和规模</w:t>
      </w:r>
      <w:r>
        <w:t xml:space="preserve"> </w:t>
      </w:r>
      <w:r>
        <w:rPr>
          <w:spacing w:val="9"/>
        </w:rPr>
        <w:t>越来越大</w:t>
      </w:r>
      <w:r>
        <w:rPr>
          <w:spacing w:val="-14"/>
        </w:rPr>
        <w:t>；（</w:t>
      </w:r>
      <w:r>
        <w:rPr>
          <w:spacing w:val="9"/>
        </w:rPr>
        <w:t>2）基坑的开挖深度越来越深</w:t>
      </w:r>
      <w:r>
        <w:rPr>
          <w:spacing w:val="-14"/>
        </w:rPr>
        <w:t>；（</w:t>
      </w:r>
      <w:r>
        <w:rPr>
          <w:spacing w:val="9"/>
        </w:rPr>
        <w:t>3）基坑与周边地上、地下建</w:t>
      </w:r>
      <w:r>
        <w:rPr>
          <w:spacing w:val="3"/>
        </w:rPr>
        <w:t xml:space="preserve"> </w:t>
      </w:r>
      <w:r>
        <w:rPr>
          <w:spacing w:val="3"/>
        </w:rPr>
        <w:t>（构）筑物的距离逐渐减小</w:t>
      </w:r>
      <w:r>
        <w:rPr>
          <w:spacing w:val="-10"/>
        </w:rPr>
        <w:t>；（</w:t>
      </w:r>
      <w:r>
        <w:rPr>
          <w:spacing w:val="3"/>
        </w:rPr>
        <w:t>4）基坑工程的施工场地环境越来越密集。通</w:t>
      </w:r>
      <w:r>
        <w:rPr>
          <w:spacing w:val="1"/>
        </w:rPr>
        <w:t xml:space="preserve"> </w:t>
      </w:r>
      <w:r>
        <w:rPr>
          <w:spacing w:val="6"/>
        </w:rPr>
        <w:t>常开挖深度超过30m的基坑可称为超深基坑，超深基坑尤其软土地区40m级以</w:t>
      </w:r>
      <w:r>
        <w:rPr>
          <w:spacing w:val="3"/>
        </w:rPr>
        <w:t xml:space="preserve"> </w:t>
      </w:r>
      <w:r>
        <w:rPr>
          <w:spacing w:val="7"/>
        </w:rPr>
        <w:t>上的超深基坑工程，将面临更大的侧向水土压力</w:t>
      </w:r>
      <w:r>
        <w:rPr>
          <w:spacing w:val="6"/>
        </w:rPr>
        <w:t>、更复杂的工程与水文地质</w:t>
      </w:r>
      <w:r>
        <w:t xml:space="preserve"> </w:t>
      </w:r>
      <w:r>
        <w:rPr>
          <w:spacing w:val="7"/>
        </w:rPr>
        <w:t>条件、更广范围的环境保护要求，相应对基坑工</w:t>
      </w:r>
      <w:r>
        <w:rPr>
          <w:spacing w:val="6"/>
        </w:rPr>
        <w:t>程的设计与实施提出了更高</w:t>
      </w:r>
    </w:p>
    <w:p>
      <w:pPr>
        <w:pStyle w:val="BodyText"/>
        <w:spacing w:before="1" w:line="220" w:lineRule="auto"/>
        <w:ind w:left="24"/>
      </w:pPr>
      <w:r>
        <w:rPr>
          <w:spacing w:val="6"/>
        </w:rPr>
        <w:t>的挑战。高地下水位软土地区40m级以上超深基坑面临的主要问题有</w:t>
      </w:r>
      <w:r>
        <w:rPr>
          <w:spacing w:val="-6"/>
        </w:rPr>
        <w:t>：（</w:t>
      </w:r>
      <w:r>
        <w:rPr>
          <w:spacing w:val="6"/>
        </w:rPr>
        <w:t>1）</w:t>
      </w:r>
    </w:p>
    <w:p>
      <w:pPr>
        <w:spacing w:line="220" w:lineRule="auto"/>
        <w:sectPr>
          <w:footerReference w:type="default" r:id="rId4"/>
          <w:pgSz w:w="11910" w:h="16840"/>
          <w:pgMar w:top="1431" w:right="1128" w:bottom="933" w:left="1310" w:header="0" w:footer="754" w:gutter="0"/>
          <w:cols w:space="708"/>
        </w:sectPr>
      </w:pPr>
    </w:p>
    <w:p>
      <w:pPr>
        <w:pStyle w:val="BodyText"/>
        <w:spacing w:before="91" w:line="359" w:lineRule="auto"/>
        <w:ind w:left="1" w:firstLine="1"/>
      </w:pPr>
      <w:r>
        <w:rPr>
          <w:spacing w:val="-2"/>
        </w:rPr>
        <w:t>深基坑围护结构的防渗漏对策及风险控制问题，40m级深度基坑开挖至基底时，</w:t>
      </w:r>
      <w:r>
        <w:t xml:space="preserve"> </w:t>
      </w:r>
      <w:r>
        <w:rPr>
          <w:spacing w:val="7"/>
        </w:rPr>
        <w:t>坑内外水土侧压力差已达0.5</w:t>
      </w:r>
      <w:r>
        <w:t>MPa</w:t>
      </w:r>
      <w:r>
        <w:rPr>
          <w:spacing w:val="7"/>
        </w:rPr>
        <w:t>以上，已接</w:t>
      </w:r>
      <w:r>
        <w:rPr>
          <w:spacing w:val="6"/>
        </w:rPr>
        <w:t>近甚至超过常规水泥土系隔水帷</w:t>
      </w:r>
      <w:r>
        <w:t xml:space="preserve">  </w:t>
      </w:r>
      <w:r>
        <w:rPr>
          <w:spacing w:val="7"/>
        </w:rPr>
        <w:t>幕的桩身强度，开挖阶段在巨大压力差作用下，</w:t>
      </w:r>
      <w:r>
        <w:rPr>
          <w:spacing w:val="6"/>
        </w:rPr>
        <w:t>围护结构如发生渗漏易引发</w:t>
      </w:r>
      <w:r>
        <w:t xml:space="preserve">  </w:t>
      </w:r>
      <w:r>
        <w:t>严重的涌水涌沙，对基坑和环境安全造成极大危害，</w:t>
      </w:r>
      <w:r>
        <w:rPr>
          <w:spacing w:val="-1"/>
        </w:rPr>
        <w:t>需采取针对性技术对策；</w:t>
      </w:r>
      <w:r>
        <w:t xml:space="preserve"> </w:t>
      </w:r>
      <w:r>
        <w:rPr>
          <w:spacing w:val="2"/>
        </w:rPr>
        <w:t>（2）超深基坑侧向水土压力大幅增长带来的基坑支护结构承载力和变形控制</w:t>
      </w:r>
      <w:r>
        <w:rPr>
          <w:spacing w:val="5"/>
        </w:rPr>
        <w:t xml:space="preserve">  </w:t>
      </w:r>
      <w:r>
        <w:rPr>
          <w:spacing w:val="3"/>
        </w:rPr>
        <w:t>问题</w:t>
      </w:r>
      <w:r>
        <w:rPr>
          <w:spacing w:val="-10"/>
        </w:rPr>
        <w:t>；（</w:t>
      </w:r>
      <w:r>
        <w:rPr>
          <w:spacing w:val="3"/>
        </w:rPr>
        <w:t>3）超深基坑将触及无经验可循的更深层承压水处理与环境影响控制</w:t>
      </w:r>
      <w:r>
        <w:t xml:space="preserve">  </w:t>
      </w:r>
      <w:r>
        <w:rPr>
          <w:spacing w:val="4"/>
        </w:rPr>
        <w:t>的问题</w:t>
      </w:r>
      <w:r>
        <w:rPr>
          <w:spacing w:val="-19"/>
        </w:rPr>
        <w:t>；（</w:t>
      </w:r>
      <w:r>
        <w:rPr>
          <w:spacing w:val="4"/>
        </w:rPr>
        <w:t>4）开发及推广适应超深基坑需求的超</w:t>
      </w:r>
      <w:r>
        <w:rPr>
          <w:spacing w:val="3"/>
        </w:rPr>
        <w:t>深围护体、止水帷幕及地基</w:t>
      </w:r>
      <w:r>
        <w:t xml:space="preserve">  </w:t>
      </w:r>
      <w:r>
        <w:rPr>
          <w:spacing w:val="7"/>
        </w:rPr>
        <w:t>加固等围护新技术新工艺。因此，一方面需在确</w:t>
      </w:r>
      <w:r>
        <w:rPr>
          <w:spacing w:val="6"/>
        </w:rPr>
        <w:t>保基坑安全施工的同时，经</w:t>
      </w:r>
      <w:r>
        <w:t xml:space="preserve">  </w:t>
      </w:r>
      <w:r>
        <w:rPr>
          <w:spacing w:val="7"/>
        </w:rPr>
        <w:t>济有效地控制由于基坑开挖卸荷过程导致的基坑</w:t>
      </w:r>
      <w:r>
        <w:rPr>
          <w:spacing w:val="6"/>
        </w:rPr>
        <w:t>周边土体位移场和应力场的</w:t>
      </w:r>
      <w:r>
        <w:t xml:space="preserve">  </w:t>
      </w:r>
      <w:r>
        <w:rPr>
          <w:spacing w:val="7"/>
        </w:rPr>
        <w:t>改变，保护临近地上、地下建（构）筑物的安全</w:t>
      </w:r>
      <w:r>
        <w:rPr>
          <w:spacing w:val="6"/>
        </w:rPr>
        <w:t>；另一方面还需要控制临近</w:t>
      </w:r>
      <w:r>
        <w:t xml:space="preserve">  </w:t>
      </w:r>
      <w:r>
        <w:rPr>
          <w:spacing w:val="8"/>
        </w:rPr>
        <w:t>的地下空间开发与利用对新建基坑的影响，保护基坑围护结</w:t>
      </w:r>
      <w:r>
        <w:rPr>
          <w:spacing w:val="7"/>
        </w:rPr>
        <w:t>构自身的安全。</w:t>
      </w:r>
      <w:r>
        <w:t xml:space="preserve"> </w:t>
      </w:r>
      <w:r>
        <w:rPr>
          <w:spacing w:val="7"/>
        </w:rPr>
        <w:t>对于存在周边地上、地下建（构）筑物的新建基</w:t>
      </w:r>
      <w:r>
        <w:rPr>
          <w:spacing w:val="6"/>
        </w:rPr>
        <w:t>坑开挖施工过程中，不但要</w:t>
      </w:r>
      <w:r>
        <w:t xml:space="preserve">  </w:t>
      </w:r>
      <w:r>
        <w:rPr>
          <w:spacing w:val="7"/>
        </w:rPr>
        <w:t>满足结构的强度控制，还要满足变形控制。上述</w:t>
      </w:r>
      <w:r>
        <w:rPr>
          <w:spacing w:val="6"/>
        </w:rPr>
        <w:t>两方面统一起来可归纳为城</w:t>
      </w:r>
    </w:p>
    <w:p>
      <w:pPr>
        <w:pStyle w:val="BodyText"/>
        <w:spacing w:before="1" w:line="220" w:lineRule="auto"/>
        <w:ind w:left="9"/>
      </w:pPr>
      <w:r>
        <w:rPr>
          <w:spacing w:val="-1"/>
        </w:rPr>
        <w:t>市建（构）筑物密集区内地下结构施工的相互影响问题。</w:t>
      </w:r>
    </w:p>
    <w:p>
      <w:pPr>
        <w:pStyle w:val="BodyText"/>
        <w:spacing w:before="211" w:line="359" w:lineRule="auto"/>
        <w:ind w:left="1" w:right="128" w:firstLine="594"/>
        <w:jc w:val="both"/>
      </w:pPr>
      <w:r>
        <w:rPr>
          <w:spacing w:val="6"/>
        </w:rPr>
        <w:t>由于城市规划密集，用地紧张，导致新建建筑的基坑开挖距离建筑红线</w:t>
      </w:r>
      <w:r>
        <w:t xml:space="preserve"> </w:t>
      </w:r>
      <w:r>
        <w:rPr>
          <w:spacing w:val="7"/>
        </w:rPr>
        <w:t>和边缘越来越近，周边建（构）筑物的存在引起</w:t>
      </w:r>
      <w:r>
        <w:rPr>
          <w:spacing w:val="6"/>
        </w:rPr>
        <w:t>的荷载会通过基础传递到基</w:t>
      </w:r>
      <w:r>
        <w:t xml:space="preserve"> </w:t>
      </w:r>
      <w:r>
        <w:rPr>
          <w:spacing w:val="7"/>
        </w:rPr>
        <w:t>坑上，引起新的土应力平衡。与此同时，新建建</w:t>
      </w:r>
      <w:r>
        <w:rPr>
          <w:spacing w:val="6"/>
        </w:rPr>
        <w:t>筑的基坑开挖会导致基坑周</w:t>
      </w:r>
      <w:r>
        <w:t xml:space="preserve"> </w:t>
      </w:r>
      <w:r>
        <w:rPr>
          <w:spacing w:val="7"/>
        </w:rPr>
        <w:t>边土体位移场和应力场的改变，将对基坑周围的</w:t>
      </w:r>
      <w:r>
        <w:rPr>
          <w:spacing w:val="6"/>
        </w:rPr>
        <w:t>建筑物、道路以及地下管线</w:t>
      </w:r>
    </w:p>
    <w:p>
      <w:pPr>
        <w:pStyle w:val="BodyText"/>
        <w:spacing w:before="1" w:line="220" w:lineRule="auto"/>
        <w:ind w:left="3"/>
      </w:pPr>
      <w:r>
        <w:rPr>
          <w:spacing w:val="-1"/>
        </w:rPr>
        <w:t>和隧道的使用功能造成破坏。</w:t>
      </w:r>
    </w:p>
    <w:p>
      <w:pPr>
        <w:pStyle w:val="BodyText"/>
        <w:spacing w:before="211" w:line="359" w:lineRule="auto"/>
        <w:ind w:right="128" w:firstLine="560"/>
        <w:jc w:val="both"/>
        <w:sectPr>
          <w:footerReference w:type="default" r:id="rId5"/>
          <w:pgSz w:w="11910" w:h="16840"/>
          <w:pgMar w:top="1431" w:right="1009" w:bottom="933" w:left="1309" w:header="0" w:footer="754" w:gutter="0"/>
          <w:pgNumType w:start="2"/>
          <w:cols w:space="708"/>
        </w:sectPr>
      </w:pPr>
      <w:r>
        <w:rPr>
          <w:spacing w:val="7"/>
        </w:rPr>
        <w:t>超长基坑的开挖施工需基于时空效应原理，将基坑进行分区，并分步递</w:t>
      </w:r>
      <w:r>
        <w:rPr>
          <w:spacing w:val="3"/>
        </w:rPr>
        <w:t xml:space="preserve"> </w:t>
      </w:r>
      <w:r>
        <w:rPr>
          <w:spacing w:val="7"/>
        </w:rPr>
        <w:t>进开挖，一般采用隔离墙进行分区，随挖随拆或后</w:t>
      </w:r>
      <w:r>
        <w:rPr>
          <w:spacing w:val="6"/>
        </w:rPr>
        <w:t>期进行拆除，增加施工成</w:t>
      </w:r>
      <w:r>
        <w:t xml:space="preserve"> </w:t>
      </w:r>
      <w:r>
        <w:rPr>
          <w:spacing w:val="7"/>
        </w:rPr>
        <w:t>本，且不符合建筑行业的碳减排要求。研究表明，</w:t>
      </w:r>
      <w:r>
        <w:rPr>
          <w:spacing w:val="6"/>
        </w:rPr>
        <w:t>合理利用土体自身在开挖</w:t>
      </w:r>
      <w:r>
        <w:t xml:space="preserve"> </w:t>
      </w:r>
      <w:r>
        <w:rPr>
          <w:spacing w:val="7"/>
        </w:rPr>
        <w:t>过程中控制位移的能力，可达到科学施工控制变形</w:t>
      </w:r>
      <w:r>
        <w:rPr>
          <w:spacing w:val="6"/>
        </w:rPr>
        <w:t>的目的。在进行超长基坑</w:t>
      </w:r>
      <w:r>
        <w:t xml:space="preserve"> </w:t>
      </w:r>
      <w:r>
        <w:rPr>
          <w:spacing w:val="7"/>
        </w:rPr>
        <w:t>开挖时，可通过单侧放坡开挖实现超长基坑的分区</w:t>
      </w:r>
      <w:r>
        <w:rPr>
          <w:spacing w:val="6"/>
        </w:rPr>
        <w:t>，省去硬隔离工序，有效</w:t>
      </w:r>
      <w:r>
        <w:t xml:space="preserve"> </w:t>
      </w:r>
      <w:r>
        <w:rPr>
          <w:spacing w:val="7"/>
        </w:rPr>
        <w:t>地利用未开挖区域土体的自身强度对围护结构的变</w:t>
      </w:r>
      <w:r>
        <w:rPr>
          <w:spacing w:val="6"/>
        </w:rPr>
        <w:t>形提供一定的抗力，稳定</w:t>
      </w:r>
    </w:p>
    <w:p>
      <w:pPr>
        <w:pStyle w:val="BodyText"/>
        <w:spacing w:before="1" w:line="220" w:lineRule="auto"/>
        <w:ind w:left="3"/>
      </w:pPr>
      <w:r>
        <w:rPr>
          <w:spacing w:val="-1"/>
        </w:rPr>
        <w:t>周围地层，实现超长基坑的微变形绿色施工。</w:t>
      </w:r>
    </w:p>
    <w:p>
      <w:pPr>
        <w:spacing w:line="220" w:lineRule="auto"/>
        <w:sectPr>
          <w:footerReference w:type="default" r:id="rId6"/>
          <w:type w:val="nextPage"/>
          <w:pgSz w:w="11910" w:h="16840"/>
          <w:pgMar w:top="1431" w:right="1009" w:bottom="933" w:left="1309" w:header="0" w:footer="754" w:gutter="0"/>
          <w:pgNumType w:start="3"/>
          <w:cols w:space="708"/>
          <w:titlePg w:val="0"/>
        </w:sectPr>
      </w:pPr>
    </w:p>
    <w:p>
      <w:pPr>
        <w:pStyle w:val="BodyText"/>
        <w:spacing w:before="89" w:line="359" w:lineRule="auto"/>
        <w:ind w:left="1" w:right="9" w:firstLine="558"/>
      </w:pPr>
      <w:r>
        <w:rPr>
          <w:spacing w:val="7"/>
        </w:rPr>
        <w:t>对深基坑以及地下水位过高的区域开挖时，需要降低承压含水层水头，</w:t>
      </w:r>
      <w:r>
        <w:rPr>
          <w:spacing w:val="3"/>
        </w:rPr>
        <w:t xml:space="preserve"> </w:t>
      </w:r>
      <w:r>
        <w:rPr>
          <w:spacing w:val="6"/>
        </w:rPr>
        <w:t>创造干燥的施工环境，同时要减少顶托压力带来的基坑突涌的风险。长时间</w:t>
      </w:r>
      <w:r>
        <w:rPr>
          <w:spacing w:val="18"/>
        </w:rPr>
        <w:t xml:space="preserve"> </w:t>
      </w:r>
      <w:r>
        <w:rPr>
          <w:spacing w:val="7"/>
        </w:rPr>
        <w:t>连续的降水会导致周围土体的有效应力发生改</w:t>
      </w:r>
      <w:r>
        <w:rPr>
          <w:spacing w:val="6"/>
        </w:rPr>
        <w:t>变，进而引起周围土体的不均</w:t>
      </w:r>
      <w:r>
        <w:t xml:space="preserve"> </w:t>
      </w:r>
      <w:r>
        <w:rPr>
          <w:spacing w:val="7"/>
        </w:rPr>
        <w:t>匀沉降，严重时还会导致基坑管涌甚至坍塌，</w:t>
      </w:r>
      <w:r>
        <w:rPr>
          <w:spacing w:val="6"/>
        </w:rPr>
        <w:t>所以对地下水位的精细化控制</w:t>
      </w:r>
      <w:r>
        <w:t xml:space="preserve"> </w:t>
      </w:r>
      <w:r>
        <w:rPr>
          <w:spacing w:val="7"/>
        </w:rPr>
        <w:t>尤为重要，但是由于监测手段的限制，现阶段</w:t>
      </w:r>
      <w:r>
        <w:rPr>
          <w:spacing w:val="6"/>
        </w:rPr>
        <w:t>的监测工作都只能由监测人员</w:t>
      </w:r>
      <w:r>
        <w:t xml:space="preserve"> </w:t>
      </w:r>
      <w:r>
        <w:rPr>
          <w:spacing w:val="7"/>
        </w:rPr>
        <w:t>组织到施工现场用仪器进行监测，这种监测方</w:t>
      </w:r>
      <w:r>
        <w:rPr>
          <w:spacing w:val="6"/>
        </w:rPr>
        <w:t>式有测量数据不连续、测量误</w:t>
      </w:r>
      <w:r>
        <w:t xml:space="preserve"> </w:t>
      </w:r>
      <w:r>
        <w:rPr>
          <w:spacing w:val="7"/>
        </w:rPr>
        <w:t>差较大、管理效率低下、信息反馈时间长、消</w:t>
      </w:r>
      <w:r>
        <w:rPr>
          <w:spacing w:val="6"/>
        </w:rPr>
        <w:t>耗人力物力资源、成本较高等</w:t>
      </w:r>
    </w:p>
    <w:p>
      <w:pPr>
        <w:pStyle w:val="BodyText"/>
        <w:spacing w:line="221" w:lineRule="auto"/>
        <w:ind w:left="1"/>
      </w:pPr>
      <w:r>
        <w:rPr>
          <w:spacing w:val="-4"/>
        </w:rPr>
        <w:t>缺点。</w:t>
      </w:r>
    </w:p>
    <w:p>
      <w:pPr>
        <w:pStyle w:val="BodyText"/>
        <w:spacing w:before="211" w:line="359" w:lineRule="auto"/>
        <w:ind w:firstLine="575"/>
      </w:pPr>
      <w:r>
        <w:rPr>
          <w:spacing w:val="-2"/>
        </w:rPr>
        <w:t>随着社会不断发展，基坑工程逐渐向大型化、信息化、多样化、</w:t>
      </w:r>
      <w:r>
        <w:rPr>
          <w:spacing w:val="-3"/>
        </w:rPr>
        <w:t>系统化、</w:t>
      </w:r>
      <w:r>
        <w:t xml:space="preserve"> </w:t>
      </w:r>
      <w:r>
        <w:rPr>
          <w:spacing w:val="7"/>
        </w:rPr>
        <w:t>智能化和绿色化方向发展，有效、安全、可控的</w:t>
      </w:r>
      <w:r>
        <w:rPr>
          <w:spacing w:val="6"/>
        </w:rPr>
        <w:t>施工方法越来越受重视，智</w:t>
      </w:r>
      <w:r>
        <w:t xml:space="preserve"> </w:t>
      </w:r>
      <w:r>
        <w:rPr>
          <w:spacing w:val="7"/>
        </w:rPr>
        <w:t>能降水控制技术和高效开挖技术随着社会发展，</w:t>
      </w:r>
      <w:r>
        <w:rPr>
          <w:spacing w:val="6"/>
        </w:rPr>
        <w:t>将被越来越多地应用到工程</w:t>
      </w:r>
      <w:r>
        <w:t xml:space="preserve"> </w:t>
      </w:r>
      <w:r>
        <w:rPr>
          <w:spacing w:val="7"/>
        </w:rPr>
        <w:t>施工中，实现智能化施工。软土地区深基坑的降</w:t>
      </w:r>
      <w:r>
        <w:rPr>
          <w:spacing w:val="6"/>
        </w:rPr>
        <w:t>水与开挖是其关键工序，坑</w:t>
      </w:r>
      <w:r>
        <w:t xml:space="preserve"> </w:t>
      </w:r>
      <w:r>
        <w:rPr>
          <w:spacing w:val="7"/>
        </w:rPr>
        <w:t>内降水引起基坑变形量总值比较可观，且其引发</w:t>
      </w:r>
      <w:r>
        <w:rPr>
          <w:spacing w:val="6"/>
        </w:rPr>
        <w:t>的围护体变形难以避免，为</w:t>
      </w:r>
      <w:r>
        <w:t xml:space="preserve"> </w:t>
      </w:r>
      <w:r>
        <w:rPr>
          <w:spacing w:val="7"/>
        </w:rPr>
        <w:t>适应社会发展趋势，确保施工安全与高效，编制</w:t>
      </w:r>
      <w:r>
        <w:rPr>
          <w:spacing w:val="6"/>
        </w:rPr>
        <w:t>《软土深基坑智能控制降水</w:t>
      </w:r>
      <w:r>
        <w:t xml:space="preserve"> </w:t>
      </w:r>
      <w:r>
        <w:rPr>
          <w:spacing w:val="7"/>
        </w:rPr>
        <w:t>与高效开挖技术规程》，能够顺应我国基坑工程</w:t>
      </w:r>
      <w:r>
        <w:rPr>
          <w:spacing w:val="6"/>
        </w:rPr>
        <w:t>的智能化和绿色化发展的需</w:t>
      </w:r>
    </w:p>
    <w:p>
      <w:pPr>
        <w:pStyle w:val="BodyText"/>
        <w:spacing w:line="219" w:lineRule="auto"/>
        <w:ind w:left="3"/>
      </w:pPr>
      <w:r>
        <w:rPr>
          <w:spacing w:val="-1"/>
        </w:rPr>
        <w:t>求，具有重要意义与应用价值。</w:t>
      </w:r>
    </w:p>
    <w:p>
      <w:pPr>
        <w:spacing w:before="211" w:line="222" w:lineRule="auto"/>
        <w:ind w:left="5"/>
        <w:rPr>
          <w:rFonts w:ascii="SimHei" w:eastAsia="SimHei" w:hAnsi="SimHei" w:cs="SimHei"/>
          <w:sz w:val="28"/>
          <w:szCs w:val="28"/>
        </w:rPr>
      </w:pPr>
      <w:r>
        <w:rPr>
          <w:rFonts w:ascii="SimHei" w:eastAsia="SimHei" w:hAnsi="SimHei" w:cs="SimHei"/>
          <w:spacing w:val="-2"/>
          <w:sz w:val="28"/>
          <w:szCs w:val="28"/>
        </w:rPr>
        <w:t>二、标准编制原则及依据</w:t>
      </w:r>
    </w:p>
    <w:p>
      <w:pPr>
        <w:pStyle w:val="BodyText"/>
        <w:spacing w:before="209" w:line="545" w:lineRule="exact"/>
        <w:ind w:right="11"/>
        <w:jc w:val="right"/>
      </w:pPr>
      <w:r>
        <w:rPr>
          <w:position w:val="19"/>
        </w:rPr>
        <w:t>1)</w:t>
      </w:r>
      <w:r>
        <w:rPr>
          <w:spacing w:val="55"/>
          <w:position w:val="19"/>
        </w:rPr>
        <w:t xml:space="preserve">  </w:t>
      </w:r>
      <w:r>
        <w:rPr>
          <w:position w:val="19"/>
        </w:rPr>
        <w:t>按照</w:t>
      </w:r>
      <w:r>
        <w:rPr>
          <w:spacing w:val="-66"/>
          <w:position w:val="19"/>
        </w:rPr>
        <w:t xml:space="preserve"> </w:t>
      </w:r>
      <w:r>
        <w:rPr>
          <w:position w:val="19"/>
        </w:rPr>
        <w:t>GB/T1.1－2020《标准</w:t>
      </w:r>
      <w:r>
        <w:rPr>
          <w:spacing w:val="-1"/>
          <w:position w:val="19"/>
        </w:rPr>
        <w:t>化工作导则第</w:t>
      </w:r>
      <w:r>
        <w:rPr>
          <w:spacing w:val="-47"/>
          <w:position w:val="19"/>
        </w:rPr>
        <w:t xml:space="preserve"> </w:t>
      </w:r>
      <w:r>
        <w:rPr>
          <w:spacing w:val="-1"/>
          <w:position w:val="19"/>
        </w:rPr>
        <w:t>1</w:t>
      </w:r>
      <w:r>
        <w:rPr>
          <w:spacing w:val="-64"/>
          <w:position w:val="19"/>
        </w:rPr>
        <w:t xml:space="preserve"> </w:t>
      </w:r>
      <w:r>
        <w:rPr>
          <w:spacing w:val="-1"/>
          <w:position w:val="19"/>
        </w:rPr>
        <w:t>部分：标准化文件的结构</w:t>
      </w:r>
    </w:p>
    <w:p>
      <w:pPr>
        <w:pStyle w:val="BodyText"/>
        <w:spacing w:before="1" w:line="220" w:lineRule="auto"/>
        <w:ind w:left="2"/>
      </w:pPr>
      <w:r>
        <w:t>和起草规则》要求进行编写。</w:t>
      </w:r>
    </w:p>
    <w:p>
      <w:pPr>
        <w:pStyle w:val="BodyText"/>
        <w:spacing w:before="210" w:line="544" w:lineRule="exact"/>
        <w:ind w:right="11"/>
        <w:jc w:val="right"/>
      </w:pPr>
      <w:r>
        <w:rPr>
          <w:spacing w:val="-10"/>
          <w:position w:val="19"/>
        </w:rPr>
        <w:t>2)</w:t>
      </w:r>
      <w:r>
        <w:rPr>
          <w:spacing w:val="61"/>
          <w:position w:val="19"/>
        </w:rPr>
        <w:t xml:space="preserve">  </w:t>
      </w:r>
      <w:r>
        <w:rPr>
          <w:spacing w:val="-10"/>
          <w:position w:val="19"/>
        </w:rPr>
        <w:t>参照相关法律、法规和规定，在编制过程中着重考虑了科学性、适用性</w:t>
      </w:r>
    </w:p>
    <w:p>
      <w:pPr>
        <w:pStyle w:val="BodyText"/>
        <w:spacing w:before="2" w:line="220" w:lineRule="auto"/>
        <w:ind w:left="2"/>
      </w:pPr>
      <w:r>
        <w:rPr>
          <w:spacing w:val="-2"/>
        </w:rPr>
        <w:t>和可操作性。</w:t>
      </w:r>
    </w:p>
    <w:p>
      <w:pPr>
        <w:spacing w:before="210" w:line="222" w:lineRule="auto"/>
        <w:ind w:left="6"/>
        <w:rPr>
          <w:rFonts w:ascii="SimHei" w:eastAsia="SimHei" w:hAnsi="SimHei" w:cs="SimHei"/>
          <w:sz w:val="28"/>
          <w:szCs w:val="28"/>
        </w:rPr>
      </w:pPr>
      <w:r>
        <w:rPr>
          <w:rFonts w:ascii="SimHei" w:eastAsia="SimHei" w:hAnsi="SimHei" w:cs="SimHei"/>
          <w:spacing w:val="-2"/>
          <w:sz w:val="28"/>
          <w:szCs w:val="28"/>
        </w:rPr>
        <w:t>三、实验情况分析</w:t>
      </w:r>
    </w:p>
    <w:p>
      <w:pPr>
        <w:pStyle w:val="BodyText"/>
        <w:spacing w:before="209" w:line="359" w:lineRule="auto"/>
        <w:ind w:left="2" w:right="9" w:firstLine="559"/>
        <w:jc w:val="both"/>
        <w:sectPr>
          <w:footerReference w:type="default" r:id="rId7"/>
          <w:pgSz w:w="11910" w:h="16840"/>
          <w:pgMar w:top="1431" w:right="1129" w:bottom="933" w:left="1310" w:header="0" w:footer="754" w:gutter="0"/>
          <w:pgNumType w:start="4"/>
          <w:cols w:space="708"/>
        </w:sectPr>
      </w:pPr>
      <w:r>
        <w:rPr>
          <w:spacing w:val="7"/>
        </w:rPr>
        <w:t>本技术规程涉及内容已在杭州市富阳区秦望通道工程（华东地区最大越</w:t>
      </w:r>
      <w:r>
        <w:rPr>
          <w:spacing w:val="1"/>
        </w:rPr>
        <w:t xml:space="preserve"> </w:t>
      </w:r>
      <w:r>
        <w:rPr>
          <w:spacing w:val="13"/>
        </w:rPr>
        <w:t>江盾构隧道，浙江省首条公铁合建盾构隧道）</w:t>
      </w:r>
      <w:r>
        <w:rPr>
          <w:spacing w:val="-59"/>
        </w:rPr>
        <w:t xml:space="preserve"> </w:t>
      </w:r>
      <w:r>
        <w:rPr>
          <w:spacing w:val="13"/>
        </w:rPr>
        <w:t>、杭州望江路过江隧道项目</w:t>
      </w:r>
      <w:r>
        <w:t xml:space="preserve"> </w:t>
      </w:r>
      <w:r>
        <w:rPr>
          <w:spacing w:val="2"/>
        </w:rPr>
        <w:t>（工作井尺寸37.6m×23.6m，深25.57m，地连墙最深6</w:t>
      </w:r>
      <w:r>
        <w:rPr>
          <w:spacing w:val="1"/>
        </w:rPr>
        <w:t>5m）、杭州市艮山东路</w:t>
      </w:r>
    </w:p>
    <w:p>
      <w:pPr>
        <w:pStyle w:val="BodyText"/>
        <w:spacing w:line="220" w:lineRule="auto"/>
        <w:ind w:left="2"/>
      </w:pPr>
      <w:r>
        <w:rPr>
          <w:spacing w:val="7"/>
        </w:rPr>
        <w:t>过江隧道工程（钱塘江流域在建直径最大的</w:t>
      </w:r>
      <w:r>
        <w:rPr>
          <w:spacing w:val="6"/>
        </w:rPr>
        <w:t>盾构隧道）、杭州下沙路隧道工</w:t>
      </w:r>
    </w:p>
    <w:p>
      <w:pPr>
        <w:spacing w:line="220" w:lineRule="auto"/>
        <w:sectPr>
          <w:footerReference w:type="default" r:id="rId8"/>
          <w:type w:val="nextPage"/>
          <w:pgSz w:w="11910" w:h="16840"/>
          <w:pgMar w:top="1431" w:right="1129" w:bottom="933" w:left="1310" w:header="0" w:footer="754" w:gutter="0"/>
          <w:pgNumType w:start="5"/>
          <w:cols w:space="708"/>
          <w:titlePg w:val="0"/>
        </w:sectPr>
      </w:pPr>
    </w:p>
    <w:p>
      <w:pPr>
        <w:pStyle w:val="BodyText"/>
        <w:spacing w:before="59" w:line="363" w:lineRule="auto"/>
        <w:ind w:right="134"/>
        <w:jc w:val="both"/>
      </w:pPr>
      <w:r>
        <w:pict>
          <v:shapetype id="_x0000_t202" coordsize="21600,21600" o:spt="202" path="m,l,21600r21600,l21600,xe">
            <v:stroke joinstyle="miter"/>
            <v:path gradientshapeok="t" o:connecttype="rect"/>
          </v:shapetype>
          <v:shape id="_x0000_s1025" type="#_x0000_t202" style="width:237.8pt;height:21.25pt;margin-top:738.49pt;margin-left:290.5pt;mso-position-horizontal-relative:page;mso-position-vertical-relative:page;position:absolute;z-index:251659264" o:allowincell="f" filled="f" stroked="f">
            <o:lock v:ext="edit" aspectratio="f"/>
            <v:textbox inset="0,0,0,0">
              <w:txbxContent>
                <w:p>
                  <w:pPr>
                    <w:pStyle w:val="BodyText"/>
                    <w:spacing w:before="19" w:line="227" w:lineRule="auto"/>
                    <w:ind w:left="20"/>
                  </w:pPr>
                  <w:r>
                    <w:rPr>
                      <w:rFonts w:ascii="Times New Roman" w:eastAsia="Times New Roman" w:hAnsi="Times New Roman" w:cs="Times New Roman"/>
                      <w:spacing w:val="-5"/>
                      <w:position w:val="2"/>
                    </w:rPr>
                    <w:t xml:space="preserve">(b)   </w:t>
                  </w:r>
                  <w:r>
                    <w:rPr>
                      <w:spacing w:val="-5"/>
                      <w:position w:val="2"/>
                    </w:rPr>
                    <w:t>远程智能降水系</w:t>
                  </w:r>
                  <w:r>
                    <w:rPr>
                      <w:spacing w:val="21"/>
                      <w:position w:val="2"/>
                    </w:rPr>
                    <w:t xml:space="preserve">    </w:t>
                  </w:r>
                  <w:r>
                    <w:rPr>
                      <w:spacing w:val="-5"/>
                      <w:position w:val="-2"/>
                    </w:rPr>
                    <w:t>(c) 水泵控制</w:t>
                  </w:r>
                </w:p>
              </w:txbxContent>
            </v:textbox>
          </v:shape>
        </w:pict>
      </w:r>
      <w:r>
        <w:drawing>
          <wp:anchor distT="0" distB="0" distL="0" distR="0" simplePos="0" relativeHeight="251658240" behindDoc="0" locked="0" layoutInCell="0" allowOverlap="1">
            <wp:simplePos x="0" y="0"/>
            <wp:positionH relativeFrom="page">
              <wp:posOffset>3549623</wp:posOffset>
            </wp:positionH>
            <wp:positionV relativeFrom="page">
              <wp:posOffset>7556491</wp:posOffset>
            </wp:positionV>
            <wp:extent cx="3346486" cy="1835201"/>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3346486" cy="1835201"/>
                    </a:xfrm>
                    <a:prstGeom prst="rect">
                      <a:avLst/>
                    </a:prstGeom>
                  </pic:spPr>
                </pic:pic>
              </a:graphicData>
            </a:graphic>
          </wp:anchor>
        </w:drawing>
      </w:r>
      <w:r>
        <w:rPr>
          <w:spacing w:val="11"/>
        </w:rPr>
        <w:t>程(工作井最深33.4</w:t>
      </w:r>
      <w:r>
        <w:rPr>
          <w:rFonts w:ascii="Times New Roman" w:eastAsia="Times New Roman" w:hAnsi="Times New Roman" w:cs="Times New Roman"/>
          <w:spacing w:val="11"/>
        </w:rPr>
        <w:t>m,</w:t>
      </w:r>
      <w:r>
        <w:rPr>
          <w:rFonts w:ascii="Times New Roman" w:eastAsia="Times New Roman" w:hAnsi="Times New Roman" w:cs="Times New Roman"/>
          <w:spacing w:val="3"/>
        </w:rPr>
        <w:t xml:space="preserve">  </w:t>
      </w:r>
      <w:r>
        <w:rPr>
          <w:spacing w:val="11"/>
        </w:rPr>
        <w:t>地连墙最深52</w:t>
      </w:r>
      <w:r>
        <w:rPr>
          <w:rFonts w:ascii="Times New Roman" w:eastAsia="Times New Roman" w:hAnsi="Times New Roman" w:cs="Times New Roman"/>
          <w:spacing w:val="11"/>
        </w:rPr>
        <w:t>m)</w:t>
      </w:r>
      <w:r>
        <w:rPr>
          <w:rFonts w:ascii="Times New Roman" w:eastAsia="Times New Roman" w:hAnsi="Times New Roman" w:cs="Times New Roman"/>
          <w:spacing w:val="-40"/>
        </w:rPr>
        <w:t xml:space="preserve"> </w:t>
      </w:r>
      <w:r>
        <w:rPr>
          <w:spacing w:val="11"/>
        </w:rPr>
        <w:t>、</w:t>
      </w:r>
      <w:r>
        <w:rPr>
          <w:spacing w:val="-18"/>
        </w:rPr>
        <w:t xml:space="preserve"> </w:t>
      </w:r>
      <w:r>
        <w:rPr>
          <w:spacing w:val="11"/>
        </w:rPr>
        <w:t>南京建宁西路过江通道工程(工</w:t>
      </w:r>
      <w:r>
        <w:t xml:space="preserve"> </w:t>
      </w:r>
      <w:r>
        <w:rPr>
          <w:spacing w:val="4"/>
        </w:rPr>
        <w:t>作井最宽39.5</w:t>
      </w:r>
      <w:r>
        <w:rPr>
          <w:rFonts w:ascii="Times New Roman" w:eastAsia="Times New Roman" w:hAnsi="Times New Roman" w:cs="Times New Roman"/>
          <w:spacing w:val="4"/>
        </w:rPr>
        <w:t>m,</w:t>
      </w:r>
      <w:r>
        <w:rPr>
          <w:rFonts w:ascii="Times New Roman" w:eastAsia="Times New Roman" w:hAnsi="Times New Roman" w:cs="Times New Roman"/>
          <w:spacing w:val="61"/>
          <w:w w:val="101"/>
        </w:rPr>
        <w:t xml:space="preserve"> </w:t>
      </w:r>
      <w:r>
        <w:rPr>
          <w:spacing w:val="4"/>
        </w:rPr>
        <w:t>最深45</w:t>
      </w:r>
      <w:r>
        <w:rPr>
          <w:rFonts w:ascii="Times New Roman" w:eastAsia="Times New Roman" w:hAnsi="Times New Roman" w:cs="Times New Roman"/>
          <w:spacing w:val="4"/>
        </w:rPr>
        <w:t>m,</w:t>
      </w:r>
      <w:r>
        <w:rPr>
          <w:rFonts w:ascii="Times New Roman" w:eastAsia="Times New Roman" w:hAnsi="Times New Roman" w:cs="Times New Roman"/>
          <w:spacing w:val="54"/>
          <w:w w:val="101"/>
        </w:rPr>
        <w:t xml:space="preserve"> </w:t>
      </w:r>
      <w:r>
        <w:rPr>
          <w:spacing w:val="4"/>
        </w:rPr>
        <w:t>地连墙深67</w:t>
      </w:r>
      <w:r>
        <w:rPr>
          <w:rFonts w:ascii="Times New Roman" w:eastAsia="Times New Roman" w:hAnsi="Times New Roman" w:cs="Times New Roman"/>
          <w:spacing w:val="4"/>
        </w:rPr>
        <w:t>m)</w:t>
      </w:r>
      <w:r>
        <w:rPr>
          <w:rFonts w:ascii="Times New Roman" w:eastAsia="Times New Roman" w:hAnsi="Times New Roman" w:cs="Times New Roman"/>
          <w:spacing w:val="-40"/>
        </w:rPr>
        <w:t xml:space="preserve"> </w:t>
      </w:r>
      <w:r>
        <w:rPr>
          <w:spacing w:val="4"/>
        </w:rPr>
        <w:t>、</w:t>
      </w:r>
      <w:r>
        <w:rPr>
          <w:spacing w:val="-28"/>
        </w:rPr>
        <w:t xml:space="preserve"> </w:t>
      </w:r>
      <w:r>
        <w:rPr>
          <w:spacing w:val="4"/>
        </w:rPr>
        <w:t>苏州桐泾路北延工程(国内首条</w:t>
      </w:r>
      <w:r>
        <w:t xml:space="preserve"> </w:t>
      </w:r>
      <w:r>
        <w:rPr>
          <w:spacing w:val="10"/>
        </w:rPr>
        <w:t>下穿高铁大直径盾构隧道，苏州最大直径盾构工程)、浙江湖</w:t>
      </w:r>
      <w:r>
        <w:rPr>
          <w:spacing w:val="9"/>
        </w:rPr>
        <w:t>州南浔隧道工</w:t>
      </w:r>
      <w:r>
        <w:t xml:space="preserve"> </w:t>
      </w:r>
      <w:r>
        <w:rPr>
          <w:spacing w:val="18"/>
        </w:rPr>
        <w:t>程(湖州市首条水下公路隧道)、济南黄河济泺路隧道(黄河上首条公轨合</w:t>
      </w:r>
    </w:p>
    <w:p>
      <w:pPr>
        <w:pStyle w:val="BodyText"/>
        <w:spacing w:line="219" w:lineRule="auto"/>
      </w:pPr>
      <w:r>
        <w:rPr>
          <w:spacing w:val="1"/>
        </w:rPr>
        <w:t>建的交通隧道)等软土深基坑工程中得到应用与验证，并集成了系列技术。</w:t>
      </w:r>
    </w:p>
    <w:p>
      <w:pPr>
        <w:pStyle w:val="BodyText"/>
        <w:spacing w:before="227" w:line="219" w:lineRule="auto"/>
      </w:pPr>
      <w:r>
        <w:rPr>
          <w:spacing w:val="-2"/>
        </w:rPr>
        <w:t>3.1 基于物联网技术的大型超深基坑智能控制降水技术</w:t>
      </w:r>
    </w:p>
    <w:p>
      <w:pPr>
        <w:pStyle w:val="BodyText"/>
        <w:spacing w:before="218" w:line="356" w:lineRule="auto"/>
        <w:ind w:right="137" w:firstLine="730"/>
      </w:pPr>
      <w:r>
        <w:rPr>
          <w:spacing w:val="4"/>
        </w:rPr>
        <w:t>(1)针对现有基坑降水常采用人工监测、利用水泵24小时排水的超降排</w:t>
      </w:r>
      <w:r>
        <w:rPr>
          <w:spacing w:val="17"/>
        </w:rPr>
        <w:t xml:space="preserve"> </w:t>
      </w:r>
      <w:r>
        <w:rPr>
          <w:spacing w:val="5"/>
        </w:rPr>
        <w:t>水法存在的技术问题，研发基坑降水井水位和水泵流量自动监测装置，以解</w:t>
      </w:r>
      <w:r>
        <w:rPr>
          <w:spacing w:val="13"/>
        </w:rPr>
        <w:t xml:space="preserve"> </w:t>
      </w:r>
      <w:r>
        <w:rPr>
          <w:spacing w:val="5"/>
        </w:rPr>
        <w:t>决了人工测量的工作量巨大和测量数据不连续等问题。通过物联网技术将数</w:t>
      </w:r>
      <w:r>
        <w:rPr>
          <w:spacing w:val="16"/>
        </w:rPr>
        <w:t xml:space="preserve"> </w:t>
      </w:r>
      <w:r>
        <w:rPr>
          <w:spacing w:val="5"/>
        </w:rPr>
        <w:t>据实时上传至云端，并且用网页端链接云端数据库，将水位流量数据绘制成</w:t>
      </w:r>
      <w:r>
        <w:rPr>
          <w:spacing w:val="16"/>
        </w:rPr>
        <w:t xml:space="preserve"> </w:t>
      </w:r>
      <w:r>
        <w:rPr>
          <w:spacing w:val="5"/>
        </w:rPr>
        <w:t>图表友好地展示给管理员，并且网页界面的展示可以适用各种客户端，如手</w:t>
      </w:r>
      <w:r>
        <w:rPr>
          <w:spacing w:val="15"/>
        </w:rPr>
        <w:t xml:space="preserve"> </w:t>
      </w:r>
      <w:r>
        <w:rPr>
          <w:spacing w:val="4"/>
        </w:rPr>
        <w:t>机端、电脑端等，可以做到随时随地查看和管理远程传回的水位流量数据，</w:t>
      </w:r>
    </w:p>
    <w:p>
      <w:pPr>
        <w:pStyle w:val="BodyText"/>
        <w:spacing w:line="220" w:lineRule="auto"/>
      </w:pPr>
      <w:r>
        <w:rPr>
          <w:spacing w:val="-8"/>
        </w:rPr>
        <w:t>如图1所示。</w:t>
      </w:r>
    </w:p>
    <w:p>
      <w:pPr>
        <w:pStyle w:val="BodyText"/>
        <w:spacing w:before="225" w:line="356" w:lineRule="auto"/>
        <w:ind w:right="128" w:firstLine="730"/>
      </w:pPr>
      <w:r>
        <w:rPr>
          <w:spacing w:val="5"/>
        </w:rPr>
        <w:t>(2)研发基坑降水井水泵自动控制系统，使其具有调用云</w:t>
      </w:r>
      <w:r>
        <w:rPr>
          <w:spacing w:val="4"/>
        </w:rPr>
        <w:t>端的数据以及</w:t>
      </w:r>
      <w:r>
        <w:t xml:space="preserve"> </w:t>
      </w:r>
      <w:r>
        <w:rPr>
          <w:spacing w:val="5"/>
        </w:rPr>
        <w:t>读取当地未来天气数据的功能，通过接口将数据上传至控制器，在控制器内</w:t>
      </w:r>
      <w:r>
        <w:rPr>
          <w:spacing w:val="2"/>
        </w:rPr>
        <w:t xml:space="preserve"> </w:t>
      </w:r>
      <w:r>
        <w:rPr>
          <w:spacing w:val="6"/>
        </w:rPr>
        <w:t>进行整理，并利用该数据进行模型的计算和基坑水位预测</w:t>
      </w:r>
      <w:r>
        <w:rPr>
          <w:spacing w:val="5"/>
        </w:rPr>
        <w:t>，借用水库库容的</w:t>
      </w:r>
      <w:r>
        <w:t xml:space="preserve"> </w:t>
      </w:r>
      <w:r>
        <w:rPr>
          <w:spacing w:val="6"/>
        </w:rPr>
        <w:t>调节思想，以模型计算结果同时结合实时降水井水</w:t>
      </w:r>
      <w:r>
        <w:rPr>
          <w:spacing w:val="5"/>
        </w:rPr>
        <w:t>位和水泵流量数据来确定</w:t>
      </w:r>
      <w:r>
        <w:t xml:space="preserve"> </w:t>
      </w:r>
      <w:r>
        <w:rPr>
          <w:spacing w:val="5"/>
        </w:rPr>
        <w:t>抽水泵当前的抽水量和未来的抽水量，针对不同的环境基坑降水情况进行模</w:t>
      </w:r>
    </w:p>
    <w:p>
      <w:pPr>
        <w:pStyle w:val="BodyText"/>
        <w:spacing w:before="1" w:line="219" w:lineRule="auto"/>
      </w:pPr>
      <w:r>
        <w:rPr>
          <w:spacing w:val="-6"/>
        </w:rPr>
        <w:t>型计算并完成决策。</w:t>
      </w:r>
    </w:p>
    <w:p>
      <w:pPr>
        <w:spacing w:line="284" w:lineRule="auto"/>
        <w:rPr>
          <w:rFonts w:ascii="Arial"/>
          <w:sz w:val="21"/>
        </w:rPr>
        <w:sectPr>
          <w:footerReference w:type="default" r:id="rId10"/>
          <w:pgSz w:w="11910" w:h="16840"/>
          <w:pgMar w:top="1409" w:right="1049" w:bottom="907" w:left="1299" w:header="0" w:footer="769" w:gutter="0"/>
          <w:pgNumType w:start="6"/>
          <w:cols w:space="708"/>
        </w:sectPr>
      </w:pPr>
    </w:p>
    <w:p>
      <w:pPr>
        <w:pStyle w:val="BodyText"/>
        <w:spacing w:line="3201" w:lineRule="exact"/>
        <w:ind w:firstLine="20"/>
      </w:pPr>
      <w:r>
        <w:rPr>
          <w:position w:val="-64"/>
        </w:rPr>
        <w:pict>
          <v:group id="_x0000_i1026" style="width:211.5pt;height:160.05pt;mso-position-horizontal-relative:char;mso-position-vertical-relative:line" coordorigin="0,0" coordsize="4230,320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4230;height:2941;position:absolute" filled="f" stroked="f">
              <v:imagedata r:id="rId11" o:title=""/>
            </v:shape>
            <v:shape id="_x0000_s1028" type="#_x0000_t202" style="width:3910;height:3137;left:140;position:absolute;top:83" filled="f" stroked="f">
              <o:lock v:ext="edit" aspectratio="f"/>
              <v:textbox inset="0,0,0,0">
                <w:txbxContent>
                  <w:p>
                    <w:pPr>
                      <w:spacing w:before="20" w:line="219" w:lineRule="auto"/>
                      <w:ind w:left="1709"/>
                      <w:rPr>
                        <w:rFonts w:ascii="SimSun" w:eastAsia="SimSun" w:hAnsi="SimSun" w:cs="SimSun"/>
                        <w:sz w:val="9"/>
                        <w:szCs w:val="9"/>
                      </w:rPr>
                    </w:pPr>
                    <w:r>
                      <w:rPr>
                        <w:rFonts w:ascii="SimSun" w:eastAsia="SimSun" w:hAnsi="SimSun" w:cs="SimSun"/>
                        <w:color w:val="FFFFFF"/>
                        <w:spacing w:val="-5"/>
                        <w:sz w:val="9"/>
                        <w:szCs w:val="9"/>
                      </w:rPr>
                      <w:t>无线信号</w:t>
                    </w:r>
                  </w:p>
                  <w:p>
                    <w:pPr>
                      <w:spacing w:line="401" w:lineRule="auto"/>
                      <w:rPr>
                        <w:rFonts w:ascii="Arial"/>
                        <w:sz w:val="21"/>
                      </w:rPr>
                    </w:pPr>
                  </w:p>
                  <w:p>
                    <w:pPr>
                      <w:spacing w:before="29" w:line="219" w:lineRule="auto"/>
                      <w:ind w:left="369"/>
                      <w:rPr>
                        <w:rFonts w:ascii="SimSun" w:eastAsia="SimSun" w:hAnsi="SimSun" w:cs="SimSun"/>
                        <w:sz w:val="9"/>
                        <w:szCs w:val="9"/>
                      </w:rPr>
                    </w:pPr>
                    <w:r>
                      <w:rPr>
                        <w:rFonts w:ascii="SimSun" w:eastAsia="SimSun" w:hAnsi="SimSun" w:cs="SimSun"/>
                        <w:spacing w:val="3"/>
                        <w:sz w:val="9"/>
                        <w:szCs w:val="9"/>
                      </w:rPr>
                      <w:t>无线发射模块</w:t>
                    </w:r>
                  </w:p>
                  <w:p>
                    <w:pPr>
                      <w:spacing w:before="54" w:line="222" w:lineRule="auto"/>
                      <w:ind w:left="1219"/>
                      <w:rPr>
                        <w:rFonts w:ascii="SimSun" w:eastAsia="SimSun" w:hAnsi="SimSun" w:cs="SimSun"/>
                        <w:sz w:val="9"/>
                        <w:szCs w:val="9"/>
                      </w:rPr>
                    </w:pPr>
                    <w:r>
                      <w:rPr>
                        <w:rFonts w:ascii="SimSun" w:eastAsia="SimSun" w:hAnsi="SimSun" w:cs="SimSun"/>
                        <w:spacing w:val="-3"/>
                        <w:sz w:val="9"/>
                        <w:szCs w:val="9"/>
                      </w:rPr>
                      <w:t>24V</w:t>
                    </w:r>
                    <w:r>
                      <w:rPr>
                        <w:rFonts w:ascii="SimSun" w:eastAsia="SimSun" w:hAnsi="SimSun" w:cs="SimSun"/>
                        <w:spacing w:val="-4"/>
                        <w:sz w:val="9"/>
                        <w:szCs w:val="9"/>
                      </w:rPr>
                      <w:t xml:space="preserve"> </w:t>
                    </w:r>
                    <w:r>
                      <w:rPr>
                        <w:rFonts w:ascii="SimSun" w:eastAsia="SimSun" w:hAnsi="SimSun" w:cs="SimSun"/>
                        <w:spacing w:val="-3"/>
                        <w:sz w:val="9"/>
                        <w:szCs w:val="9"/>
                      </w:rPr>
                      <w:t>电源</w:t>
                    </w:r>
                  </w:p>
                  <w:p>
                    <w:pPr>
                      <w:spacing w:before="205" w:line="203" w:lineRule="exact"/>
                      <w:ind w:left="309"/>
                      <w:rPr>
                        <w:rFonts w:ascii="SimSun" w:eastAsia="SimSun" w:hAnsi="SimSun" w:cs="SimSun"/>
                        <w:sz w:val="18"/>
                        <w:szCs w:val="18"/>
                      </w:rPr>
                    </w:pPr>
                    <w:r>
                      <w:rPr>
                        <w:rFonts w:ascii="Times New Roman" w:eastAsia="Times New Roman" w:hAnsi="Times New Roman" w:cs="Times New Roman"/>
                        <w:color w:val="FFFFFF"/>
                        <w:spacing w:val="-5"/>
                        <w:position w:val="3"/>
                        <w:sz w:val="28"/>
                        <w:szCs w:val="28"/>
                      </w:rPr>
                      <w:t>go</w:t>
                    </w:r>
                    <w:r>
                      <w:rPr>
                        <w:rFonts w:ascii="SimSun" w:eastAsia="SimSun" w:hAnsi="SimSun" w:cs="SimSun"/>
                        <w:spacing w:val="-13"/>
                        <w:w w:val="79"/>
                        <w:position w:val="1"/>
                        <w:sz w:val="16"/>
                        <w:szCs w:val="16"/>
                      </w:rPr>
                      <w:t>②</w:t>
                    </w:r>
                    <w:r>
                      <w:rPr>
                        <w:rFonts w:ascii="SimSun" w:eastAsia="SimSun" w:hAnsi="SimSun" w:cs="SimSun"/>
                        <w:spacing w:val="7"/>
                        <w:position w:val="1"/>
                        <w:sz w:val="16"/>
                        <w:szCs w:val="16"/>
                      </w:rPr>
                      <w:t xml:space="preserve"> </w:t>
                    </w:r>
                    <w:r>
                      <w:rPr>
                        <w:rFonts w:ascii="SimSun" w:eastAsia="SimSun" w:hAnsi="SimSun" w:cs="SimSun"/>
                        <w:color w:val="FFFFFF"/>
                        <w:spacing w:val="-13"/>
                        <w:w w:val="79"/>
                        <w:position w:val="1"/>
                        <w:sz w:val="18"/>
                        <w:szCs w:val="18"/>
                      </w:rPr>
                      <w:t>$</w:t>
                    </w:r>
                  </w:p>
                  <w:p>
                    <w:pPr>
                      <w:spacing w:line="360" w:lineRule="auto"/>
                      <w:rPr>
                        <w:rFonts w:ascii="Arial"/>
                        <w:sz w:val="21"/>
                      </w:rPr>
                    </w:pPr>
                  </w:p>
                  <w:p>
                    <w:pPr>
                      <w:spacing w:before="29" w:line="206" w:lineRule="auto"/>
                      <w:ind w:left="1059"/>
                      <w:rPr>
                        <w:rFonts w:ascii="SimSun" w:eastAsia="SimSun" w:hAnsi="SimSun" w:cs="SimSun"/>
                        <w:sz w:val="9"/>
                        <w:szCs w:val="9"/>
                      </w:rPr>
                    </w:pPr>
                    <w:r>
                      <w:rPr>
                        <w:rFonts w:ascii="SimSun" w:eastAsia="SimSun" w:hAnsi="SimSun" w:cs="SimSun"/>
                        <w:color w:val="FFFFFF"/>
                        <w:spacing w:val="-7"/>
                        <w:sz w:val="9"/>
                        <w:szCs w:val="9"/>
                      </w:rPr>
                      <w:t>开关</w:t>
                    </w:r>
                  </w:p>
                  <w:p>
                    <w:pPr>
                      <w:spacing w:before="1" w:line="220" w:lineRule="auto"/>
                      <w:ind w:left="1999"/>
                      <w:rPr>
                        <w:rFonts w:ascii="SimSun" w:eastAsia="SimSun" w:hAnsi="SimSun" w:cs="SimSun"/>
                        <w:sz w:val="9"/>
                        <w:szCs w:val="9"/>
                      </w:rPr>
                    </w:pPr>
                    <w:r>
                      <w:rPr>
                        <w:rFonts w:ascii="SimSun" w:eastAsia="SimSun" w:hAnsi="SimSun" w:cs="SimSun"/>
                        <w:spacing w:val="6"/>
                        <w:sz w:val="9"/>
                        <w:szCs w:val="9"/>
                      </w:rPr>
                      <w:t>交流接触器</w:t>
                    </w:r>
                  </w:p>
                  <w:p>
                    <w:pPr>
                      <w:spacing w:before="161" w:line="223" w:lineRule="auto"/>
                      <w:ind w:left="239"/>
                      <w:rPr>
                        <w:rFonts w:ascii="FangSong" w:eastAsia="FangSong" w:hAnsi="FangSong" w:cs="FangSong"/>
                        <w:sz w:val="9"/>
                        <w:szCs w:val="9"/>
                      </w:rPr>
                    </w:pPr>
                    <w:r>
                      <w:rPr>
                        <w:rFonts w:ascii="FangSong" w:eastAsia="FangSong" w:hAnsi="FangSong" w:cs="FangSong"/>
                        <w:spacing w:val="-2"/>
                        <w:sz w:val="9"/>
                        <w:szCs w:val="9"/>
                      </w:rPr>
                      <w:t>授入</w:t>
                    </w:r>
                  </w:p>
                  <w:p>
                    <w:pPr>
                      <w:spacing w:before="12" w:line="220" w:lineRule="auto"/>
                      <w:ind w:left="239"/>
                      <w:rPr>
                        <w:rFonts w:ascii="SimSun" w:eastAsia="SimSun" w:hAnsi="SimSun" w:cs="SimSun"/>
                        <w:sz w:val="9"/>
                        <w:szCs w:val="9"/>
                      </w:rPr>
                    </w:pPr>
                    <w:r>
                      <w:rPr>
                        <w:rFonts w:ascii="SimSun" w:eastAsia="SimSun" w:hAnsi="SimSun" w:cs="SimSun"/>
                        <w:color w:val="FFFFFF"/>
                        <w:spacing w:val="-2"/>
                        <w:sz w:val="9"/>
                        <w:szCs w:val="9"/>
                      </w:rPr>
                      <w:t>式液</w:t>
                    </w:r>
                  </w:p>
                  <w:p>
                    <w:pPr>
                      <w:spacing w:before="22" w:line="144" w:lineRule="exact"/>
                      <w:ind w:left="239"/>
                      <w:rPr>
                        <w:rFonts w:ascii="SimSun" w:eastAsia="SimSun" w:hAnsi="SimSun" w:cs="SimSun"/>
                        <w:sz w:val="9"/>
                        <w:szCs w:val="9"/>
                      </w:rPr>
                    </w:pPr>
                    <w:r>
                      <w:rPr>
                        <w:rFonts w:ascii="SimSun" w:eastAsia="SimSun" w:hAnsi="SimSun" w:cs="SimSun"/>
                        <w:spacing w:val="-1"/>
                        <w:position w:val="4"/>
                        <w:sz w:val="9"/>
                        <w:szCs w:val="9"/>
                      </w:rPr>
                      <w:t>位传</w:t>
                    </w:r>
                  </w:p>
                  <w:p>
                    <w:pPr>
                      <w:spacing w:line="179" w:lineRule="auto"/>
                      <w:ind w:left="239"/>
                      <w:rPr>
                        <w:rFonts w:ascii="LiSu" w:eastAsia="LiSu" w:hAnsi="LiSu" w:cs="LiSu"/>
                        <w:sz w:val="9"/>
                        <w:szCs w:val="9"/>
                      </w:rPr>
                    </w:pPr>
                    <w:r>
                      <w:rPr>
                        <w:rFonts w:ascii="LiSu" w:eastAsia="LiSu" w:hAnsi="LiSu" w:cs="LiSu"/>
                        <w:spacing w:val="-1"/>
                        <w:sz w:val="9"/>
                        <w:szCs w:val="9"/>
                      </w:rPr>
                      <w:t>感器</w:t>
                    </w:r>
                  </w:p>
                  <w:p>
                    <w:pPr>
                      <w:spacing w:line="264" w:lineRule="auto"/>
                      <w:rPr>
                        <w:rFonts w:ascii="Arial"/>
                        <w:sz w:val="21"/>
                      </w:rPr>
                    </w:pPr>
                  </w:p>
                  <w:p>
                    <w:pPr>
                      <w:spacing w:before="92" w:line="219" w:lineRule="auto"/>
                      <w:ind w:left="20"/>
                      <w:rPr>
                        <w:rFonts w:ascii="SimSun" w:eastAsia="SimSun" w:hAnsi="SimSun" w:cs="SimSun"/>
                        <w:sz w:val="28"/>
                        <w:szCs w:val="28"/>
                      </w:rPr>
                    </w:pPr>
                    <w:r>
                      <w:rPr>
                        <w:rFonts w:ascii="SimSun" w:eastAsia="SimSun" w:hAnsi="SimSun" w:cs="SimSun"/>
                        <w:spacing w:val="-4"/>
                        <w:sz w:val="28"/>
                        <w:szCs w:val="28"/>
                      </w:rPr>
                      <w:t>(a) 基坑降水远程智能控制系统</w:t>
                    </w:r>
                  </w:p>
                </w:txbxContent>
              </v:textbox>
            </v:shape>
            <v:shape id="_x0000_s1029" type="#_x0000_t202" style="width:162;height:404;left:-8;position:absolute;top:2147" filled="f" stroked="f">
              <o:lock v:ext="edit" aspectratio="f"/>
              <v:textbox style="layout-flow:vertical-ideographic" inset="0,0,0,0">
                <w:txbxContent>
                  <w:p>
                    <w:pPr>
                      <w:spacing w:before="20" w:line="205" w:lineRule="auto"/>
                      <w:ind w:left="20"/>
                      <w:rPr>
                        <w:rFonts w:ascii="FZYaoTi" w:eastAsia="FZYaoTi" w:hAnsi="FZYaoTi" w:cs="FZYaoTi"/>
                        <w:sz w:val="11"/>
                        <w:szCs w:val="11"/>
                      </w:rPr>
                    </w:pPr>
                    <w:r>
                      <w:rPr>
                        <w:rFonts w:ascii="FZYaoTi" w:eastAsia="FZYaoTi" w:hAnsi="FZYaoTi" w:cs="FZYaoTi"/>
                        <w:spacing w:val="11"/>
                        <w:sz w:val="11"/>
                        <w:szCs w:val="11"/>
                      </w:rPr>
                      <w:t>降水井</w:t>
                    </w:r>
                  </w:p>
                </w:txbxContent>
              </v:textbox>
            </v:shape>
            <v:shape id="_x0000_s1030" type="#_x0000_t202" style="width:162;height:404;left:2156;position:absolute;top:2387" filled="f" stroked="f">
              <o:lock v:ext="edit" aspectratio="f"/>
              <v:textbox style="layout-flow:vertical-ideographic" inset="0,0,0,0">
                <w:txbxContent>
                  <w:p>
                    <w:pPr>
                      <w:spacing w:before="19" w:line="206" w:lineRule="auto"/>
                      <w:ind w:left="20"/>
                      <w:rPr>
                        <w:rFonts w:ascii="FZYaoTi" w:eastAsia="FZYaoTi" w:hAnsi="FZYaoTi" w:cs="FZYaoTi"/>
                        <w:sz w:val="11"/>
                        <w:szCs w:val="11"/>
                      </w:rPr>
                    </w:pPr>
                    <w:r>
                      <w:rPr>
                        <w:rFonts w:ascii="FZYaoTi" w:eastAsia="FZYaoTi" w:hAnsi="FZYaoTi" w:cs="FZYaoTi"/>
                        <w:spacing w:val="11"/>
                        <w:sz w:val="11"/>
                        <w:szCs w:val="11"/>
                      </w:rPr>
                      <w:t>降求井</w:t>
                    </w:r>
                  </w:p>
                </w:txbxContent>
              </v:textbox>
            </v:shape>
            <v:shape id="_x0000_s1031" type="#_x0000_t202" style="width:507;height:130;left:2190;position:absolute;top:584" filled="f" stroked="f">
              <o:lock v:ext="edit" aspectratio="f"/>
              <v:textbox inset="0,0,0,0">
                <w:txbxContent>
                  <w:p>
                    <w:pPr>
                      <w:spacing w:before="20" w:line="221" w:lineRule="auto"/>
                      <w:ind w:left="20"/>
                      <w:rPr>
                        <w:rFonts w:ascii="SimSun" w:eastAsia="SimSun" w:hAnsi="SimSun" w:cs="SimSun"/>
                        <w:sz w:val="9"/>
                        <w:szCs w:val="9"/>
                      </w:rPr>
                    </w:pPr>
                    <w:r>
                      <w:rPr>
                        <w:rFonts w:ascii="SimSun" w:eastAsia="SimSun" w:hAnsi="SimSun" w:cs="SimSun"/>
                        <w:spacing w:val="-2"/>
                        <w:sz w:val="9"/>
                        <w:szCs w:val="9"/>
                      </w:rPr>
                      <w:t>380V</w:t>
                    </w:r>
                    <w:r>
                      <w:rPr>
                        <w:rFonts w:ascii="SimSun" w:eastAsia="SimSun" w:hAnsi="SimSun" w:cs="SimSun"/>
                        <w:spacing w:val="-15"/>
                        <w:sz w:val="9"/>
                        <w:szCs w:val="9"/>
                      </w:rPr>
                      <w:t xml:space="preserve"> </w:t>
                    </w:r>
                    <w:r>
                      <w:rPr>
                        <w:rFonts w:ascii="SimSun" w:eastAsia="SimSun" w:hAnsi="SimSun" w:cs="SimSun"/>
                        <w:spacing w:val="-2"/>
                        <w:sz w:val="9"/>
                        <w:szCs w:val="9"/>
                      </w:rPr>
                      <w:t>三相电</w:t>
                    </w:r>
                  </w:p>
                </w:txbxContent>
              </v:textbox>
            </v:shape>
            <v:shape id="_x0000_s1032" type="#_x0000_t202" style="width:151;height:417;left:2549;position:absolute;top:2274" filled="f" stroked="f">
              <o:lock v:ext="edit" aspectratio="f"/>
              <v:textbox style="layout-flow:vertical-ideographic" inset="0,0,0,0">
                <w:txbxContent>
                  <w:p>
                    <w:pPr>
                      <w:spacing w:before="19" w:line="216" w:lineRule="auto"/>
                      <w:ind w:left="20"/>
                      <w:rPr>
                        <w:rFonts w:ascii="FangSong" w:eastAsia="FangSong" w:hAnsi="FangSong" w:cs="FangSong"/>
                        <w:sz w:val="11"/>
                        <w:szCs w:val="11"/>
                      </w:rPr>
                    </w:pPr>
                    <w:r>
                      <w:rPr>
                        <w:rFonts w:ascii="FangSong" w:eastAsia="FangSong" w:hAnsi="FangSong" w:cs="FangSong"/>
                        <w:spacing w:val="15"/>
                        <w:sz w:val="11"/>
                        <w:szCs w:val="11"/>
                      </w:rPr>
                      <w:t>潜水泵</w:t>
                    </w:r>
                  </w:p>
                </w:txbxContent>
              </v:textbox>
            </v:shape>
            <v:shape id="_x0000_s1033" type="#_x0000_t202" style="width:485;height:130;left:2980;position:absolute;top:623" filled="f" stroked="f">
              <o:lock v:ext="edit" aspectratio="f"/>
              <v:textbox inset="0,0,0,0">
                <w:txbxContent>
                  <w:p>
                    <w:pPr>
                      <w:spacing w:before="20" w:line="220" w:lineRule="auto"/>
                      <w:ind w:left="20"/>
                      <w:rPr>
                        <w:rFonts w:ascii="SimSun" w:eastAsia="SimSun" w:hAnsi="SimSun" w:cs="SimSun"/>
                        <w:sz w:val="9"/>
                        <w:szCs w:val="9"/>
                      </w:rPr>
                    </w:pPr>
                    <w:r>
                      <w:rPr>
                        <w:rFonts w:ascii="SimSun" w:eastAsia="SimSun" w:hAnsi="SimSun" w:cs="SimSun"/>
                        <w:spacing w:val="-1"/>
                        <w:sz w:val="9"/>
                        <w:szCs w:val="9"/>
                      </w:rPr>
                      <w:t>无线维电器</w:t>
                    </w:r>
                  </w:p>
                </w:txbxContent>
              </v:textbox>
            </v:shape>
            <v:shape id="_x0000_s1034" type="#_x0000_t202" style="width:394;height:130;left:1890;position:absolute;top:1153" filled="f" stroked="f">
              <o:lock v:ext="edit" aspectratio="f"/>
              <v:textbox inset="0,0,0,0">
                <w:txbxContent>
                  <w:p>
                    <w:pPr>
                      <w:spacing w:before="20" w:line="220" w:lineRule="auto"/>
                      <w:ind w:left="20"/>
                      <w:rPr>
                        <w:rFonts w:ascii="SimSun" w:eastAsia="SimSun" w:hAnsi="SimSun" w:cs="SimSun"/>
                        <w:sz w:val="9"/>
                        <w:szCs w:val="9"/>
                      </w:rPr>
                    </w:pPr>
                    <w:r>
                      <w:rPr>
                        <w:rFonts w:ascii="SimSun" w:eastAsia="SimSun" w:hAnsi="SimSun" w:cs="SimSun"/>
                        <w:spacing w:val="-2"/>
                        <w:sz w:val="9"/>
                        <w:szCs w:val="9"/>
                      </w:rPr>
                      <w:t>空气开关</w:t>
                    </w:r>
                  </w:p>
                </w:txbxContent>
              </v:textbox>
            </v:shape>
            <v:shape id="_x0000_s1035" type="#_x0000_t202" style="width:302;height:90;left:3800;position:absolute;top:822" filled="f" stroked="f">
              <o:lock v:ext="edit" aspectratio="f"/>
              <v:textbox inset="0,0,0,0">
                <w:txbxContent>
                  <w:p>
                    <w:pPr>
                      <w:spacing w:before="20" w:line="220" w:lineRule="auto"/>
                      <w:ind w:left="20"/>
                      <w:rPr>
                        <w:rFonts w:ascii="SimSun" w:eastAsia="SimSun" w:hAnsi="SimSun" w:cs="SimSun"/>
                        <w:sz w:val="5"/>
                        <w:szCs w:val="5"/>
                      </w:rPr>
                    </w:pPr>
                    <w:r>
                      <w:rPr>
                        <w:rFonts w:ascii="SimSun" w:eastAsia="SimSun" w:hAnsi="SimSun" w:cs="SimSun"/>
                        <w:spacing w:val="-1"/>
                        <w:sz w:val="5"/>
                        <w:szCs w:val="5"/>
                      </w:rPr>
                      <w:t>24V    电溺</w:t>
                    </w:r>
                  </w:p>
                </w:txbxContent>
              </v:textbox>
            </v:shape>
            <w10:wrap type="none"/>
          </v:group>
        </w:pict>
      </w:r>
    </w:p>
    <w:p>
      <w:pPr>
        <w:pStyle w:val="BodyText"/>
        <w:spacing w:before="102" w:line="221" w:lineRule="auto"/>
        <w:ind w:left="5560"/>
      </w:pPr>
      <w:r>
        <w:t>统</w:t>
      </w:r>
    </w:p>
    <w:p>
      <w:pPr>
        <w:spacing w:line="221" w:lineRule="auto"/>
        <w:sectPr>
          <w:footerReference w:type="default" r:id="rId12"/>
          <w:type w:val="nextPage"/>
          <w:pgSz w:w="11910" w:h="16840"/>
          <w:pgMar w:top="1409" w:right="1049" w:bottom="907" w:left="1299" w:header="0" w:footer="769" w:gutter="0"/>
          <w:pgNumType w:start="7"/>
          <w:cols w:space="708"/>
          <w:titlePg w:val="0"/>
        </w:sectPr>
      </w:pPr>
    </w:p>
    <w:p>
      <w:pPr>
        <w:spacing w:before="86" w:line="444" w:lineRule="exact"/>
        <w:ind w:left="1879"/>
        <w:rPr>
          <w:rFonts w:ascii="SimHei" w:eastAsia="SimHei" w:hAnsi="SimHei" w:cs="SimHei"/>
          <w:sz w:val="22"/>
          <w:szCs w:val="22"/>
        </w:rPr>
      </w:pPr>
      <w:r>
        <w:drawing>
          <wp:anchor distT="0" distB="0" distL="0" distR="0" simplePos="0" relativeHeight="251662336" behindDoc="0" locked="0" layoutInCell="0" allowOverlap="1">
            <wp:simplePos x="0" y="0"/>
            <wp:positionH relativeFrom="page">
              <wp:posOffset>4070325</wp:posOffset>
            </wp:positionH>
            <wp:positionV relativeFrom="page">
              <wp:posOffset>3651260</wp:posOffset>
            </wp:positionV>
            <wp:extent cx="1377951" cy="279418"/>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1377951" cy="279418"/>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4019579</wp:posOffset>
            </wp:positionH>
            <wp:positionV relativeFrom="page">
              <wp:posOffset>3968748</wp:posOffset>
            </wp:positionV>
            <wp:extent cx="1898653" cy="31117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4"/>
                    <a:stretch>
                      <a:fillRect/>
                    </a:stretch>
                  </pic:blipFill>
                  <pic:spPr>
                    <a:xfrm>
                      <a:off x="0" y="0"/>
                      <a:ext cx="1898653" cy="311178"/>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3632210</wp:posOffset>
            </wp:positionH>
            <wp:positionV relativeFrom="page">
              <wp:posOffset>4413272</wp:posOffset>
            </wp:positionV>
            <wp:extent cx="2635274" cy="148584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5"/>
                    <a:stretch>
                      <a:fillRect/>
                    </a:stretch>
                  </pic:blipFill>
                  <pic:spPr>
                    <a:xfrm>
                      <a:off x="0" y="0"/>
                      <a:ext cx="2635274" cy="1485847"/>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1593870</wp:posOffset>
            </wp:positionH>
            <wp:positionV relativeFrom="page">
              <wp:posOffset>5746740</wp:posOffset>
            </wp:positionV>
            <wp:extent cx="869954" cy="26038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6"/>
                    <a:stretch>
                      <a:fillRect/>
                    </a:stretch>
                  </pic:blipFill>
                  <pic:spPr>
                    <a:xfrm>
                      <a:off x="0" y="0"/>
                      <a:ext cx="869954" cy="260384"/>
                    </a:xfrm>
                    <a:prstGeom prst="rect">
                      <a:avLst/>
                    </a:prstGeom>
                  </pic:spPr>
                </pic:pic>
              </a:graphicData>
            </a:graphic>
          </wp:anchor>
        </w:drawing>
      </w:r>
      <w:r>
        <w:rPr>
          <w:rFonts w:ascii="SimHei" w:eastAsia="SimHei" w:hAnsi="SimHei" w:cs="SimHei"/>
          <w:spacing w:val="15"/>
          <w:position w:val="16"/>
          <w:sz w:val="22"/>
          <w:szCs w:val="22"/>
        </w:rPr>
        <w:t>图</w:t>
      </w:r>
      <w:r>
        <w:rPr>
          <w:rFonts w:ascii="SimHei" w:eastAsia="SimHei" w:hAnsi="SimHei" w:cs="SimHei"/>
          <w:spacing w:val="15"/>
          <w:position w:val="16"/>
          <w:sz w:val="22"/>
          <w:szCs w:val="22"/>
        </w:rPr>
        <w:t xml:space="preserve"> </w:t>
      </w:r>
      <w:r>
        <w:rPr>
          <w:rFonts w:ascii="SimHei" w:eastAsia="SimHei" w:hAnsi="SimHei" w:cs="SimHei"/>
          <w:spacing w:val="15"/>
          <w:position w:val="16"/>
          <w:sz w:val="22"/>
          <w:szCs w:val="22"/>
        </w:rPr>
        <w:t>1</w:t>
      </w:r>
      <w:r>
        <w:rPr>
          <w:rFonts w:ascii="SimHei" w:eastAsia="SimHei" w:hAnsi="SimHei" w:cs="SimHei"/>
          <w:spacing w:val="15"/>
          <w:position w:val="16"/>
          <w:sz w:val="22"/>
          <w:szCs w:val="22"/>
        </w:rPr>
        <w:t xml:space="preserve"> </w:t>
      </w:r>
      <w:r>
        <w:rPr>
          <w:rFonts w:ascii="SimHei" w:eastAsia="SimHei" w:hAnsi="SimHei" w:cs="SimHei"/>
          <w:spacing w:val="15"/>
          <w:position w:val="16"/>
          <w:sz w:val="22"/>
          <w:szCs w:val="22"/>
        </w:rPr>
        <w:t>基于物联网技术的大型超深基坑智能控制降水技术</w:t>
      </w:r>
    </w:p>
    <w:p>
      <w:pPr>
        <w:pStyle w:val="BodyText"/>
        <w:spacing w:line="220" w:lineRule="auto"/>
        <w:ind w:left="70"/>
        <w:rPr>
          <w:sz w:val="27"/>
          <w:szCs w:val="27"/>
        </w:rPr>
      </w:pPr>
      <w:r>
        <w:rPr>
          <w:spacing w:val="4"/>
          <w:sz w:val="27"/>
          <w:szCs w:val="27"/>
        </w:rPr>
        <w:t>3.2 建立了软土深基坑变形分析理论。</w:t>
      </w:r>
    </w:p>
    <w:p>
      <w:pPr>
        <w:pStyle w:val="BodyText"/>
        <w:spacing w:before="207" w:line="219" w:lineRule="auto"/>
        <w:ind w:left="780"/>
        <w:rPr>
          <w:sz w:val="27"/>
          <w:szCs w:val="27"/>
        </w:rPr>
      </w:pPr>
      <w:r>
        <w:rPr>
          <w:spacing w:val="14"/>
          <w:sz w:val="27"/>
          <w:szCs w:val="27"/>
        </w:rPr>
        <w:t>(1)富水强透水地层控制性降水分析理论</w:t>
      </w:r>
    </w:p>
    <w:p>
      <w:pPr>
        <w:pStyle w:val="BodyText"/>
        <w:spacing w:before="234" w:line="370" w:lineRule="auto"/>
        <w:ind w:left="70" w:firstLine="560"/>
        <w:jc w:val="both"/>
        <w:rPr>
          <w:sz w:val="27"/>
          <w:szCs w:val="27"/>
        </w:rPr>
      </w:pPr>
      <w:r>
        <w:rPr>
          <w:spacing w:val="16"/>
          <w:sz w:val="27"/>
          <w:szCs w:val="27"/>
        </w:rPr>
        <w:t>①采用基坑的一维简化双层地基模型，通过稳定渗流条件下</w:t>
      </w:r>
      <w:r>
        <w:rPr>
          <w:spacing w:val="15"/>
          <w:sz w:val="27"/>
          <w:szCs w:val="27"/>
        </w:rPr>
        <w:t>的静孔压和</w:t>
      </w:r>
      <w:r>
        <w:rPr>
          <w:sz w:val="27"/>
          <w:szCs w:val="27"/>
        </w:rPr>
        <w:t xml:space="preserve"> </w:t>
      </w:r>
      <w:r>
        <w:rPr>
          <w:spacing w:val="16"/>
          <w:sz w:val="27"/>
          <w:szCs w:val="27"/>
        </w:rPr>
        <w:t>坑外地下水位变化引起的超静孔压叠加的方法求解基坑支</w:t>
      </w:r>
      <w:r>
        <w:rPr>
          <w:spacing w:val="15"/>
          <w:sz w:val="27"/>
          <w:szCs w:val="27"/>
        </w:rPr>
        <w:t>护结构两侧的总孔</w:t>
      </w:r>
      <w:r>
        <w:rPr>
          <w:sz w:val="27"/>
          <w:szCs w:val="27"/>
        </w:rPr>
        <w:t xml:space="preserve"> </w:t>
      </w:r>
      <w:r>
        <w:rPr>
          <w:spacing w:val="16"/>
          <w:sz w:val="27"/>
          <w:szCs w:val="27"/>
        </w:rPr>
        <w:t>压，进一步求解得到基坑支护结构两侧的竖向有效</w:t>
      </w:r>
      <w:r>
        <w:rPr>
          <w:spacing w:val="15"/>
          <w:sz w:val="27"/>
          <w:szCs w:val="27"/>
        </w:rPr>
        <w:t>应力、有效土压力及总侧</w:t>
      </w:r>
      <w:r>
        <w:rPr>
          <w:sz w:val="27"/>
          <w:szCs w:val="27"/>
        </w:rPr>
        <w:t xml:space="preserve"> </w:t>
      </w:r>
      <w:r>
        <w:rPr>
          <w:spacing w:val="16"/>
          <w:sz w:val="27"/>
          <w:szCs w:val="27"/>
        </w:rPr>
        <w:t>压力，提出了高渗透性富水地层基于非稳定渗流理</w:t>
      </w:r>
      <w:r>
        <w:rPr>
          <w:spacing w:val="15"/>
          <w:sz w:val="27"/>
          <w:szCs w:val="27"/>
        </w:rPr>
        <w:t>论的基坑坑底抗渗流稳定</w:t>
      </w:r>
    </w:p>
    <w:p>
      <w:pPr>
        <w:pStyle w:val="BodyText"/>
        <w:spacing w:line="219" w:lineRule="auto"/>
        <w:ind w:left="80"/>
        <w:rPr>
          <w:sz w:val="27"/>
          <w:szCs w:val="27"/>
        </w:rPr>
      </w:pPr>
      <w:r>
        <w:rPr>
          <w:sz w:val="27"/>
          <w:szCs w:val="27"/>
        </w:rPr>
        <w:t>性的计算方法，如图2所示。</w:t>
      </w:r>
    </w:p>
    <w:p>
      <w:pPr>
        <w:spacing w:line="249" w:lineRule="auto"/>
        <w:rPr>
          <w:rFonts w:ascii="Arial"/>
          <w:sz w:val="21"/>
        </w:rPr>
      </w:pPr>
    </w:p>
    <w:p>
      <w:pPr>
        <w:spacing w:before="42" w:line="222" w:lineRule="auto"/>
        <w:ind w:left="1050"/>
        <w:rPr>
          <w:rFonts w:ascii="SimHei" w:eastAsia="SimHei" w:hAnsi="SimHei" w:cs="SimHei"/>
          <w:sz w:val="13"/>
          <w:szCs w:val="13"/>
        </w:rPr>
      </w:pPr>
      <w:r>
        <w:rPr>
          <w:rFonts w:ascii="SimHei" w:eastAsia="SimHei" w:hAnsi="SimHei" w:cs="SimHei"/>
          <w:spacing w:val="-1"/>
          <w:sz w:val="13"/>
          <w:szCs w:val="13"/>
        </w:rPr>
        <w:t>(1)主动侧总孔压</w:t>
      </w:r>
    </w:p>
    <w:p>
      <w:pPr>
        <w:spacing w:before="19" w:line="390" w:lineRule="exact"/>
        <w:ind w:firstLine="1100"/>
      </w:pPr>
      <w:r>
        <w:rPr>
          <w:position w:val="-7"/>
        </w:rPr>
        <w:drawing>
          <wp:inline distT="0" distB="0" distL="0" distR="0">
            <wp:extent cx="1530342" cy="24765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7"/>
                    <a:stretch>
                      <a:fillRect/>
                    </a:stretch>
                  </pic:blipFill>
                  <pic:spPr>
                    <a:xfrm>
                      <a:off x="0" y="0"/>
                      <a:ext cx="1530342" cy="247659"/>
                    </a:xfrm>
                    <a:prstGeom prst="rect">
                      <a:avLst/>
                    </a:prstGeom>
                  </pic:spPr>
                </pic:pic>
              </a:graphicData>
            </a:graphic>
          </wp:inline>
        </w:drawing>
      </w:r>
    </w:p>
    <w:p>
      <w:pPr>
        <w:spacing w:before="60"/>
        <w:ind w:left="1100"/>
        <w:rPr>
          <w:sz w:val="19"/>
          <w:szCs w:val="19"/>
        </w:rPr>
      </w:pPr>
      <w:r>
        <w:rPr>
          <w:rFonts w:ascii="SimHei" w:eastAsia="SimHei" w:hAnsi="SimHei" w:cs="SimHei"/>
          <w:color w:val="16E58E"/>
          <w:spacing w:val="-14"/>
          <w:w w:val="79"/>
          <w:sz w:val="19"/>
          <w:szCs w:val="19"/>
        </w:rPr>
        <w:t>十</w:t>
      </w:r>
      <w:r>
        <w:rPr>
          <w:position w:val="-16"/>
          <w:sz w:val="19"/>
          <w:szCs w:val="19"/>
        </w:rPr>
        <w:drawing>
          <wp:inline distT="0" distB="0" distL="0" distR="0">
            <wp:extent cx="1272003" cy="24124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8"/>
                    <a:stretch>
                      <a:fillRect/>
                    </a:stretch>
                  </pic:blipFill>
                  <pic:spPr>
                    <a:xfrm>
                      <a:off x="0" y="0"/>
                      <a:ext cx="1272003" cy="241242"/>
                    </a:xfrm>
                    <a:prstGeom prst="rect">
                      <a:avLst/>
                    </a:prstGeom>
                  </pic:spPr>
                </pic:pic>
              </a:graphicData>
            </a:graphic>
          </wp:inline>
        </w:drawing>
      </w:r>
    </w:p>
    <w:p>
      <w:pPr>
        <w:spacing w:before="60" w:line="295" w:lineRule="exact"/>
        <w:ind w:left="1100"/>
        <w:rPr>
          <w:rFonts w:ascii="Times New Roman" w:eastAsia="Times New Roman" w:hAnsi="Times New Roman" w:cs="Times New Roman"/>
          <w:sz w:val="16"/>
          <w:szCs w:val="16"/>
        </w:rPr>
      </w:pPr>
      <w:r>
        <w:rPr>
          <w:rFonts w:ascii="Times New Roman" w:eastAsia="Times New Roman" w:hAnsi="Times New Roman" w:cs="Times New Roman"/>
          <w:position w:val="6"/>
          <w:sz w:val="16"/>
          <w:szCs w:val="16"/>
        </w:rPr>
        <w:drawing>
          <wp:inline distT="0" distB="0" distL="0" distR="0">
            <wp:extent cx="146038" cy="11431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9"/>
                    <a:stretch>
                      <a:fillRect/>
                    </a:stretch>
                  </pic:blipFill>
                  <pic:spPr>
                    <a:xfrm>
                      <a:off x="0" y="0"/>
                      <a:ext cx="146038" cy="114312"/>
                    </a:xfrm>
                    <a:prstGeom prst="rect">
                      <a:avLst/>
                    </a:prstGeom>
                  </pic:spPr>
                </pic:pic>
              </a:graphicData>
            </a:graphic>
          </wp:inline>
        </w:drawing>
      </w:r>
      <w:r>
        <w:rPr>
          <w:rFonts w:ascii="Times New Roman" w:eastAsia="Times New Roman" w:hAnsi="Times New Roman" w:cs="Times New Roman"/>
          <w:spacing w:val="5"/>
          <w:position w:val="7"/>
          <w:sz w:val="16"/>
          <w:szCs w:val="16"/>
        </w:rPr>
        <w:t xml:space="preserve">      </w:t>
      </w:r>
      <w:r>
        <w:rPr>
          <w:rFonts w:ascii="Times New Roman" w:eastAsia="Times New Roman" w:hAnsi="Times New Roman" w:cs="Times New Roman"/>
          <w:spacing w:val="-1"/>
          <w:position w:val="7"/>
          <w:sz w:val="16"/>
          <w:szCs w:val="16"/>
        </w:rPr>
        <w:t>u₀=u₁+4</w:t>
      </w:r>
    </w:p>
    <w:p>
      <w:pPr>
        <w:spacing w:before="1" w:line="221" w:lineRule="auto"/>
        <w:ind w:left="1050"/>
        <w:rPr>
          <w:rFonts w:ascii="SimHei" w:eastAsia="SimHei" w:hAnsi="SimHei" w:cs="SimHei"/>
          <w:sz w:val="13"/>
          <w:szCs w:val="13"/>
        </w:rPr>
      </w:pPr>
      <w:r>
        <w:rPr>
          <w:rFonts w:ascii="SimHei" w:eastAsia="SimHei" w:hAnsi="SimHei" w:cs="SimHei"/>
          <w:spacing w:val="-3"/>
          <w:sz w:val="13"/>
          <w:szCs w:val="13"/>
        </w:rPr>
        <w:t>(2)被动侧总孔压</w:t>
      </w:r>
    </w:p>
    <w:p>
      <w:pPr>
        <w:spacing w:before="19" w:line="600" w:lineRule="exact"/>
        <w:ind w:firstLine="1100"/>
      </w:pPr>
      <w:r>
        <w:rPr>
          <w:position w:val="-12"/>
        </w:rPr>
        <w:drawing>
          <wp:inline distT="0" distB="0" distL="0" distR="0">
            <wp:extent cx="1924064" cy="38100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0"/>
                    <a:stretch>
                      <a:fillRect/>
                    </a:stretch>
                  </pic:blipFill>
                  <pic:spPr>
                    <a:xfrm>
                      <a:off x="0" y="0"/>
                      <a:ext cx="1924064" cy="381005"/>
                    </a:xfrm>
                    <a:prstGeom prst="rect">
                      <a:avLst/>
                    </a:prstGeom>
                  </pic:spPr>
                </pic:pic>
              </a:graphicData>
            </a:graphic>
          </wp:inline>
        </w:drawing>
      </w:r>
    </w:p>
    <w:p>
      <w:pPr>
        <w:spacing w:before="60" w:line="400" w:lineRule="exact"/>
        <w:ind w:firstLine="1090"/>
      </w:pPr>
      <w:r>
        <w:rPr>
          <w:position w:val="-7"/>
        </w:rPr>
        <w:drawing>
          <wp:inline distT="0" distB="0" distL="0" distR="0">
            <wp:extent cx="1384303" cy="25396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1"/>
                    <a:stretch>
                      <a:fillRect/>
                    </a:stretch>
                  </pic:blipFill>
                  <pic:spPr>
                    <a:xfrm>
                      <a:off x="0" y="0"/>
                      <a:ext cx="1384303" cy="253968"/>
                    </a:xfrm>
                    <a:prstGeom prst="rect">
                      <a:avLst/>
                    </a:prstGeom>
                  </pic:spPr>
                </pic:pic>
              </a:graphicData>
            </a:graphic>
          </wp:inline>
        </w:drawing>
      </w:r>
    </w:p>
    <w:p>
      <w:pPr>
        <w:spacing w:before="179" w:line="185" w:lineRule="auto"/>
        <w:ind w:left="1500"/>
        <w:rPr>
          <w:rFonts w:ascii="Times New Roman" w:eastAsia="Times New Roman" w:hAnsi="Times New Roman" w:cs="Times New Roman"/>
          <w:sz w:val="19"/>
          <w:szCs w:val="19"/>
        </w:rPr>
      </w:pPr>
      <w:r>
        <w:rPr>
          <w:rFonts w:ascii="Times New Roman" w:eastAsia="Times New Roman" w:hAnsi="Times New Roman" w:cs="Times New Roman"/>
          <w:color w:val="16E58E"/>
          <w:spacing w:val="-1"/>
          <w:sz w:val="19"/>
          <w:szCs w:val="19"/>
        </w:rPr>
        <w:t>=V₂+₂</w:t>
      </w:r>
    </w:p>
    <w:p>
      <w:pPr>
        <w:spacing w:before="107" w:line="221" w:lineRule="auto"/>
        <w:ind w:left="1040"/>
        <w:rPr>
          <w:rFonts w:ascii="SimHei" w:eastAsia="SimHei" w:hAnsi="SimHei" w:cs="SimHei"/>
          <w:sz w:val="13"/>
          <w:szCs w:val="13"/>
        </w:rPr>
      </w:pPr>
      <w:r>
        <w:rPr>
          <w:rFonts w:ascii="SimHei" w:eastAsia="SimHei" w:hAnsi="SimHei" w:cs="SimHei"/>
          <w:spacing w:val="-6"/>
          <w:sz w:val="13"/>
          <w:szCs w:val="13"/>
        </w:rPr>
        <w:t>(3)出逸比降解析解及坑底抗渗流稳定性计算方法</w:t>
      </w:r>
    </w:p>
    <w:p>
      <w:pPr>
        <w:spacing w:before="155" w:line="185" w:lineRule="auto"/>
        <w:ind w:left="2990"/>
        <w:rPr>
          <w:rFonts w:ascii="Times New Roman" w:eastAsia="Times New Roman" w:hAnsi="Times New Roman" w:cs="Times New Roman"/>
          <w:sz w:val="22"/>
          <w:szCs w:val="22"/>
        </w:rPr>
      </w:pPr>
      <w:r>
        <w:rPr>
          <w:rFonts w:ascii="Times New Roman" w:eastAsia="Times New Roman" w:hAnsi="Times New Roman" w:cs="Times New Roman"/>
          <w:i/>
          <w:iCs/>
          <w:sz w:val="22"/>
          <w:szCs w:val="22"/>
        </w:rPr>
        <w:t>Ki</w:t>
      </w:r>
      <w:r>
        <w:rPr>
          <w:rFonts w:ascii="Times New Roman" w:eastAsia="Times New Roman" w:hAnsi="Times New Roman" w:cs="Times New Roman"/>
          <w:i/>
          <w:iCs/>
          <w:spacing w:val="2"/>
          <w:sz w:val="22"/>
          <w:szCs w:val="22"/>
        </w:rPr>
        <w:t>≤i</w:t>
      </w:r>
    </w:p>
    <w:p>
      <w:pPr>
        <w:spacing w:before="129" w:line="221" w:lineRule="auto"/>
        <w:ind w:left="1530"/>
        <w:rPr>
          <w:rFonts w:ascii="SimHei" w:eastAsia="SimHei" w:hAnsi="SimHei" w:cs="SimHei"/>
          <w:sz w:val="27"/>
          <w:szCs w:val="27"/>
        </w:rPr>
      </w:pPr>
      <w:r>
        <w:rPr>
          <w:rFonts w:ascii="SimHei" w:eastAsia="SimHei" w:hAnsi="SimHei" w:cs="SimHei"/>
          <w:spacing w:val="-25"/>
          <w:w w:val="99"/>
          <w:sz w:val="27"/>
          <w:szCs w:val="27"/>
        </w:rPr>
        <w:t>图2</w:t>
      </w:r>
      <w:r>
        <w:rPr>
          <w:rFonts w:ascii="SimHei" w:eastAsia="SimHei" w:hAnsi="SimHei" w:cs="SimHei"/>
          <w:spacing w:val="-25"/>
          <w:w w:val="99"/>
          <w:sz w:val="27"/>
          <w:szCs w:val="27"/>
        </w:rPr>
        <w:t xml:space="preserve"> </w:t>
      </w:r>
      <w:r>
        <w:rPr>
          <w:rFonts w:ascii="SimHei" w:eastAsia="SimHei" w:hAnsi="SimHei" w:cs="SimHei"/>
          <w:spacing w:val="-25"/>
          <w:w w:val="99"/>
          <w:sz w:val="27"/>
          <w:szCs w:val="27"/>
        </w:rPr>
        <w:t>基于非稳定渗流理论的基坑坑底抗渗流稳定性的计算方法</w:t>
      </w:r>
    </w:p>
    <w:p>
      <w:pPr>
        <w:pStyle w:val="BodyText"/>
        <w:spacing w:before="185" w:line="373" w:lineRule="auto"/>
        <w:ind w:left="30" w:right="2" w:firstLine="580"/>
        <w:jc w:val="both"/>
        <w:rPr>
          <w:sz w:val="27"/>
          <w:szCs w:val="27"/>
        </w:rPr>
      </w:pPr>
      <w:r>
        <w:rPr>
          <w:spacing w:val="20"/>
          <w:sz w:val="27"/>
          <w:szCs w:val="27"/>
        </w:rPr>
        <w:t>②研制了可模拟潜水位和承压水头动态变化的模型试验装置：如图3所</w:t>
      </w:r>
      <w:r>
        <w:rPr>
          <w:spacing w:val="3"/>
          <w:sz w:val="27"/>
          <w:szCs w:val="27"/>
        </w:rPr>
        <w:t xml:space="preserve"> </w:t>
      </w:r>
      <w:r>
        <w:rPr>
          <w:spacing w:val="17"/>
          <w:sz w:val="27"/>
          <w:szCs w:val="27"/>
        </w:rPr>
        <w:t>示，通过模型箱的侧面水箱和底部承压架空层分别实现潜水位和承</w:t>
      </w:r>
      <w:r>
        <w:rPr>
          <w:spacing w:val="16"/>
          <w:sz w:val="27"/>
          <w:szCs w:val="27"/>
        </w:rPr>
        <w:t>压水头动</w:t>
      </w:r>
      <w:r>
        <w:rPr>
          <w:sz w:val="27"/>
          <w:szCs w:val="27"/>
        </w:rPr>
        <w:t xml:space="preserve"> </w:t>
      </w:r>
      <w:r>
        <w:rPr>
          <w:spacing w:val="17"/>
          <w:sz w:val="27"/>
          <w:szCs w:val="27"/>
        </w:rPr>
        <w:t>态变化的模拟，通过可调节的内支撑和可移动的</w:t>
      </w:r>
      <w:r>
        <w:rPr>
          <w:spacing w:val="16"/>
          <w:sz w:val="27"/>
          <w:szCs w:val="27"/>
        </w:rPr>
        <w:t>防水挡土墙实现基坑开挖过</w:t>
      </w:r>
      <w:r>
        <w:rPr>
          <w:sz w:val="27"/>
          <w:szCs w:val="27"/>
        </w:rPr>
        <w:t xml:space="preserve"> </w:t>
      </w:r>
      <w:r>
        <w:rPr>
          <w:spacing w:val="17"/>
          <w:sz w:val="27"/>
          <w:szCs w:val="27"/>
        </w:rPr>
        <w:t>程的模拟，解决了试验中潜水位和承压水头动态</w:t>
      </w:r>
      <w:r>
        <w:rPr>
          <w:spacing w:val="16"/>
          <w:sz w:val="27"/>
          <w:szCs w:val="27"/>
        </w:rPr>
        <w:t>连续变化，以及基坑开挖过</w:t>
      </w:r>
    </w:p>
    <w:p>
      <w:pPr>
        <w:pStyle w:val="BodyText"/>
        <w:spacing w:before="1" w:line="218" w:lineRule="auto"/>
        <w:ind w:left="60"/>
        <w:rPr>
          <w:sz w:val="27"/>
          <w:szCs w:val="27"/>
        </w:rPr>
        <w:sectPr>
          <w:footerReference w:type="default" r:id="rId22"/>
          <w:pgSz w:w="11910" w:h="16840"/>
          <w:pgMar w:top="1431" w:right="1158" w:bottom="925" w:left="1249" w:header="0" w:footer="776" w:gutter="0"/>
          <w:pgNumType w:start="8"/>
          <w:cols w:space="708"/>
        </w:sectPr>
      </w:pPr>
      <w:r>
        <w:rPr>
          <w:spacing w:val="-1"/>
          <w:sz w:val="27"/>
          <w:szCs w:val="27"/>
        </w:rPr>
        <w:t>程的试验模拟问题。</w:t>
      </w:r>
    </w:p>
    <w:p>
      <w:pPr>
        <w:spacing w:before="111" w:line="2430" w:lineRule="exact"/>
      </w:pPr>
      <w:r>
        <w:rPr>
          <w:position w:val="-48"/>
        </w:rPr>
        <w:drawing>
          <wp:inline distT="0" distB="0" distL="0" distR="0">
            <wp:extent cx="5886468" cy="154323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3"/>
                    <a:stretch>
                      <a:fillRect/>
                    </a:stretch>
                  </pic:blipFill>
                  <pic:spPr>
                    <a:xfrm>
                      <a:off x="0" y="0"/>
                      <a:ext cx="5886468" cy="1543230"/>
                    </a:xfrm>
                    <a:prstGeom prst="rect">
                      <a:avLst/>
                    </a:prstGeom>
                  </pic:spPr>
                </pic:pic>
              </a:graphicData>
            </a:graphic>
          </wp:inline>
        </w:drawing>
      </w:r>
    </w:p>
    <w:p>
      <w:pPr>
        <w:pStyle w:val="BodyText"/>
        <w:spacing w:line="208" w:lineRule="auto"/>
        <w:ind w:left="390"/>
        <w:rPr>
          <w:rFonts w:ascii="SimHei" w:eastAsia="SimHei" w:hAnsi="SimHei" w:cs="SimHei"/>
          <w:sz w:val="27"/>
          <w:szCs w:val="27"/>
        </w:rPr>
      </w:pPr>
      <w:r>
        <w:rPr>
          <w:rFonts w:ascii="Times New Roman" w:eastAsia="Times New Roman" w:hAnsi="Times New Roman" w:cs="Times New Roman"/>
          <w:spacing w:val="-22"/>
          <w:position w:val="1"/>
          <w:sz w:val="27"/>
          <w:szCs w:val="27"/>
        </w:rPr>
        <w:t>(a)</w:t>
      </w:r>
      <w:r>
        <w:rPr>
          <w:rFonts w:ascii="Times New Roman" w:eastAsia="Times New Roman" w:hAnsi="Times New Roman" w:cs="Times New Roman"/>
          <w:spacing w:val="17"/>
          <w:position w:val="1"/>
          <w:sz w:val="27"/>
          <w:szCs w:val="27"/>
        </w:rPr>
        <w:t xml:space="preserve">  </w:t>
      </w:r>
      <w:r>
        <w:rPr>
          <w:rFonts w:ascii="SimHei" w:eastAsia="SimHei" w:hAnsi="SimHei" w:cs="SimHei"/>
          <w:spacing w:val="-22"/>
          <w:position w:val="1"/>
          <w:sz w:val="27"/>
          <w:szCs w:val="27"/>
        </w:rPr>
        <w:t>原理示意图</w:t>
      </w:r>
      <w:r>
        <w:rPr>
          <w:rFonts w:ascii="SimHei" w:eastAsia="SimHei" w:hAnsi="SimHei" w:cs="SimHei"/>
          <w:spacing w:val="5"/>
          <w:position w:val="1"/>
          <w:sz w:val="27"/>
          <w:szCs w:val="27"/>
        </w:rPr>
        <w:t xml:space="preserve">                       </w:t>
      </w:r>
      <w:r>
        <w:rPr>
          <w:rFonts w:ascii="SimHei" w:eastAsia="SimHei" w:hAnsi="SimHei" w:cs="SimHei"/>
          <w:spacing w:val="4"/>
          <w:position w:val="1"/>
          <w:sz w:val="27"/>
          <w:szCs w:val="27"/>
        </w:rPr>
        <w:t xml:space="preserve">   </w:t>
      </w:r>
      <w:r>
        <w:rPr>
          <w:spacing w:val="-22"/>
          <w:position w:val="-1"/>
          <w:sz w:val="27"/>
          <w:szCs w:val="27"/>
        </w:rPr>
        <w:t>(b)</w:t>
      </w:r>
      <w:r>
        <w:rPr>
          <w:spacing w:val="-41"/>
          <w:position w:val="-1"/>
          <w:sz w:val="27"/>
          <w:szCs w:val="27"/>
        </w:rPr>
        <w:t xml:space="preserve"> </w:t>
      </w:r>
      <w:r>
        <w:rPr>
          <w:rFonts w:ascii="SimHei" w:eastAsia="SimHei" w:hAnsi="SimHei" w:cs="SimHei"/>
          <w:spacing w:val="-22"/>
          <w:position w:val="-1"/>
          <w:sz w:val="27"/>
          <w:szCs w:val="27"/>
        </w:rPr>
        <w:t>模型实体图</w:t>
      </w:r>
    </w:p>
    <w:p>
      <w:pPr>
        <w:spacing w:line="208" w:lineRule="auto"/>
        <w:rPr>
          <w:rFonts w:ascii="SimHei" w:eastAsia="SimHei" w:hAnsi="SimHei" w:cs="SimHei"/>
          <w:sz w:val="27"/>
          <w:szCs w:val="27"/>
        </w:rPr>
        <w:sectPr>
          <w:footerReference w:type="default" r:id="rId24"/>
          <w:type w:val="nextPage"/>
          <w:pgSz w:w="11910" w:h="16840"/>
          <w:pgMar w:top="1431" w:right="1158" w:bottom="925" w:left="1249" w:header="0" w:footer="776" w:gutter="0"/>
          <w:pgNumType w:start="9"/>
          <w:cols w:space="708"/>
          <w:titlePg w:val="0"/>
        </w:sectPr>
      </w:pPr>
    </w:p>
    <w:p>
      <w:pPr>
        <w:spacing w:before="72" w:line="221" w:lineRule="auto"/>
        <w:ind w:left="1873"/>
        <w:rPr>
          <w:rFonts w:ascii="SimHei" w:eastAsia="SimHei" w:hAnsi="SimHei" w:cs="SimHei"/>
          <w:sz w:val="24"/>
          <w:szCs w:val="24"/>
        </w:rPr>
      </w:pPr>
      <w:r>
        <w:drawing>
          <wp:anchor distT="0" distB="0" distL="0" distR="0" simplePos="0" relativeHeight="251664384" behindDoc="0" locked="0" layoutInCell="0" allowOverlap="1">
            <wp:simplePos x="0" y="0"/>
            <wp:positionH relativeFrom="page">
              <wp:posOffset>3409937</wp:posOffset>
            </wp:positionH>
            <wp:positionV relativeFrom="page">
              <wp:posOffset>5702255</wp:posOffset>
            </wp:positionV>
            <wp:extent cx="1270029" cy="1955823"/>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5"/>
                    <a:stretch>
                      <a:fillRect/>
                    </a:stretch>
                  </pic:blipFill>
                  <pic:spPr>
                    <a:xfrm>
                      <a:off x="0" y="0"/>
                      <a:ext cx="1270029" cy="1955823"/>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4819653</wp:posOffset>
            </wp:positionH>
            <wp:positionV relativeFrom="page">
              <wp:posOffset>5689637</wp:posOffset>
            </wp:positionV>
            <wp:extent cx="1225559" cy="198747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6"/>
                    <a:stretch>
                      <a:fillRect/>
                    </a:stretch>
                  </pic:blipFill>
                  <pic:spPr>
                    <a:xfrm>
                      <a:off x="0" y="0"/>
                      <a:ext cx="1225559" cy="1987475"/>
                    </a:xfrm>
                    <a:prstGeom prst="rect">
                      <a:avLst/>
                    </a:prstGeom>
                  </pic:spPr>
                </pic:pic>
              </a:graphicData>
            </a:graphic>
          </wp:anchor>
        </w:drawing>
      </w:r>
      <w:r>
        <w:rPr>
          <w:rFonts w:ascii="SimHei" w:eastAsia="SimHei" w:hAnsi="SimHei" w:cs="SimHei"/>
          <w:b/>
          <w:bCs/>
          <w:sz w:val="24"/>
          <w:szCs w:val="24"/>
        </w:rPr>
        <w:t>图3可模拟潜水位和承压水头动态变化的模型试验装置</w:t>
      </w:r>
    </w:p>
    <w:p>
      <w:pPr>
        <w:pStyle w:val="BodyText"/>
        <w:spacing w:before="183" w:line="357" w:lineRule="auto"/>
        <w:ind w:right="30" w:firstLine="590"/>
        <w:jc w:val="both"/>
      </w:pPr>
      <w:r>
        <w:rPr>
          <w:spacing w:val="-6"/>
        </w:rPr>
        <w:t>③</w:t>
      </w:r>
      <w:r>
        <w:rPr>
          <w:spacing w:val="41"/>
        </w:rPr>
        <w:t xml:space="preserve"> </w:t>
      </w:r>
      <w:r>
        <w:rPr>
          <w:spacing w:val="-6"/>
        </w:rPr>
        <w:t>以临界水力梯度和降水引发周围地表沉降变形的最低要求为约束条件，</w:t>
      </w:r>
      <w:r>
        <w:t xml:space="preserve"> </w:t>
      </w:r>
      <w:r>
        <w:rPr>
          <w:spacing w:val="1"/>
        </w:rPr>
        <w:t>以不同工序施工过程中动态水位为目标函数</w:t>
      </w:r>
      <w:r>
        <w:t xml:space="preserve">，源(汇)的分布、强度为自变量， </w:t>
      </w:r>
      <w:r>
        <w:rPr>
          <w:spacing w:val="1"/>
        </w:rPr>
        <w:t xml:space="preserve">提出了基于临界水力梯度和沉降双控制的基坑降水优化模型，如图4所示，确 </w:t>
      </w:r>
      <w:r>
        <w:rPr>
          <w:spacing w:val="5"/>
        </w:rPr>
        <w:t>保在各工况条件下基坑内不发生渗透变形破坏，且基坑周围地表沉降值不大</w:t>
      </w:r>
    </w:p>
    <w:p>
      <w:pPr>
        <w:pStyle w:val="BodyText"/>
        <w:spacing w:line="219" w:lineRule="auto"/>
      </w:pPr>
      <w:r>
        <w:rPr>
          <w:spacing w:val="-12"/>
        </w:rPr>
        <w:t>于地表沉降报警值。</w:t>
      </w:r>
    </w:p>
    <w:p>
      <w:pPr>
        <w:pStyle w:val="BodyText"/>
        <w:spacing w:before="136" w:line="3680" w:lineRule="exact"/>
        <w:ind w:firstLine="3670"/>
      </w:pPr>
      <w:r>
        <w:rPr>
          <w:position w:val="-73"/>
        </w:rPr>
        <w:pict>
          <v:group id="_x0000_i1036" style="width:114pt;height:184.05pt;mso-position-horizontal-relative:char;mso-position-vertical-relative:line" coordorigin="0,0" coordsize="2280,3681" filled="f" stroked="f">
            <v:shape id="_x0000_s1037" type="#_x0000_t75" style="width:2280;height:3681;position:absolute" filled="f" stroked="f">
              <v:imagedata r:id="rId27" o:title=""/>
            </v:shape>
            <v:shape id="_x0000_s1038" type="#_x0000_t202" style="width:1355;height:3342;left:119;position:absolute;top:95" filled="f" stroked="f">
              <o:lock v:ext="edit" aspectratio="f"/>
              <v:textbox inset="0,0,0,0">
                <w:txbxContent>
                  <w:p>
                    <w:pPr>
                      <w:spacing w:before="19" w:line="221" w:lineRule="auto"/>
                      <w:ind w:left="580"/>
                      <w:rPr>
                        <w:rFonts w:ascii="SimSun" w:eastAsia="SimSun" w:hAnsi="SimSun" w:cs="SimSun"/>
                        <w:sz w:val="11"/>
                        <w:szCs w:val="11"/>
                      </w:rPr>
                    </w:pPr>
                    <w:r>
                      <w:rPr>
                        <w:rFonts w:ascii="SimSun" w:eastAsia="SimSun" w:hAnsi="SimSun" w:cs="SimSun"/>
                        <w:color w:val="FFFFFF"/>
                        <w:spacing w:val="-2"/>
                        <w:sz w:val="11"/>
                        <w:szCs w:val="11"/>
                      </w:rPr>
                      <w:t>开始</w:t>
                    </w:r>
                  </w:p>
                  <w:p>
                    <w:pPr>
                      <w:spacing w:line="258" w:lineRule="auto"/>
                      <w:rPr>
                        <w:rFonts w:ascii="Arial"/>
                        <w:sz w:val="21"/>
                      </w:rPr>
                    </w:pPr>
                  </w:p>
                  <w:p>
                    <w:pPr>
                      <w:spacing w:before="36" w:line="224" w:lineRule="auto"/>
                      <w:ind w:left="20"/>
                      <w:rPr>
                        <w:rFonts w:ascii="SimSun" w:eastAsia="SimSun" w:hAnsi="SimSun" w:cs="SimSun"/>
                        <w:sz w:val="11"/>
                        <w:szCs w:val="11"/>
                      </w:rPr>
                    </w:pPr>
                    <w:r>
                      <w:rPr>
                        <w:rFonts w:ascii="Times New Roman" w:eastAsia="Times New Roman" w:hAnsi="Times New Roman" w:cs="Times New Roman"/>
                        <w:spacing w:val="-7"/>
                        <w:sz w:val="11"/>
                        <w:szCs w:val="11"/>
                      </w:rPr>
                      <w:t>n;</w:t>
                    </w:r>
                    <w:r>
                      <w:rPr>
                        <w:rFonts w:ascii="Times New Roman" w:eastAsia="Times New Roman" w:hAnsi="Times New Roman" w:cs="Times New Roman"/>
                        <w:spacing w:val="13"/>
                        <w:w w:val="102"/>
                        <w:sz w:val="11"/>
                        <w:szCs w:val="11"/>
                      </w:rPr>
                      <w:t xml:space="preserve">  </w:t>
                    </w:r>
                    <w:r>
                      <w:rPr>
                        <w:rFonts w:ascii="SimSun" w:eastAsia="SimSun" w:hAnsi="SimSun" w:cs="SimSun"/>
                        <w:spacing w:val="-7"/>
                        <w:sz w:val="11"/>
                        <w:szCs w:val="11"/>
                      </w:rPr>
                      <w:t>抽水</w:t>
                    </w:r>
                    <w:r>
                      <w:rPr>
                        <w:rFonts w:ascii="SimSun" w:eastAsia="SimSun" w:hAnsi="SimSun" w:cs="SimSun"/>
                        <w:b/>
                        <w:bCs/>
                        <w:spacing w:val="-7"/>
                        <w:sz w:val="11"/>
                        <w:szCs w:val="11"/>
                      </w:rPr>
                      <w:t>井数</w:t>
                    </w:r>
                    <w:r>
                      <w:rPr>
                        <w:rFonts w:ascii="SimSun" w:eastAsia="SimSun" w:hAnsi="SimSun" w:cs="SimSun"/>
                        <w:spacing w:val="-7"/>
                        <w:sz w:val="11"/>
                        <w:szCs w:val="11"/>
                      </w:rPr>
                      <w:t>，</w:t>
                    </w:r>
                    <w:r>
                      <w:ruby>
                        <w:rubyPr>
                          <w:rubyAlign w:val="left"/>
                          <w:hps w:val="11"/>
                          <w:hpsRaise w:val="6"/>
                          <w:hpsBaseText w:val="21"/>
                        </w:rubyPr>
                        <w:rt>
                          <w:r>
                            <w:rPr>
                              <w:rFonts w:ascii="Times New Roman" w:eastAsia="Times New Roman" w:hAnsi="Times New Roman" w:cs="Times New Roman"/>
                              <w:color w:val="FFFFFF"/>
                              <w:w w:val="104"/>
                              <w:sz w:val="11"/>
                              <w:szCs w:val="11"/>
                            </w:rPr>
                            <w:t>-0</w:t>
                          </w:r>
                        </w:rt>
                        <w:rubyBase>
                          <w:r>
                            <w:rPr>
                              <w:rFonts w:ascii="Times New Roman" w:eastAsia="Times New Roman" w:hAnsi="Times New Roman" w:cs="Times New Roman"/>
                              <w:w w:val="110"/>
                              <w:sz w:val="11"/>
                              <w:szCs w:val="11"/>
                            </w:rPr>
                            <w:t>m</w:t>
                          </w:r>
                        </w:rubyBase>
                      </w:ruby>
                    </w:r>
                    <w:r>
                      <w:rPr>
                        <w:rFonts w:ascii="Times New Roman" w:eastAsia="Times New Roman" w:hAnsi="Times New Roman" w:cs="Times New Roman"/>
                        <w:spacing w:val="-7"/>
                        <w:sz w:val="11"/>
                        <w:szCs w:val="11"/>
                      </w:rPr>
                      <w:t>;</w:t>
                    </w:r>
                    <w:r>
                      <w:rPr>
                        <w:rFonts w:ascii="Times New Roman" w:eastAsia="Times New Roman" w:hAnsi="Times New Roman" w:cs="Times New Roman"/>
                        <w:spacing w:val="5"/>
                        <w:sz w:val="11"/>
                        <w:szCs w:val="11"/>
                      </w:rPr>
                      <w:t xml:space="preserve">  </w:t>
                    </w:r>
                    <w:r>
                      <w:rPr>
                        <w:rFonts w:ascii="SimSun" w:eastAsia="SimSun" w:hAnsi="SimSun" w:cs="SimSun"/>
                        <w:spacing w:val="-7"/>
                        <w:sz w:val="11"/>
                        <w:szCs w:val="11"/>
                      </w:rPr>
                      <w:t>回灌井数</w:t>
                    </w:r>
                  </w:p>
                  <w:p>
                    <w:pPr>
                      <w:spacing w:line="248" w:lineRule="auto"/>
                      <w:rPr>
                        <w:rFonts w:ascii="Arial"/>
                        <w:sz w:val="21"/>
                      </w:rPr>
                    </w:pPr>
                  </w:p>
                  <w:p>
                    <w:pPr>
                      <w:spacing w:before="36" w:line="210" w:lineRule="auto"/>
                      <w:ind w:left="170" w:right="80" w:hanging="90"/>
                      <w:rPr>
                        <w:rFonts w:ascii="SimSun" w:eastAsia="SimSun" w:hAnsi="SimSun" w:cs="SimSun"/>
                        <w:sz w:val="11"/>
                        <w:szCs w:val="11"/>
                      </w:rPr>
                    </w:pPr>
                    <w:r>
                      <w:rPr>
                        <w:rFonts w:ascii="SimSun" w:eastAsia="SimSun" w:hAnsi="SimSun" w:cs="SimSun"/>
                        <w:spacing w:val="-10"/>
                        <w:w w:val="99"/>
                        <w:sz w:val="11"/>
                        <w:szCs w:val="11"/>
                      </w:rPr>
                      <w:t>选择抽水井和回灌井布置方</w:t>
                    </w:r>
                    <w:r>
                      <w:rPr>
                        <w:rFonts w:ascii="SimSun" w:eastAsia="SimSun" w:hAnsi="SimSun" w:cs="SimSun"/>
                        <w:spacing w:val="6"/>
                        <w:sz w:val="11"/>
                        <w:szCs w:val="11"/>
                      </w:rPr>
                      <w:t xml:space="preserve"> </w:t>
                    </w:r>
                    <w:r>
                      <w:rPr>
                        <w:rFonts w:ascii="SimSun" w:eastAsia="SimSun" w:hAnsi="SimSun" w:cs="SimSun"/>
                        <w:spacing w:val="-7"/>
                        <w:sz w:val="11"/>
                        <w:szCs w:val="11"/>
                      </w:rPr>
                      <w:t>案，并确定其空间分布</w:t>
                    </w:r>
                  </w:p>
                  <w:p>
                    <w:pPr>
                      <w:spacing w:line="392" w:lineRule="auto"/>
                      <w:rPr>
                        <w:rFonts w:ascii="Arial"/>
                        <w:sz w:val="21"/>
                      </w:rPr>
                    </w:pPr>
                  </w:p>
                  <w:p>
                    <w:pPr>
                      <w:spacing w:before="35" w:line="201" w:lineRule="auto"/>
                      <w:ind w:left="390"/>
                      <w:rPr>
                        <w:rFonts w:ascii="SimSun" w:eastAsia="SimSun" w:hAnsi="SimSun" w:cs="SimSun"/>
                        <w:sz w:val="11"/>
                        <w:szCs w:val="11"/>
                      </w:rPr>
                    </w:pPr>
                    <w:r>
                      <w:rPr>
                        <w:rFonts w:ascii="SimSun" w:eastAsia="SimSun" w:hAnsi="SimSun" w:cs="SimSun"/>
                        <w:spacing w:val="-1"/>
                        <w:sz w:val="11"/>
                        <w:szCs w:val="11"/>
                      </w:rPr>
                      <w:t>井容、施工</w:t>
                    </w:r>
                  </w:p>
                  <w:p>
                    <w:pPr>
                      <w:spacing w:line="219" w:lineRule="auto"/>
                      <w:ind w:left="390"/>
                      <w:rPr>
                        <w:rFonts w:ascii="SimSun" w:eastAsia="SimSun" w:hAnsi="SimSun" w:cs="SimSun"/>
                        <w:sz w:val="11"/>
                        <w:szCs w:val="11"/>
                      </w:rPr>
                    </w:pPr>
                    <w:r>
                      <w:rPr>
                        <w:rFonts w:ascii="SimSun" w:eastAsia="SimSun" w:hAnsi="SimSun" w:cs="SimSun"/>
                        <w:spacing w:val="-7"/>
                        <w:sz w:val="11"/>
                        <w:szCs w:val="11"/>
                      </w:rPr>
                      <w:t>要求约束</w:t>
                    </w:r>
                  </w:p>
                  <w:p>
                    <w:pPr>
                      <w:spacing w:before="180" w:line="222" w:lineRule="auto"/>
                      <w:ind w:left="759"/>
                      <w:rPr>
                        <w:rFonts w:ascii="SimHei" w:eastAsia="SimHei" w:hAnsi="SimHei" w:cs="SimHei"/>
                        <w:sz w:val="11"/>
                        <w:szCs w:val="11"/>
                      </w:rPr>
                    </w:pPr>
                    <w:r>
                      <w:rPr>
                        <w:rFonts w:ascii="SimHei" w:eastAsia="SimHei" w:hAnsi="SimHei" w:cs="SimHei"/>
                        <w:sz w:val="11"/>
                        <w:szCs w:val="11"/>
                      </w:rPr>
                      <w:t>是</w:t>
                    </w:r>
                  </w:p>
                  <w:p>
                    <w:pPr>
                      <w:spacing w:before="158" w:line="219" w:lineRule="auto"/>
                      <w:ind w:left="90"/>
                      <w:rPr>
                        <w:rFonts w:ascii="SimSun" w:eastAsia="SimSun" w:hAnsi="SimSun" w:cs="SimSun"/>
                        <w:sz w:val="11"/>
                        <w:szCs w:val="11"/>
                      </w:rPr>
                    </w:pPr>
                    <w:r>
                      <w:rPr>
                        <w:rFonts w:ascii="SimSun" w:eastAsia="SimSun" w:hAnsi="SimSun" w:cs="SimSun"/>
                        <w:spacing w:val="-9"/>
                        <w:sz w:val="11"/>
                        <w:szCs w:val="11"/>
                      </w:rPr>
                      <w:t>临界水力梯度、沉降量计算</w:t>
                    </w:r>
                  </w:p>
                  <w:p>
                    <w:pPr>
                      <w:spacing w:line="365" w:lineRule="auto"/>
                      <w:rPr>
                        <w:rFonts w:ascii="Arial"/>
                        <w:sz w:val="21"/>
                      </w:rPr>
                    </w:pPr>
                  </w:p>
                  <w:p>
                    <w:pPr>
                      <w:spacing w:before="36" w:line="164" w:lineRule="auto"/>
                      <w:ind w:right="14"/>
                      <w:jc w:val="right"/>
                      <w:rPr>
                        <w:rFonts w:ascii="SimSun" w:eastAsia="SimSun" w:hAnsi="SimSun" w:cs="SimSun"/>
                        <w:sz w:val="11"/>
                        <w:szCs w:val="11"/>
                      </w:rPr>
                    </w:pPr>
                    <w:r>
                      <w:rPr>
                        <w:rFonts w:ascii="SimSun" w:eastAsia="SimSun" w:hAnsi="SimSun" w:cs="SimSun"/>
                        <w:color w:val="FFFFFF"/>
                        <w:sz w:val="11"/>
                        <w:szCs w:val="11"/>
                      </w:rPr>
                      <w:t>查</w:t>
                    </w:r>
                  </w:p>
                  <w:p>
                    <w:pPr>
                      <w:spacing w:before="1" w:line="198" w:lineRule="auto"/>
                      <w:ind w:left="390"/>
                      <w:rPr>
                        <w:rFonts w:ascii="SimSun" w:eastAsia="SimSun" w:hAnsi="SimSun" w:cs="SimSun"/>
                        <w:sz w:val="11"/>
                        <w:szCs w:val="11"/>
                      </w:rPr>
                    </w:pPr>
                    <w:r>
                      <w:rPr>
                        <w:rFonts w:ascii="SimSun" w:eastAsia="SimSun" w:hAnsi="SimSun" w:cs="SimSun"/>
                        <w:spacing w:val="-7"/>
                        <w:sz w:val="11"/>
                        <w:szCs w:val="11"/>
                      </w:rPr>
                      <w:t>安全约束</w:t>
                    </w:r>
                  </w:p>
                  <w:p>
                    <w:pPr>
                      <w:spacing w:before="141" w:line="223" w:lineRule="auto"/>
                      <w:ind w:left="819"/>
                      <w:rPr>
                        <w:rFonts w:ascii="SimSun" w:eastAsia="SimSun" w:hAnsi="SimSun" w:cs="SimSun"/>
                        <w:sz w:val="11"/>
                        <w:szCs w:val="11"/>
                      </w:rPr>
                    </w:pPr>
                    <w:r>
                      <w:rPr>
                        <w:rFonts w:ascii="SimSun" w:eastAsia="SimSun" w:hAnsi="SimSun" w:cs="SimSun"/>
                        <w:color w:val="FFFFFF"/>
                        <w:sz w:val="11"/>
                        <w:szCs w:val="11"/>
                      </w:rPr>
                      <w:t>是</w:t>
                    </w:r>
                  </w:p>
                </w:txbxContent>
              </v:textbox>
            </v:shape>
            <v:shape id="_x0000_s1039" type="#_x0000_t202" style="width:302;height:985;left:1819;position:absolute;top:1134" filled="f" stroked="f">
              <o:lock v:ext="edit" aspectratio="f"/>
              <v:textbox inset="0,0,0,0">
                <w:txbxContent>
                  <w:p>
                    <w:pPr>
                      <w:spacing w:before="20" w:line="188" w:lineRule="auto"/>
                      <w:ind w:left="20"/>
                      <w:rPr>
                        <w:rFonts w:ascii="Times New Roman" w:eastAsia="Times New Roman" w:hAnsi="Times New Roman" w:cs="Times New Roman"/>
                        <w:sz w:val="11"/>
                        <w:szCs w:val="11"/>
                      </w:rPr>
                    </w:pPr>
                    <w:r>
                      <w:rPr>
                        <w:rFonts w:ascii="Times New Roman" w:eastAsia="Times New Roman" w:hAnsi="Times New Roman" w:cs="Times New Roman"/>
                        <w:spacing w:val="-1"/>
                        <w:sz w:val="11"/>
                        <w:szCs w:val="11"/>
                      </w:rPr>
                      <w:t>n+1</w:t>
                    </w: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32" w:line="188" w:lineRule="auto"/>
                      <w:ind w:left="80"/>
                      <w:rPr>
                        <w:rFonts w:ascii="Times New Roman" w:eastAsia="Times New Roman" w:hAnsi="Times New Roman" w:cs="Times New Roman"/>
                        <w:sz w:val="11"/>
                        <w:szCs w:val="11"/>
                      </w:rPr>
                    </w:pPr>
                    <w:r>
                      <w:rPr>
                        <w:rFonts w:ascii="Times New Roman" w:eastAsia="Times New Roman" w:hAnsi="Times New Roman" w:cs="Times New Roman"/>
                        <w:spacing w:val="-1"/>
                        <w:sz w:val="11"/>
                        <w:szCs w:val="11"/>
                      </w:rPr>
                      <w:t>m+1</w:t>
                    </w:r>
                  </w:p>
                </w:txbxContent>
              </v:textbox>
            </v:shape>
            <v:shape id="_x0000_s1040" type="#_x0000_t202" style="width:268;height:283;left:1239;position:absolute;top:1621" filled="f" stroked="f">
              <o:lock v:ext="edit" aspectratio="f"/>
              <v:textbox inset="0,0,0,0">
                <w:txbxContent>
                  <w:p>
                    <w:pPr>
                      <w:spacing w:before="19" w:line="224" w:lineRule="auto"/>
                      <w:ind w:left="20"/>
                      <w:rPr>
                        <w:rFonts w:ascii="SimHei" w:eastAsia="SimHei" w:hAnsi="SimHei" w:cs="SimHei"/>
                        <w:sz w:val="24"/>
                        <w:szCs w:val="24"/>
                      </w:rPr>
                    </w:pPr>
                    <w:r>
                      <w:rPr>
                        <w:rFonts w:ascii="SimHei" w:eastAsia="SimHei" w:hAnsi="SimHei" w:cs="SimHei"/>
                        <w:sz w:val="24"/>
                        <w:szCs w:val="24"/>
                      </w:rPr>
                      <w:t>涯</w:t>
                    </w:r>
                  </w:p>
                </w:txbxContent>
              </v:textbox>
            </v:shape>
            <v:shape id="_x0000_s1041" type="#_x0000_t75" style="width:210;height:240;left:709;position:absolute;top:3399" filled="f" stroked="f">
              <v:imagedata r:id="rId28" o:title=""/>
            </v:shape>
            <w10:wrap type="none"/>
          </v:group>
        </w:pict>
      </w:r>
    </w:p>
    <w:p>
      <w:pPr>
        <w:pStyle w:val="BodyText"/>
        <w:spacing w:before="25" w:line="222" w:lineRule="auto"/>
        <w:ind w:left="3593"/>
        <w:rPr>
          <w:rFonts w:ascii="SimHei" w:eastAsia="SimHei" w:hAnsi="SimHei" w:cs="SimHei"/>
          <w:sz w:val="24"/>
          <w:szCs w:val="24"/>
        </w:rPr>
      </w:pPr>
      <w:r>
        <w:rPr>
          <w:b/>
          <w:bCs/>
          <w:spacing w:val="-6"/>
          <w:sz w:val="24"/>
          <w:szCs w:val="24"/>
        </w:rPr>
        <w:t>(a)</w:t>
      </w:r>
      <w:r>
        <w:rPr>
          <w:spacing w:val="-6"/>
          <w:sz w:val="24"/>
          <w:szCs w:val="24"/>
        </w:rPr>
        <w:t xml:space="preserve"> </w:t>
      </w:r>
      <w:r>
        <w:rPr>
          <w:rFonts w:ascii="SimHei" w:eastAsia="SimHei" w:hAnsi="SimHei" w:cs="SimHei"/>
          <w:b/>
          <w:bCs/>
          <w:spacing w:val="-6"/>
          <w:sz w:val="24"/>
          <w:szCs w:val="24"/>
        </w:rPr>
        <w:t>优化模型的求解过程</w:t>
      </w:r>
    </w:p>
    <w:p>
      <w:pPr>
        <w:spacing w:line="443" w:lineRule="auto"/>
        <w:rPr>
          <w:rFonts w:ascii="Arial"/>
          <w:sz w:val="21"/>
        </w:rPr>
      </w:pPr>
    </w:p>
    <w:p>
      <w:pPr>
        <w:spacing w:before="1" w:line="2980" w:lineRule="exact"/>
        <w:ind w:firstLine="1810"/>
      </w:pPr>
      <w:r>
        <w:rPr>
          <w:position w:val="-59"/>
        </w:rPr>
        <w:drawing>
          <wp:inline distT="0" distB="0" distL="0" distR="0">
            <wp:extent cx="1244542" cy="189230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9"/>
                    <a:stretch>
                      <a:fillRect/>
                    </a:stretch>
                  </pic:blipFill>
                  <pic:spPr>
                    <a:xfrm>
                      <a:off x="0" y="0"/>
                      <a:ext cx="1244542" cy="1892304"/>
                    </a:xfrm>
                    <a:prstGeom prst="rect">
                      <a:avLst/>
                    </a:prstGeom>
                  </pic:spPr>
                </pic:pic>
              </a:graphicData>
            </a:graphic>
          </wp:inline>
        </w:drawing>
      </w:r>
    </w:p>
    <w:p>
      <w:pPr>
        <w:spacing w:before="130" w:line="211" w:lineRule="auto"/>
        <w:ind w:left="2570"/>
        <w:rPr>
          <w:rFonts w:ascii="Times New Roman" w:eastAsia="Times New Roman" w:hAnsi="Times New Roman" w:cs="Times New Roman"/>
          <w:sz w:val="11"/>
          <w:szCs w:val="11"/>
        </w:rPr>
      </w:pPr>
      <w:r>
        <w:rPr>
          <w:rFonts w:ascii="Times New Roman" w:eastAsia="Times New Roman" w:hAnsi="Times New Roman" w:cs="Times New Roman"/>
          <w:spacing w:val="1"/>
          <w:sz w:val="11"/>
          <w:szCs w:val="11"/>
        </w:rPr>
        <w:t>X/</w:t>
      </w:r>
      <w:r>
        <w:rPr>
          <w:rFonts w:ascii="Times New Roman" w:eastAsia="Times New Roman" w:hAnsi="Times New Roman" w:cs="Times New Roman"/>
          <w:sz w:val="11"/>
          <w:szCs w:val="11"/>
        </w:rPr>
        <w:t>m</w:t>
      </w:r>
      <w:r>
        <w:rPr>
          <w:rFonts w:ascii="Times New Roman" w:eastAsia="Times New Roman" w:hAnsi="Times New Roman" w:cs="Times New Roman"/>
          <w:spacing w:val="1"/>
          <w:sz w:val="11"/>
          <w:szCs w:val="11"/>
        </w:rPr>
        <w:t xml:space="preserve">                                               </w:t>
      </w:r>
      <w:r>
        <w:rPr>
          <w:rFonts w:ascii="Times New Roman" w:eastAsia="Times New Roman" w:hAnsi="Times New Roman" w:cs="Times New Roman"/>
          <w:sz w:val="11"/>
          <w:szCs w:val="11"/>
        </w:rPr>
        <w:t xml:space="preserve">                            X/m                                                                       </w:t>
      </w:r>
      <w:r>
        <w:rPr>
          <w:rFonts w:ascii="Times New Roman" w:eastAsia="Times New Roman" w:hAnsi="Times New Roman" w:cs="Times New Roman"/>
          <w:i/>
          <w:iCs/>
          <w:sz w:val="11"/>
          <w:szCs w:val="11"/>
        </w:rPr>
        <w:t>X/m</w:t>
      </w:r>
    </w:p>
    <w:p>
      <w:pPr>
        <w:spacing w:before="4" w:line="212" w:lineRule="auto"/>
        <w:ind w:left="2790"/>
        <w:rPr>
          <w:rFonts w:ascii="SimHei" w:eastAsia="SimHei" w:hAnsi="SimHei" w:cs="SimHei"/>
          <w:sz w:val="24"/>
          <w:szCs w:val="24"/>
        </w:rPr>
      </w:pPr>
      <w:r>
        <w:rPr>
          <w:rFonts w:ascii="Times New Roman" w:eastAsia="Times New Roman" w:hAnsi="Times New Roman" w:cs="Times New Roman"/>
          <w:b/>
          <w:bCs/>
          <w:spacing w:val="-4"/>
          <w:sz w:val="24"/>
          <w:szCs w:val="24"/>
        </w:rPr>
        <w:t>(b)</w:t>
      </w:r>
      <w:r>
        <w:rPr>
          <w:rFonts w:ascii="Times New Roman" w:eastAsia="Times New Roman" w:hAnsi="Times New Roman" w:cs="Times New Roman"/>
          <w:b/>
          <w:bCs/>
          <w:spacing w:val="26"/>
          <w:sz w:val="24"/>
          <w:szCs w:val="24"/>
        </w:rPr>
        <w:t xml:space="preserve">  </w:t>
      </w:r>
      <w:r>
        <w:rPr>
          <w:rFonts w:ascii="SimHei" w:eastAsia="SimHei" w:hAnsi="SimHei" w:cs="SimHei"/>
          <w:b/>
          <w:bCs/>
          <w:spacing w:val="-4"/>
          <w:sz w:val="24"/>
          <w:szCs w:val="24"/>
        </w:rPr>
        <w:t>各工况基坑底部水力梯度等值线</w:t>
      </w:r>
    </w:p>
    <w:p>
      <w:pPr>
        <w:spacing w:before="213" w:line="221" w:lineRule="auto"/>
        <w:ind w:left="1733"/>
        <w:rPr>
          <w:rFonts w:ascii="SimHei" w:eastAsia="SimHei" w:hAnsi="SimHei" w:cs="SimHei"/>
          <w:sz w:val="24"/>
          <w:szCs w:val="24"/>
        </w:rPr>
      </w:pPr>
      <w:r>
        <w:rPr>
          <w:rFonts w:ascii="SimHei" w:eastAsia="SimHei" w:hAnsi="SimHei" w:cs="SimHei"/>
          <w:b/>
          <w:bCs/>
          <w:spacing w:val="-2"/>
          <w:sz w:val="24"/>
          <w:szCs w:val="24"/>
        </w:rPr>
        <w:t>图4</w:t>
      </w:r>
      <w:r>
        <w:rPr>
          <w:rFonts w:ascii="SimHei" w:eastAsia="SimHei" w:hAnsi="SimHei" w:cs="SimHei"/>
          <w:spacing w:val="-2"/>
          <w:sz w:val="24"/>
          <w:szCs w:val="24"/>
        </w:rPr>
        <w:t xml:space="preserve"> </w:t>
      </w:r>
      <w:r>
        <w:rPr>
          <w:rFonts w:ascii="SimHei" w:eastAsia="SimHei" w:hAnsi="SimHei" w:cs="SimHei"/>
          <w:b/>
          <w:bCs/>
          <w:spacing w:val="-2"/>
          <w:sz w:val="24"/>
          <w:szCs w:val="24"/>
        </w:rPr>
        <w:t>基于临界水力梯度和沉降双控制的基坑降水优化模型</w:t>
      </w:r>
    </w:p>
    <w:p>
      <w:pPr>
        <w:spacing w:line="398" w:lineRule="auto"/>
        <w:rPr>
          <w:rFonts w:ascii="Arial"/>
          <w:sz w:val="21"/>
        </w:rPr>
        <w:sectPr>
          <w:footerReference w:type="default" r:id="rId30"/>
          <w:pgSz w:w="11910" w:h="16840"/>
          <w:pgMar w:top="1431" w:right="1039" w:bottom="906" w:left="1299" w:header="0" w:footer="798" w:gutter="0"/>
          <w:pgNumType w:start="10"/>
          <w:cols w:space="708"/>
        </w:sectPr>
      </w:pPr>
    </w:p>
    <w:p>
      <w:pPr>
        <w:pStyle w:val="BodyText"/>
        <w:spacing w:before="91" w:line="362" w:lineRule="auto"/>
        <w:ind w:firstLine="730"/>
        <w:jc w:val="both"/>
      </w:pPr>
      <w:r>
        <w:rPr>
          <w:spacing w:val="1"/>
        </w:rPr>
        <w:t>(2)超深超厚地下连续墙承载与变形特性</w:t>
      </w:r>
      <w:r>
        <w:t xml:space="preserve">：基于现场动态监测反馈分析， </w:t>
      </w:r>
      <w:r>
        <w:rPr>
          <w:spacing w:val="6"/>
        </w:rPr>
        <w:t>研究分析了软土地层复杂环境条件下深大基坑施工引起的围护结构和周围地</w:t>
      </w:r>
      <w:r>
        <w:t xml:space="preserve">  </w:t>
      </w:r>
      <w:r>
        <w:rPr>
          <w:spacing w:val="5"/>
        </w:rPr>
        <w:t>层变形规律，拟合确定了归一化地下连续墙变形侧移最大值与围护体系刚度</w:t>
      </w:r>
    </w:p>
    <w:p>
      <w:pPr>
        <w:pStyle w:val="BodyText"/>
        <w:spacing w:before="1" w:line="218" w:lineRule="auto"/>
      </w:pPr>
      <w:r>
        <w:rPr>
          <w:spacing w:val="5"/>
        </w:rPr>
        <w:t>关系图，揭示了软土地区深大基坑开挖过程中围护结构和周围地层的变形机</w:t>
      </w:r>
    </w:p>
    <w:p>
      <w:pPr>
        <w:spacing w:line="218"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https://d.book118.com/876104100134010035</w:t>
        </w:r>
      </w:hyperlink>
    </w:p>
    <w:p>
      <w:pPr>
        <w:spacing w:line="218" w:lineRule="auto"/>
      </w:pPr>
    </w:p>
    <w:sectPr>
      <w:footerReference w:type="default" r:id="rId32"/>
      <w:type w:val="nextPage"/>
      <w:pgSz w:w="11910" w:h="16840"/>
      <w:pgMar w:top="1431" w:right="1039" w:bottom="906" w:left="1299" w:header="0" w:footer="798"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688"/>
      <w:rPr>
        <w:sz w:val="18"/>
        <w:szCs w:val="18"/>
      </w:rPr>
    </w:pPr>
    <w:r>
      <w:rPr>
        <w:sz w:val="18"/>
        <w:szCs w:val="18"/>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691"/>
      <w:rPr>
        <w:sz w:val="18"/>
        <w:szCs w:val="18"/>
      </w:rPr>
    </w:pPr>
    <w:r>
      <w:rPr>
        <w:sz w:val="18"/>
        <w:szCs w:val="18"/>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691"/>
      <w:rPr>
        <w:sz w:val="18"/>
        <w:szCs w:val="18"/>
      </w:rPr>
    </w:pPr>
    <w:r>
      <w:rPr>
        <w:sz w:val="18"/>
        <w:szCs w:val="18"/>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686"/>
      <w:rPr>
        <w:sz w:val="18"/>
        <w:szCs w:val="18"/>
      </w:rPr>
    </w:pPr>
    <w:r>
      <w:rPr>
        <w:sz w:val="18"/>
        <w:szCs w:val="18"/>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686"/>
      <w:rPr>
        <w:sz w:val="18"/>
        <w:szCs w:val="18"/>
      </w:rPr>
    </w:pPr>
    <w:r>
      <w:rPr>
        <w:sz w:val="18"/>
        <w:szCs w:val="18"/>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670"/>
      <w:rPr>
        <w:sz w:val="14"/>
        <w:szCs w:val="14"/>
      </w:rPr>
    </w:pPr>
    <w:r>
      <w:rPr>
        <w:sz w:val="14"/>
        <w:szCs w:val="14"/>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670"/>
      <w:rPr>
        <w:sz w:val="14"/>
        <w:szCs w:val="14"/>
      </w:rPr>
    </w:pPr>
    <w:r>
      <w:rPr>
        <w:sz w:val="14"/>
        <w:szCs w:val="14"/>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720"/>
      <w:rPr>
        <w:sz w:val="15"/>
        <w:szCs w:val="15"/>
      </w:rPr>
    </w:pPr>
    <w:r>
      <w:rPr>
        <w:color w:val="162BE5"/>
        <w:sz w:val="15"/>
        <w:szCs w:val="15"/>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720"/>
      <w:rPr>
        <w:sz w:val="15"/>
        <w:szCs w:val="15"/>
      </w:rPr>
    </w:pPr>
    <w:r>
      <w:rPr>
        <w:color w:val="162BE5"/>
        <w:sz w:val="15"/>
        <w:szCs w:val="15"/>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4680"/>
      <w:rPr>
        <w:sz w:val="11"/>
        <w:szCs w:val="11"/>
      </w:rPr>
    </w:pPr>
    <w:r>
      <w:rPr>
        <w:sz w:val="11"/>
        <w:szCs w:val="11"/>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4680"/>
      <w:rPr>
        <w:sz w:val="11"/>
        <w:szCs w:val="11"/>
      </w:rPr>
    </w:pPr>
    <w:r>
      <w:rPr>
        <w:sz w:val="11"/>
        <w:szCs w:val="11"/>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2.jpeg" /><Relationship Id="rId12" Type="http://schemas.openxmlformats.org/officeDocument/2006/relationships/footer" Target="footer7.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image" Target="media/image5.jpeg"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image" Target="media/image9.jpe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footer" Target="footer8.xml" /><Relationship Id="rId23" Type="http://schemas.openxmlformats.org/officeDocument/2006/relationships/image" Target="media/image12.png" /><Relationship Id="rId24" Type="http://schemas.openxmlformats.org/officeDocument/2006/relationships/footer" Target="footer9.xml" /><Relationship Id="rId25" Type="http://schemas.openxmlformats.org/officeDocument/2006/relationships/image" Target="media/image13.jpeg" /><Relationship Id="rId26" Type="http://schemas.openxmlformats.org/officeDocument/2006/relationships/image" Target="media/image14.jpeg" /><Relationship Id="rId27" Type="http://schemas.openxmlformats.org/officeDocument/2006/relationships/image" Target="media/image15.jpeg" /><Relationship Id="rId28" Type="http://schemas.openxmlformats.org/officeDocument/2006/relationships/image" Target="media/image16.jpeg" /><Relationship Id="rId29" Type="http://schemas.openxmlformats.org/officeDocument/2006/relationships/image" Target="media/image17.jpeg"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yperlink" Target="https://d.book118.com/876104100134010035" TargetMode="External" /><Relationship Id="rId32" Type="http://schemas.openxmlformats.org/officeDocument/2006/relationships/footer" Target="footer11.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2024-01-19T20:29:28Z</vt:filetime>
  </property>
  <property fmtid="{D5CDD505-2E9C-101B-9397-08002B2CF9AE}" pid="3" name="CRO">
    <vt:lpwstr>wqlLaW5nc29mdCBQREYgdG8gV1BTIDkw</vt:lpwstr>
  </property>
  <property fmtid="{D5CDD505-2E9C-101B-9397-08002B2CF9AE}" pid="4" name="UsrData">
    <vt:lpwstr>65aa6b21b251f9001f20ff9fwl</vt:lpwstr>
  </property>
</Properties>
</file>