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海绵城市项目招商引资报告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0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(二)、海绵城市项目工程建设标准规范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(三)、海绵城市项目总平面设计要求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二、海绵城市质量管理方案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0" w:history="1">
        <w:r>
          <w:rPr>
            <w:rFonts w:ascii="仿宋" w:eastAsia="仿宋" w:hAnsi="仿宋" w:cs="仿宋" w:hint="eastAsia"/>
            <w:lang w:eastAsia="zh-CN"/>
          </w:rPr>
          <w:t>(一)、海绵城市质量管理要求</w:t>
        </w:r>
        <w:r>
          <w:tab/>
        </w:r>
        <w:r>
          <w:fldChar w:fldCharType="begin"/>
        </w:r>
        <w:r>
          <w:instrText xml:space="preserve"> PAGEREF _Toc6340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(二)、海绵城市服务质量管理方案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(三)、海绵城市质量成本管理方案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三、建设内容与产品方案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(二)、海绵城市产品规划方案及生产纲领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四、土建方案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五、建设规模分析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_Toc16636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七、风险因素分析及规避措施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65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九、建设方案与产品规划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十、创新驱动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(二)、海绵城市项目技术工艺分析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_Toc2983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十一、可持续发展和社会责任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十二、员工培训与绩效提升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十三、海绵城市项目质量管理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(三)、海绵城市项目质量控制计划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2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_Toc25192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十四、海绵城市项目实施与监督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(一)、海绵城市项目进度与任务分配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十五、未来发展战略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十六、安全生产与环境保护培训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6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十七、安全与环境考核评价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十八、海绵城市行业行业创新驱动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二十一、法律与合规性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(二)、海绵城市项目合同管理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70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3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工程的关键是要保证建筑结构的稳定性、功能的实用性、美观度的合理性以及建筑施工和运营的经济效益。在设计过程中，需要综合考虑建筑的用途、环境特征、可持续性等方面，并确立科学合理的设计原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588"/>
      <w:r>
        <w:rPr>
          <w:rFonts w:ascii="仿宋" w:eastAsia="仿宋" w:hAnsi="仿宋" w:cs="仿宋" w:hint="eastAsia"/>
          <w:sz w:val="28"/>
          <w:lang w:eastAsia="zh-CN"/>
        </w:rPr>
        <w:t>(二)、海绵城市项目工程建设标准规范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海绵城市的建设项目必须符合国家和地方的相关标准规范，以确保在施工过程中和建成后设施能够满足安全、环保、质量等方面的要求。设计过程中将充分考虑和遵循各项建设标准规范。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https://d.book118.com/876140233133010055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海绵城市项目招商引资报告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海绵城市项目招商引资报告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海绵城市项目招商引资报告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海绵城市项目招商引资报告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海绵城市项目招商引资报告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8E64A8"/>
    <w:rsid w:val="4593521B"/>
    <w:rsid w:val="568E64A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140233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2024-03-01T09:16:00Z</dcterms:created>
  <dcterms:modified xsi:type="dcterms:W3CDTF">2024-03-01T09:16:43Z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8DAC309724094A739CFBC06A15302A13_11</vt:lpwstr>
  </property>
  <property fmtid="{D5CDD505-2E9C-101B-9397-08002B2CF9AE}" pid="3" name="KSOProductBuildVer">
    <vt:lpwstr>2052-12.1.0.16399</vt:lpwstr>
  </property>
</Properties>
</file>