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73A1C" w:rsidP="00C73A1C" w14:paraId="767EC59E" w14:textId="77777777">
      <w:pPr>
        <w:spacing w:before="48" w:beforeLines="20" w:after="360" w:afterLines="150" w:line="360" w:lineRule="auto"/>
        <w:jc w:val="center"/>
        <w:rPr>
          <w:rFonts w:ascii="华文中宋" w:eastAsia="华文中宋" w:hAnsi="华文中宋"/>
          <w:b/>
          <w:sz w:val="30"/>
        </w:rPr>
      </w:pPr>
      <w:r w:rsidRPr="00C73A1C">
        <w:rPr>
          <w:rFonts w:ascii="华文中宋" w:eastAsia="华文中宋" w:hAnsi="华文中宋"/>
          <w:b/>
          <w:sz w:val="30"/>
        </w:rPr>
        <w:t>2024</w:t>
      </w:r>
      <w:r w:rsidRPr="00C73A1C">
        <w:rPr>
          <w:rFonts w:ascii="华文中宋" w:eastAsia="华文中宋" w:hAnsi="华文中宋"/>
          <w:b/>
          <w:sz w:val="30"/>
        </w:rPr>
        <w:t>年迪庆市烟草专卖局人员招聘模拟考试试题及答案解析</w:t>
      </w:r>
    </w:p>
    <w:p w:rsidR="00A77B3E" w14:paraId="787026C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18C54D2" w14:textId="77777777">
      <w:pPr>
        <w:spacing w:after="260" w:line="360" w:lineRule="auto"/>
      </w:pPr>
      <w:r>
        <w:rPr>
          <w:rFonts w:eastAsia="微软雅黑" w:cs="宋体"/>
          <w:b/>
        </w:rPr>
        <w:t>一、言语理解与表达</w:t>
      </w:r>
    </w:p>
    <w:p w:rsidR="00E0697D" w14:paraId="7F9EBC8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谈论人类艺术史时，人们往往更看重语言，尤其是作为文本的语言。因为人们习惯地以为，视觉是直观的、具体的和感性的，缺乏深刻而复杂的意蕴。但从历史的角度看，人在使用和理解文字之前就在创造和接触图像了，人类与图像的关系史在时间长度上远超人与文字的关系史。图像的表现与传达不仅由来已久，而且人们通常会发现，很多时候对于视觉艺术的体会与解读，其难度不亚于对语言文字的把握，甚至更为复杂。</w:t>
      </w:r>
    </w:p>
    <w:p w:rsidR="00E0697D" w14:paraId="07B26DE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这段文字旨在强调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32E9EB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、人们对图像在艺术史中的重要性认识不足</w:t>
      </w:r>
    </w:p>
    <w:p w:rsidR="00E0697D" w14:paraId="0E8BB8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、对艺术史的讨论不应局限于语言层面</w:t>
      </w:r>
    </w:p>
    <w:p w:rsidR="00E0697D" w14:paraId="2144619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、图像的复杂性导致视觉艺术作品难以被理解</w:t>
      </w:r>
    </w:p>
    <w:p w:rsidR="00E0697D" w14:paraId="57614AC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、人类的视觉系统比语言系统发展更为充分</w:t>
      </w:r>
    </w:p>
    <w:p w:rsidR="00E0697D" w14:paraId="4A7E9B7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761F290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文段首先点明在人类艺术史中，人们更看重文本的语言，然后通过“但从历史的角度看”转折，重点论述“人类与图像的关系史”更长，且解读上更为复杂，即文段重点说明人们对图像的重要性认识不足。故选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2474E01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债务置换计划的实施，地主债到期不能偿付的风险基本消弭，刚性兑付再一次得到确保。但地方债管理要真正走向规范化，还在许多技术问题有待解决，其中最为突出的就是地方政府的信用评级问题。信用评级是债券定价的基础。直接关于发行方的融资成本，但由于信用评级标准不明确，东部发达地区和西部欠发达地区的政府信用评级一样，地方政府信用和国家信用评级一样，甚至还出现地方债利率低于国债利率的情形，这在理论上显然是说不通的，也完全不能反映“市场在资源配置中起决定性作用”的要求。</w:t>
      </w:r>
    </w:p>
    <w:p w:rsidR="00E0697D" w14:paraId="32C656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DEEA60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、地方债务管理风险仍需引起重视</w:t>
      </w:r>
    </w:p>
    <w:p w:rsidR="00E0697D" w14:paraId="476371B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、地方政府信用评级制度亟待完善</w:t>
      </w:r>
    </w:p>
    <w:p w:rsidR="00E0697D" w14:paraId="4D0E755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、债务利率的确定应当符合市场规律</w:t>
      </w:r>
    </w:p>
    <w:p w:rsidR="00E0697D" w14:paraId="3EB847B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、解决地方债务问题应考虑地域差异</w:t>
      </w:r>
    </w:p>
    <w:p w:rsidR="00E0697D" w14:paraId="3EA54C9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6679284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文段首先说的是地方债务管理的问题，但是随后着重强调“</w:t>
      </w:r>
      <w:r w:rsidRPr="00E0697D">
        <w:rPr>
          <w:rFonts w:ascii="Times New Roman" w:eastAsia="微软雅黑" w:hAnsi="微软雅黑" w:cs="宋体" w:hint="eastAsia"/>
          <w:szCs w:val="18"/>
        </w:rPr>
        <w:t>其中最为突出的就是地方政府的信用评级问题”。接下来都是在论述地方政府信用评级。所以文段论述的主体就是“地方政府信用评级”。故选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510A44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在社会中不同地位不同阶层的人的行为，对群众的影响是不同的，地位越高，影响越大，所以才会有“</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”的说法。</w:t>
      </w:r>
    </w:p>
    <w:p w:rsidR="00E0697D" w14:paraId="11E5F772"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E52916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、人云亦云</w:t>
      </w:r>
    </w:p>
    <w:p w:rsidR="00E0697D" w14:paraId="009FFC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、上行下效</w:t>
      </w:r>
    </w:p>
    <w:p w:rsidR="00E0697D" w14:paraId="149BE33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、从善如流</w:t>
      </w:r>
    </w:p>
    <w:p w:rsidR="00E0697D" w14:paraId="3B6853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、高山仰止</w:t>
      </w:r>
    </w:p>
    <w:p w:rsidR="00E0697D" w14:paraId="2C5A31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1B33C66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本题考查成语填空。文段为因果结构，填入的成语与前文“地位越高，影响越大”</w:t>
      </w:r>
      <w:r w:rsidRPr="00E0697D">
        <w:rPr>
          <w:rFonts w:ascii="Times New Roman" w:eastAsia="微软雅黑" w:hAnsi="微软雅黑" w:cs="宋体" w:hint="eastAsia"/>
          <w:szCs w:val="18"/>
        </w:rPr>
        <w:t>形成对应，表示位置高低所带来的影响程度不同，地位越高说话越有影响。“上行下效”是指上面的人怎么做，下面的人就跟着怎么干，通常用在上下级的语境中，文段对此处加了引号，表示特殊用法，即指地位高的人对群众的影响。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2C50337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文学走进互联网，获得了―个崭新的平民化开放视野。网络上自由、兼容和共享的虚拟空间，打破了精英写作对文学话语权的垄断，为愿意上网创作的网民提供了“人人都能当作家”的机会。这种“新民间文学”，标志着文学话语权向民间回归。尽管如此，网络写作仍然不能与“人民写作”相提并论，因为文学的“人民写作”并不取决于传媒的公共性和参与的广泛性，而取决于这种文学的人民性价值取向和为广大民众喜闻乐见的审美品格。</w:t>
      </w:r>
    </w:p>
    <w:p w:rsidR="00E0697D" w14:paraId="1BD33D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这段文字主要说的是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1E4F5A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、大众化是未来文学发展的趋势</w:t>
      </w:r>
    </w:p>
    <w:p w:rsidR="00E0697D" w14:paraId="17B16A6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、大众化是未来文学发展的趋势</w:t>
      </w:r>
    </w:p>
    <w:p w:rsidR="00E0697D" w14:paraId="0C4BBDA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、网络写作为普通人提供了平等的话语权</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https://d.book118.com/877030052162006030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rsidP="00496691" w14:paraId="014D8D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3A1C" w14:paraId="0F4261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rsidP="00496691" w14:paraId="172B0BD8" w14:textId="3B210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73A1C" w14:paraId="22A4BF6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14:paraId="4B4916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3A1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rsidP="00496691" w14:textId="3B210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73A1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3A1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rsidP="00496691" w14:textId="3B210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73A1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14:paraId="01FD74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14:paraId="25FC44C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14:paraId="29B3B54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A1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C641C"/>
    <w:rsid w:val="00A77B3E"/>
    <w:rsid w:val="00A95C3D"/>
    <w:rsid w:val="00C73A1C"/>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50DF85"/>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C73A1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73A1C"/>
    <w:rPr>
      <w:sz w:val="18"/>
      <w:szCs w:val="18"/>
    </w:rPr>
  </w:style>
  <w:style w:type="paragraph" w:styleId="Footer">
    <w:name w:val="footer"/>
    <w:basedOn w:val="Normal"/>
    <w:link w:val="a0"/>
    <w:rsid w:val="00C73A1C"/>
    <w:pPr>
      <w:tabs>
        <w:tab w:val="center" w:pos="4153"/>
        <w:tab w:val="right" w:pos="8306"/>
      </w:tabs>
      <w:snapToGrid w:val="0"/>
    </w:pPr>
    <w:rPr>
      <w:sz w:val="18"/>
      <w:szCs w:val="18"/>
    </w:rPr>
  </w:style>
  <w:style w:type="character" w:customStyle="1" w:styleId="a0">
    <w:name w:val="页脚 字符"/>
    <w:basedOn w:val="DefaultParagraphFont"/>
    <w:link w:val="Footer"/>
    <w:rsid w:val="00C73A1C"/>
    <w:rPr>
      <w:sz w:val="18"/>
      <w:szCs w:val="18"/>
    </w:rPr>
  </w:style>
  <w:style w:type="character" w:styleId="PageNumber">
    <w:name w:val="page number"/>
    <w:basedOn w:val="DefaultParagraphFont"/>
    <w:rsid w:val="00C73A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77030052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4050</Words>
  <Characters>23086</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2024-01-12T14:18:00Z</dcterms:created>
  <dcterms:modified xsi:type="dcterms:W3CDTF">2024-01-12T14:18:00Z</dcterms:modified>
</cp:coreProperties>
</file>