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bookmarkStart w:id="0" w:name="_GoBack"/>
      <w:bookmarkEnd w:id="0"/>
    </w:p>
    <w:p>
      <w:pPr>
        <w:rPr>
          <w:rFonts w:ascii="仿宋" w:eastAsia="仿宋" w:hAnsi="仿宋" w:cs="仿宋" w:hint="eastAsia"/>
          <w:b/>
          <w:sz w:val="40"/>
        </w:rPr>
      </w:pPr>
    </w:p>
    <w:p>
      <w:pPr>
        <w:rPr>
          <w:rFonts w:ascii="仿宋" w:eastAsia="仿宋" w:hAnsi="仿宋" w:cs="仿宋" w:hint="eastAsia"/>
          <w:b/>
          <w:sz w:val="40"/>
        </w:rPr>
      </w:pPr>
    </w:p>
    <w:p>
      <w:pPr>
        <w:spacing w:before="254" w:line="360" w:lineRule="auto"/>
        <w:ind w:left="273"/>
        <w:jc w:val="center"/>
        <w:outlineLvl w:val="0"/>
        <w:rPr>
          <w:rFonts w:ascii="微软雅黑" w:eastAsia="微软雅黑" w:hAnsi="微软雅黑" w:cs="微软雅黑"/>
          <w:b/>
          <w:bCs/>
          <w:color w:val="2D54A0"/>
          <w:spacing w:val="8"/>
          <w:sz w:val="59"/>
          <w:szCs w:val="59"/>
        </w:rPr>
      </w:pPr>
      <w:r>
        <w:rPr>
          <w:rFonts w:ascii="微软雅黑" w:eastAsia="微软雅黑" w:hAnsi="微软雅黑" w:cs="微软雅黑"/>
          <w:b/>
          <w:bCs/>
          <w:color w:val="2D54A0"/>
          <w:spacing w:val="9"/>
          <w:sz w:val="59"/>
          <w:szCs w:val="59"/>
        </w:rPr>
        <w:t>2024年煤油添加剂行业趋势</w:t>
      </w:r>
      <w:r>
        <w:rPr>
          <w:rFonts w:ascii="微软雅黑" w:eastAsia="微软雅黑" w:hAnsi="微软雅黑" w:cs="微软雅黑"/>
          <w:b/>
          <w:bCs/>
          <w:color w:val="2D54A0"/>
          <w:spacing w:val="8"/>
          <w:sz w:val="59"/>
          <w:szCs w:val="59"/>
        </w:rPr>
        <w:t>报告</w:t>
      </w: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hint="default"/>
          <w:b/>
          <w:bCs/>
          <w:color w:val="2D54A0"/>
          <w:spacing w:val="8"/>
          <w:sz w:val="44"/>
          <w:szCs w:val="44"/>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b/>
          <w:bCs/>
          <w:color w:val="2D54A0"/>
          <w:spacing w:val="8"/>
          <w:sz w:val="44"/>
          <w:szCs w:val="44"/>
          <w:lang w:val="en-US" w:eastAsia="zh-CN"/>
        </w:rPr>
        <w:t>《2024年最新评估分析》</w:t>
      </w:r>
    </w:p>
    <w:p>
      <w:pPr>
        <w:spacing w:line="360" w:lineRule="auto"/>
        <w:jc w:val="center"/>
        <w:rPr>
          <w:rFonts w:ascii="微软雅黑" w:eastAsia="微软雅黑" w:hAnsi="微软雅黑" w:cs="微软雅黑" w:hint="eastAsia"/>
          <w:b/>
          <w:bCs w:val="0"/>
          <w:color w:val="2E54A1" w:themeColor="accent1" w:themeShade="BF"/>
          <w:sz w:val="40"/>
        </w:rPr>
      </w:pPr>
      <w:r>
        <w:rPr>
          <w:rFonts w:ascii="微软雅黑" w:eastAsia="微软雅黑" w:hAnsi="微软雅黑" w:cs="微软雅黑" w:hint="eastAsia"/>
          <w:b/>
          <w:bCs w:val="0"/>
          <w:color w:val="2E54A1" w:themeColor="accent1" w:themeShade="BF"/>
          <w:sz w:val="40"/>
          <w:lang w:eastAsia="zh-CN"/>
        </w:rPr>
        <w:t>目录</w:t>
      </w:r>
    </w:p>
    <w:p>
      <w:pPr>
        <w:pStyle w:val="TOC1"/>
        <w:tabs>
          <w:tab w:val="right" w:leader="dot" w:pos="8306"/>
        </w:tabs>
      </w:pPr>
      <w:r>
        <w:fldChar w:fldCharType="begin"/>
      </w:r>
      <w:r>
        <w:instrText>TOC \h \z</w:instrText>
      </w:r>
      <w:r>
        <w:fldChar w:fldCharType="separate"/>
      </w:r>
      <w:hyperlink w:anchor="_Toc11129" w:history="1">
        <w:r>
          <w:rPr>
            <w:rFonts w:ascii="微软雅黑" w:eastAsia="微软雅黑" w:hAnsi="微软雅黑" w:cs="微软雅黑" w:hint="eastAsia"/>
            <w:color w:val="001CAC" w:themeColor="hyperlink" w:themeShade="BF"/>
            <w:lang w:eastAsia="zh-CN"/>
          </w:rPr>
          <w:t>前言</w:t>
        </w:r>
        <w:r>
          <w:tab/>
        </w:r>
        <w:r>
          <w:fldChar w:fldCharType="begin"/>
        </w:r>
        <w:r>
          <w:instrText xml:space="preserve"> PAGEREF _Toc11129 \h </w:instrText>
        </w:r>
        <w:r>
          <w:fldChar w:fldCharType="separate"/>
        </w:r>
        <w:r>
          <w:t>4</w:t>
        </w:r>
        <w:r>
          <w:fldChar w:fldCharType="end"/>
        </w:r>
      </w:hyperlink>
    </w:p>
    <w:p>
      <w:pPr>
        <w:pStyle w:val="TOC1"/>
        <w:tabs>
          <w:tab w:val="right" w:leader="dot" w:pos="8306"/>
        </w:tabs>
      </w:pPr>
      <w:hyperlink w:anchor="_Toc5918" w:history="1">
        <w:r>
          <w:rPr>
            <w:rFonts w:ascii="微软雅黑" w:eastAsia="微软雅黑" w:hAnsi="微软雅黑" w:cs="微软雅黑" w:hint="eastAsia"/>
            <w:color w:val="001CAC" w:themeColor="hyperlink" w:themeShade="BF"/>
            <w:szCs w:val="32"/>
            <w:lang w:eastAsia="zh-CN"/>
          </w:rPr>
          <w:t>一、资金筹措与投资分析</w:t>
        </w:r>
        <w:r>
          <w:tab/>
        </w:r>
        <w:r>
          <w:fldChar w:fldCharType="begin"/>
        </w:r>
        <w:r>
          <w:instrText xml:space="preserve"> PAGEREF _Toc5918 \h </w:instrText>
        </w:r>
        <w:r>
          <w:fldChar w:fldCharType="separate"/>
        </w:r>
        <w:r>
          <w:t>4</w:t>
        </w:r>
        <w:r>
          <w:fldChar w:fldCharType="end"/>
        </w:r>
      </w:hyperlink>
    </w:p>
    <w:p>
      <w:pPr>
        <w:pStyle w:val="TOC2"/>
        <w:tabs>
          <w:tab w:val="right" w:leader="dot" w:pos="8306"/>
        </w:tabs>
      </w:pPr>
      <w:hyperlink w:anchor="_Toc30851" w:history="1">
        <w:r>
          <w:rPr>
            <w:rFonts w:ascii="宋体" w:eastAsia="宋体" w:hAnsi="宋体" w:cs="宋体" w:hint="eastAsia"/>
            <w:bCs w:val="0"/>
            <w:szCs w:val="28"/>
            <w:lang w:eastAsia="zh-CN"/>
          </w:rPr>
          <w:t>(一)、资金需求与筹措计划</w:t>
        </w:r>
        <w:r>
          <w:tab/>
        </w:r>
        <w:r>
          <w:fldChar w:fldCharType="begin"/>
        </w:r>
        <w:r>
          <w:instrText xml:space="preserve"> PAGEREF _Toc30851 \h </w:instrText>
        </w:r>
        <w:r>
          <w:fldChar w:fldCharType="separate"/>
        </w:r>
        <w:r>
          <w:t>4</w:t>
        </w:r>
        <w:r>
          <w:fldChar w:fldCharType="end"/>
        </w:r>
      </w:hyperlink>
    </w:p>
    <w:p>
      <w:pPr>
        <w:pStyle w:val="TOC2"/>
        <w:tabs>
          <w:tab w:val="right" w:leader="dot" w:pos="8306"/>
        </w:tabs>
      </w:pPr>
      <w:hyperlink w:anchor="_Toc25542" w:history="1">
        <w:r>
          <w:rPr>
            <w:rFonts w:ascii="宋体" w:eastAsia="宋体" w:hAnsi="宋体" w:cs="宋体" w:hint="eastAsia"/>
            <w:bCs w:val="0"/>
            <w:szCs w:val="28"/>
            <w:lang w:eastAsia="zh-CN"/>
          </w:rPr>
          <w:t>(二)、投资分析与回报预期</w:t>
        </w:r>
        <w:r>
          <w:tab/>
        </w:r>
        <w:r>
          <w:fldChar w:fldCharType="begin"/>
        </w:r>
        <w:r>
          <w:instrText xml:space="preserve"> PAGEREF _Toc25542 \h </w:instrText>
        </w:r>
        <w:r>
          <w:fldChar w:fldCharType="separate"/>
        </w:r>
        <w:r>
          <w:t>5</w:t>
        </w:r>
        <w:r>
          <w:fldChar w:fldCharType="end"/>
        </w:r>
      </w:hyperlink>
    </w:p>
    <w:p>
      <w:pPr>
        <w:pStyle w:val="TOC1"/>
        <w:tabs>
          <w:tab w:val="right" w:leader="dot" w:pos="8306"/>
        </w:tabs>
      </w:pPr>
      <w:hyperlink w:anchor="_Toc15958" w:history="1">
        <w:r>
          <w:rPr>
            <w:rFonts w:ascii="微软雅黑" w:eastAsia="微软雅黑" w:hAnsi="微软雅黑" w:cs="微软雅黑" w:hint="eastAsia"/>
            <w:color w:val="001CAC" w:themeColor="hyperlink" w:themeShade="BF"/>
            <w:szCs w:val="32"/>
            <w:lang w:eastAsia="zh-CN"/>
          </w:rPr>
          <w:t>二、项目运营与管理</w:t>
        </w:r>
        <w:r>
          <w:tab/>
        </w:r>
        <w:r>
          <w:fldChar w:fldCharType="begin"/>
        </w:r>
        <w:r>
          <w:instrText xml:space="preserve"> PAGEREF _Toc15958 \h </w:instrText>
        </w:r>
        <w:r>
          <w:fldChar w:fldCharType="separate"/>
        </w:r>
        <w:r>
          <w:t>5</w:t>
        </w:r>
        <w:r>
          <w:fldChar w:fldCharType="end"/>
        </w:r>
      </w:hyperlink>
    </w:p>
    <w:p>
      <w:pPr>
        <w:pStyle w:val="TOC2"/>
        <w:tabs>
          <w:tab w:val="right" w:leader="dot" w:pos="8306"/>
        </w:tabs>
      </w:pPr>
      <w:hyperlink w:anchor="_Toc14736" w:history="1">
        <w:r>
          <w:rPr>
            <w:rFonts w:ascii="宋体" w:eastAsia="宋体" w:hAnsi="宋体" w:cs="宋体" w:hint="eastAsia"/>
            <w:bCs w:val="0"/>
            <w:szCs w:val="28"/>
            <w:lang w:eastAsia="zh-CN"/>
          </w:rPr>
          <w:t>(一)、运营模式选择</w:t>
        </w:r>
        <w:r>
          <w:tab/>
        </w:r>
        <w:r>
          <w:fldChar w:fldCharType="begin"/>
        </w:r>
        <w:r>
          <w:instrText xml:space="preserve"> PAGEREF _Toc14736 \h </w:instrText>
        </w:r>
        <w:r>
          <w:fldChar w:fldCharType="separate"/>
        </w:r>
        <w:r>
          <w:t>5</w:t>
        </w:r>
        <w:r>
          <w:fldChar w:fldCharType="end"/>
        </w:r>
      </w:hyperlink>
    </w:p>
    <w:p>
      <w:pPr>
        <w:pStyle w:val="TOC2"/>
        <w:tabs>
          <w:tab w:val="right" w:leader="dot" w:pos="8306"/>
        </w:tabs>
      </w:pPr>
      <w:hyperlink w:anchor="_Toc18260" w:history="1">
        <w:r>
          <w:rPr>
            <w:rFonts w:ascii="宋体" w:eastAsia="宋体" w:hAnsi="宋体" w:cs="宋体" w:hint="eastAsia"/>
            <w:bCs w:val="0"/>
            <w:szCs w:val="28"/>
            <w:lang w:eastAsia="zh-CN"/>
          </w:rPr>
          <w:t>(二)、人力资源规划</w:t>
        </w:r>
        <w:r>
          <w:tab/>
        </w:r>
        <w:r>
          <w:fldChar w:fldCharType="begin"/>
        </w:r>
        <w:r>
          <w:instrText xml:space="preserve"> PAGEREF _Toc18260 \h </w:instrText>
        </w:r>
        <w:r>
          <w:fldChar w:fldCharType="separate"/>
        </w:r>
        <w:r>
          <w:t>6</w:t>
        </w:r>
        <w:r>
          <w:fldChar w:fldCharType="end"/>
        </w:r>
      </w:hyperlink>
    </w:p>
    <w:p>
      <w:pPr>
        <w:pStyle w:val="TOC2"/>
        <w:tabs>
          <w:tab w:val="right" w:leader="dot" w:pos="8306"/>
        </w:tabs>
      </w:pPr>
      <w:hyperlink w:anchor="_Toc32547" w:history="1">
        <w:r>
          <w:rPr>
            <w:rFonts w:ascii="宋体" w:eastAsia="宋体" w:hAnsi="宋体" w:cs="宋体" w:hint="eastAsia"/>
            <w:bCs w:val="0"/>
            <w:szCs w:val="28"/>
            <w:lang w:eastAsia="zh-CN"/>
          </w:rPr>
          <w:t>(三)、财务管理计划</w:t>
        </w:r>
        <w:r>
          <w:tab/>
        </w:r>
        <w:r>
          <w:fldChar w:fldCharType="begin"/>
        </w:r>
        <w:r>
          <w:instrText xml:space="preserve"> PAGEREF _Toc32547 \h </w:instrText>
        </w:r>
        <w:r>
          <w:fldChar w:fldCharType="separate"/>
        </w:r>
        <w:r>
          <w:t>6</w:t>
        </w:r>
        <w:r>
          <w:fldChar w:fldCharType="end"/>
        </w:r>
      </w:hyperlink>
    </w:p>
    <w:p>
      <w:pPr>
        <w:pStyle w:val="TOC2"/>
        <w:tabs>
          <w:tab w:val="right" w:leader="dot" w:pos="8306"/>
        </w:tabs>
      </w:pPr>
      <w:hyperlink w:anchor="_Toc22031" w:history="1">
        <w:r>
          <w:rPr>
            <w:rFonts w:ascii="宋体" w:eastAsia="宋体" w:hAnsi="宋体" w:cs="宋体" w:hint="eastAsia"/>
            <w:bCs w:val="0"/>
            <w:szCs w:val="28"/>
            <w:lang w:eastAsia="zh-CN"/>
          </w:rPr>
          <w:t>(四)、供应链管理</w:t>
        </w:r>
        <w:r>
          <w:tab/>
        </w:r>
        <w:r>
          <w:fldChar w:fldCharType="begin"/>
        </w:r>
        <w:r>
          <w:instrText xml:space="preserve"> PAGEREF _Toc22031 \h </w:instrText>
        </w:r>
        <w:r>
          <w:fldChar w:fldCharType="separate"/>
        </w:r>
        <w:r>
          <w:t>7</w:t>
        </w:r>
        <w:r>
          <w:fldChar w:fldCharType="end"/>
        </w:r>
      </w:hyperlink>
    </w:p>
    <w:p>
      <w:pPr>
        <w:pStyle w:val="TOC1"/>
        <w:tabs>
          <w:tab w:val="right" w:leader="dot" w:pos="8306"/>
        </w:tabs>
      </w:pPr>
      <w:hyperlink w:anchor="_Toc12590" w:history="1">
        <w:r>
          <w:rPr>
            <w:rFonts w:ascii="微软雅黑" w:eastAsia="微软雅黑" w:hAnsi="微软雅黑" w:cs="微软雅黑" w:hint="eastAsia"/>
            <w:color w:val="001CAC" w:themeColor="hyperlink" w:themeShade="BF"/>
            <w:szCs w:val="32"/>
            <w:lang w:eastAsia="zh-CN"/>
          </w:rPr>
          <w:t>三、项目实施与进度安排</w:t>
        </w:r>
        <w:r>
          <w:tab/>
        </w:r>
        <w:r>
          <w:fldChar w:fldCharType="begin"/>
        </w:r>
        <w:r>
          <w:instrText xml:space="preserve"> PAGEREF _Toc12590 \h </w:instrText>
        </w:r>
        <w:r>
          <w:fldChar w:fldCharType="separate"/>
        </w:r>
        <w:r>
          <w:t>8</w:t>
        </w:r>
        <w:r>
          <w:fldChar w:fldCharType="end"/>
        </w:r>
      </w:hyperlink>
    </w:p>
    <w:p>
      <w:pPr>
        <w:pStyle w:val="TOC2"/>
        <w:tabs>
          <w:tab w:val="right" w:leader="dot" w:pos="8306"/>
        </w:tabs>
      </w:pPr>
      <w:hyperlink w:anchor="_Toc12122" w:history="1">
        <w:r>
          <w:rPr>
            <w:rFonts w:ascii="宋体" w:eastAsia="宋体" w:hAnsi="宋体" w:cs="宋体" w:hint="eastAsia"/>
            <w:bCs w:val="0"/>
            <w:szCs w:val="28"/>
            <w:lang w:eastAsia="zh-CN"/>
          </w:rPr>
          <w:t>(一)、项目计划与时间节点</w:t>
        </w:r>
        <w:r>
          <w:tab/>
        </w:r>
        <w:r>
          <w:fldChar w:fldCharType="begin"/>
        </w:r>
        <w:r>
          <w:instrText xml:space="preserve"> PAGEREF _Toc12122 \h </w:instrText>
        </w:r>
        <w:r>
          <w:fldChar w:fldCharType="separate"/>
        </w:r>
        <w:r>
          <w:t>8</w:t>
        </w:r>
        <w:r>
          <w:fldChar w:fldCharType="end"/>
        </w:r>
      </w:hyperlink>
    </w:p>
    <w:p>
      <w:pPr>
        <w:pStyle w:val="TOC2"/>
        <w:tabs>
          <w:tab w:val="right" w:leader="dot" w:pos="8306"/>
        </w:tabs>
      </w:pPr>
      <w:hyperlink w:anchor="_Toc14504" w:history="1">
        <w:r>
          <w:rPr>
            <w:rFonts w:ascii="宋体" w:eastAsia="宋体" w:hAnsi="宋体" w:cs="宋体" w:hint="eastAsia"/>
            <w:bCs w:val="0"/>
            <w:szCs w:val="28"/>
            <w:lang w:eastAsia="zh-CN"/>
          </w:rPr>
          <w:t>(二)、项目进度安排</w:t>
        </w:r>
        <w:r>
          <w:tab/>
        </w:r>
        <w:r>
          <w:fldChar w:fldCharType="begin"/>
        </w:r>
        <w:r>
          <w:instrText xml:space="preserve"> PAGEREF _Toc14504 \h </w:instrText>
        </w:r>
        <w:r>
          <w:fldChar w:fldCharType="separate"/>
        </w:r>
        <w:r>
          <w:t>10</w:t>
        </w:r>
        <w:r>
          <w:fldChar w:fldCharType="end"/>
        </w:r>
      </w:hyperlink>
    </w:p>
    <w:p>
      <w:pPr>
        <w:pStyle w:val="TOC2"/>
        <w:tabs>
          <w:tab w:val="right" w:leader="dot" w:pos="8306"/>
        </w:tabs>
      </w:pPr>
      <w:hyperlink w:anchor="_Toc14839" w:history="1">
        <w:r>
          <w:rPr>
            <w:rFonts w:ascii="宋体" w:eastAsia="宋体" w:hAnsi="宋体" w:cs="宋体" w:hint="eastAsia"/>
            <w:bCs w:val="0"/>
            <w:szCs w:val="28"/>
            <w:lang w:eastAsia="zh-CN"/>
          </w:rPr>
          <w:t>(三)、风险管理与对策</w:t>
        </w:r>
        <w:r>
          <w:tab/>
        </w:r>
        <w:r>
          <w:fldChar w:fldCharType="begin"/>
        </w:r>
        <w:r>
          <w:instrText xml:space="preserve"> PAGEREF _Toc14839 \h </w:instrText>
        </w:r>
        <w:r>
          <w:fldChar w:fldCharType="separate"/>
        </w:r>
        <w:r>
          <w:t>12</w:t>
        </w:r>
        <w:r>
          <w:fldChar w:fldCharType="end"/>
        </w:r>
      </w:hyperlink>
    </w:p>
    <w:p>
      <w:pPr>
        <w:pStyle w:val="TOC1"/>
        <w:tabs>
          <w:tab w:val="right" w:leader="dot" w:pos="8306"/>
        </w:tabs>
      </w:pPr>
      <w:hyperlink w:anchor="_Toc9298" w:history="1">
        <w:r>
          <w:rPr>
            <w:rFonts w:ascii="微软雅黑" w:eastAsia="微软雅黑" w:hAnsi="微软雅黑" w:cs="微软雅黑" w:hint="eastAsia"/>
            <w:color w:val="001CAC" w:themeColor="hyperlink" w:themeShade="BF"/>
            <w:szCs w:val="32"/>
            <w:lang w:eastAsia="zh-CN"/>
          </w:rPr>
          <w:t>四、项目管理与团队协作</w:t>
        </w:r>
        <w:r>
          <w:tab/>
        </w:r>
        <w:r>
          <w:fldChar w:fldCharType="begin"/>
        </w:r>
        <w:r>
          <w:instrText xml:space="preserve"> PAGEREF _Toc9298 \h </w:instrText>
        </w:r>
        <w:r>
          <w:fldChar w:fldCharType="separate"/>
        </w:r>
        <w:r>
          <w:t>13</w:t>
        </w:r>
        <w:r>
          <w:fldChar w:fldCharType="end"/>
        </w:r>
      </w:hyperlink>
    </w:p>
    <w:p>
      <w:pPr>
        <w:pStyle w:val="TOC2"/>
        <w:tabs>
          <w:tab w:val="right" w:leader="dot" w:pos="8306"/>
        </w:tabs>
      </w:pPr>
      <w:hyperlink w:anchor="_Toc2208" w:history="1">
        <w:r>
          <w:rPr>
            <w:rFonts w:ascii="宋体" w:eastAsia="宋体" w:hAnsi="宋体" w:cs="宋体" w:hint="eastAsia"/>
            <w:bCs w:val="0"/>
            <w:szCs w:val="28"/>
            <w:lang w:eastAsia="zh-CN"/>
          </w:rPr>
          <w:t>(一)、项目管理方法论</w:t>
        </w:r>
        <w:r>
          <w:tab/>
        </w:r>
        <w:r>
          <w:fldChar w:fldCharType="begin"/>
        </w:r>
        <w:r>
          <w:instrText xml:space="preserve"> PAGEREF _Toc2208 \h </w:instrText>
        </w:r>
        <w:r>
          <w:fldChar w:fldCharType="separate"/>
        </w:r>
        <w:r>
          <w:t>13</w:t>
        </w:r>
        <w:r>
          <w:fldChar w:fldCharType="end"/>
        </w:r>
      </w:hyperlink>
    </w:p>
    <w:p>
      <w:pPr>
        <w:pStyle w:val="TOC2"/>
        <w:tabs>
          <w:tab w:val="right" w:leader="dot" w:pos="8306"/>
        </w:tabs>
      </w:pPr>
      <w:hyperlink w:anchor="_Toc26377" w:history="1">
        <w:r>
          <w:rPr>
            <w:rFonts w:ascii="宋体" w:eastAsia="宋体" w:hAnsi="宋体" w:cs="宋体" w:hint="eastAsia"/>
            <w:bCs w:val="0"/>
            <w:szCs w:val="28"/>
            <w:lang w:eastAsia="zh-CN"/>
          </w:rPr>
          <w:t>(二)、团队组建与角色分工</w:t>
        </w:r>
        <w:r>
          <w:tab/>
        </w:r>
        <w:r>
          <w:fldChar w:fldCharType="begin"/>
        </w:r>
        <w:r>
          <w:instrText xml:space="preserve"> PAGEREF _Toc26377 \h </w:instrText>
        </w:r>
        <w:r>
          <w:fldChar w:fldCharType="separate"/>
        </w:r>
        <w:r>
          <w:t>14</w:t>
        </w:r>
        <w:r>
          <w:fldChar w:fldCharType="end"/>
        </w:r>
      </w:hyperlink>
    </w:p>
    <w:p>
      <w:pPr>
        <w:pStyle w:val="TOC2"/>
        <w:tabs>
          <w:tab w:val="right" w:leader="dot" w:pos="8306"/>
        </w:tabs>
      </w:pPr>
      <w:hyperlink w:anchor="_Toc2435" w:history="1">
        <w:r>
          <w:rPr>
            <w:rFonts w:ascii="宋体" w:eastAsia="宋体" w:hAnsi="宋体" w:cs="宋体" w:hint="eastAsia"/>
            <w:bCs w:val="0"/>
            <w:szCs w:val="28"/>
            <w:lang w:eastAsia="zh-CN"/>
          </w:rPr>
          <w:t>(三)、团队沟通与协作机制</w:t>
        </w:r>
        <w:r>
          <w:tab/>
        </w:r>
        <w:r>
          <w:fldChar w:fldCharType="begin"/>
        </w:r>
        <w:r>
          <w:instrText xml:space="preserve"> PAGEREF _Toc2435 \h </w:instrText>
        </w:r>
        <w:r>
          <w:fldChar w:fldCharType="separate"/>
        </w:r>
        <w:r>
          <w:t>15</w:t>
        </w:r>
        <w:r>
          <w:fldChar w:fldCharType="end"/>
        </w:r>
      </w:hyperlink>
    </w:p>
    <w:p>
      <w:pPr>
        <w:pStyle w:val="TOC2"/>
        <w:tabs>
          <w:tab w:val="right" w:leader="dot" w:pos="8306"/>
        </w:tabs>
      </w:pPr>
      <w:hyperlink w:anchor="_Toc2538" w:history="1">
        <w:r>
          <w:rPr>
            <w:rFonts w:ascii="宋体" w:eastAsia="宋体" w:hAnsi="宋体" w:cs="宋体" w:hint="eastAsia"/>
            <w:bCs w:val="0"/>
            <w:szCs w:val="28"/>
            <w:lang w:eastAsia="zh-CN"/>
          </w:rPr>
          <w:t>(四)、项目风险管理与应对</w:t>
        </w:r>
        <w:r>
          <w:tab/>
        </w:r>
        <w:r>
          <w:fldChar w:fldCharType="begin"/>
        </w:r>
        <w:r>
          <w:instrText xml:space="preserve"> PAGEREF _Toc2538 \h </w:instrText>
        </w:r>
        <w:r>
          <w:fldChar w:fldCharType="separate"/>
        </w:r>
        <w:r>
          <w:t>16</w:t>
        </w:r>
        <w:r>
          <w:fldChar w:fldCharType="end"/>
        </w:r>
      </w:hyperlink>
    </w:p>
    <w:p>
      <w:pPr>
        <w:pStyle w:val="TOC1"/>
        <w:tabs>
          <w:tab w:val="right" w:leader="dot" w:pos="8306"/>
        </w:tabs>
      </w:pPr>
      <w:hyperlink w:anchor="_Toc11875" w:history="1">
        <w:r>
          <w:rPr>
            <w:rFonts w:ascii="微软雅黑" w:eastAsia="微软雅黑" w:hAnsi="微软雅黑" w:cs="微软雅黑" w:hint="eastAsia"/>
            <w:color w:val="001CAC" w:themeColor="hyperlink" w:themeShade="BF"/>
            <w:szCs w:val="32"/>
            <w:lang w:eastAsia="zh-CN"/>
          </w:rPr>
          <w:t>五、煤油添加剂行业公司治理与社会责任</w:t>
        </w:r>
        <w:r>
          <w:tab/>
        </w:r>
        <w:r>
          <w:fldChar w:fldCharType="begin"/>
        </w:r>
        <w:r>
          <w:instrText xml:space="preserve"> PAGEREF _Toc11875 \h </w:instrText>
        </w:r>
        <w:r>
          <w:fldChar w:fldCharType="separate"/>
        </w:r>
        <w:r>
          <w:t>17</w:t>
        </w:r>
        <w:r>
          <w:fldChar w:fldCharType="end"/>
        </w:r>
      </w:hyperlink>
    </w:p>
    <w:p>
      <w:pPr>
        <w:pStyle w:val="TOC2"/>
        <w:tabs>
          <w:tab w:val="right" w:leader="dot" w:pos="8306"/>
        </w:tabs>
      </w:pPr>
      <w:hyperlink w:anchor="_Toc30811" w:history="1">
        <w:r>
          <w:rPr>
            <w:rFonts w:ascii="宋体" w:eastAsia="宋体" w:hAnsi="宋体" w:cs="宋体" w:hint="eastAsia"/>
            <w:bCs w:val="0"/>
            <w:szCs w:val="28"/>
            <w:lang w:eastAsia="zh-CN"/>
          </w:rPr>
          <w:t>(一)、公司治理结构</w:t>
        </w:r>
        <w:r>
          <w:tab/>
        </w:r>
        <w:r>
          <w:fldChar w:fldCharType="begin"/>
        </w:r>
        <w:r>
          <w:instrText xml:space="preserve"> PAGEREF _Toc30811 \h </w:instrText>
        </w:r>
        <w:r>
          <w:fldChar w:fldCharType="separate"/>
        </w:r>
        <w:r>
          <w:t>17</w:t>
        </w:r>
        <w:r>
          <w:fldChar w:fldCharType="end"/>
        </w:r>
      </w:hyperlink>
    </w:p>
    <w:p>
      <w:pPr>
        <w:pStyle w:val="TOC2"/>
        <w:tabs>
          <w:tab w:val="right" w:leader="dot" w:pos="8306"/>
        </w:tabs>
      </w:pPr>
      <w:hyperlink w:anchor="_Toc15102" w:history="1">
        <w:r>
          <w:rPr>
            <w:rFonts w:ascii="宋体" w:eastAsia="宋体" w:hAnsi="宋体" w:cs="宋体" w:hint="eastAsia"/>
            <w:bCs w:val="0"/>
            <w:szCs w:val="28"/>
            <w:lang w:eastAsia="zh-CN"/>
          </w:rPr>
          <w:t>(二)、董事会运作与决策</w:t>
        </w:r>
        <w:r>
          <w:tab/>
        </w:r>
        <w:r>
          <w:fldChar w:fldCharType="begin"/>
        </w:r>
        <w:r>
          <w:instrText xml:space="preserve"> PAGEREF _Toc15102 \h </w:instrText>
        </w:r>
        <w:r>
          <w:fldChar w:fldCharType="separate"/>
        </w:r>
        <w:r>
          <w:t>17</w:t>
        </w:r>
        <w:r>
          <w:fldChar w:fldCharType="end"/>
        </w:r>
      </w:hyperlink>
    </w:p>
    <w:p>
      <w:pPr>
        <w:pStyle w:val="TOC2"/>
        <w:tabs>
          <w:tab w:val="right" w:leader="dot" w:pos="8306"/>
        </w:tabs>
      </w:pPr>
      <w:hyperlink w:anchor="_Toc32102" w:history="1">
        <w:r>
          <w:rPr>
            <w:rFonts w:ascii="宋体" w:eastAsia="宋体" w:hAnsi="宋体" w:cs="宋体" w:hint="eastAsia"/>
            <w:bCs w:val="0"/>
            <w:szCs w:val="28"/>
            <w:lang w:eastAsia="zh-CN"/>
          </w:rPr>
          <w:t>(三)、内部控制与审计</w:t>
        </w:r>
        <w:r>
          <w:tab/>
        </w:r>
        <w:r>
          <w:fldChar w:fldCharType="begin"/>
        </w:r>
        <w:r>
          <w:instrText xml:space="preserve"> PAGEREF _Toc32102 \h </w:instrText>
        </w:r>
        <w:r>
          <w:fldChar w:fldCharType="separate"/>
        </w:r>
        <w:r>
          <w:t>18</w:t>
        </w:r>
        <w:r>
          <w:fldChar w:fldCharType="end"/>
        </w:r>
      </w:hyperlink>
    </w:p>
    <w:p>
      <w:pPr>
        <w:pStyle w:val="TOC2"/>
        <w:tabs>
          <w:tab w:val="right" w:leader="dot" w:pos="8306"/>
        </w:tabs>
      </w:pPr>
      <w:hyperlink w:anchor="_Toc4969" w:history="1">
        <w:r>
          <w:rPr>
            <w:rFonts w:ascii="宋体" w:eastAsia="宋体" w:hAnsi="宋体" w:cs="宋体" w:hint="eastAsia"/>
            <w:bCs w:val="0"/>
            <w:szCs w:val="28"/>
            <w:lang w:eastAsia="zh-CN"/>
          </w:rPr>
          <w:t>(四)、法律法规合规体系</w:t>
        </w:r>
        <w:r>
          <w:tab/>
        </w:r>
        <w:r>
          <w:fldChar w:fldCharType="begin"/>
        </w:r>
        <w:r>
          <w:instrText xml:space="preserve"> PAGEREF _Toc4969 \h </w:instrText>
        </w:r>
        <w:r>
          <w:fldChar w:fldCharType="separate"/>
        </w:r>
        <w:r>
          <w:t>19</w:t>
        </w:r>
        <w:r>
          <w:fldChar w:fldCharType="end"/>
        </w:r>
      </w:hyperlink>
    </w:p>
    <w:p>
      <w:pPr>
        <w:pStyle w:val="TOC2"/>
        <w:tabs>
          <w:tab w:val="right" w:leader="dot" w:pos="8306"/>
        </w:tabs>
      </w:pPr>
      <w:hyperlink w:anchor="_Toc1309" w:history="1">
        <w:r>
          <w:rPr>
            <w:rFonts w:ascii="宋体" w:eastAsia="宋体" w:hAnsi="宋体" w:cs="宋体" w:hint="eastAsia"/>
            <w:bCs w:val="0"/>
            <w:szCs w:val="28"/>
            <w:lang w:eastAsia="zh-CN"/>
          </w:rPr>
          <w:t>(五)、企业社会责任与道德经营</w:t>
        </w:r>
        <w:r>
          <w:tab/>
        </w:r>
        <w:r>
          <w:fldChar w:fldCharType="begin"/>
        </w:r>
        <w:r>
          <w:instrText xml:space="preserve"> PAGEREF _Toc1309 \h </w:instrText>
        </w:r>
        <w:r>
          <w:fldChar w:fldCharType="separate"/>
        </w:r>
        <w:r>
          <w:t>19</w:t>
        </w:r>
        <w:r>
          <w:fldChar w:fldCharType="end"/>
        </w:r>
      </w:hyperlink>
    </w:p>
    <w:p>
      <w:pPr>
        <w:pStyle w:val="TOC1"/>
        <w:tabs>
          <w:tab w:val="right" w:leader="dot" w:pos="8306"/>
        </w:tabs>
      </w:pPr>
      <w:hyperlink w:anchor="_Toc29309" w:history="1">
        <w:r>
          <w:rPr>
            <w:rFonts w:ascii="微软雅黑" w:eastAsia="微软雅黑" w:hAnsi="微软雅黑" w:cs="微软雅黑" w:hint="eastAsia"/>
            <w:color w:val="001CAC" w:themeColor="hyperlink" w:themeShade="BF"/>
            <w:szCs w:val="32"/>
            <w:lang w:eastAsia="zh-CN"/>
          </w:rPr>
          <w:t>六、煤油添加剂行业市场营销分析</w:t>
        </w:r>
        <w:r>
          <w:tab/>
        </w:r>
        <w:r>
          <w:fldChar w:fldCharType="begin"/>
        </w:r>
        <w:r>
          <w:instrText xml:space="preserve"> PAGEREF _Toc29309 \h </w:instrText>
        </w:r>
        <w:r>
          <w:fldChar w:fldCharType="separate"/>
        </w:r>
        <w:r>
          <w:t>20</w:t>
        </w:r>
        <w:r>
          <w:fldChar w:fldCharType="end"/>
        </w:r>
      </w:hyperlink>
    </w:p>
    <w:p>
      <w:pPr>
        <w:pStyle w:val="TOC2"/>
        <w:tabs>
          <w:tab w:val="right" w:leader="dot" w:pos="8306"/>
        </w:tabs>
      </w:pPr>
      <w:hyperlink w:anchor="_Toc2517" w:history="1">
        <w:r>
          <w:rPr>
            <w:rFonts w:ascii="宋体" w:eastAsia="宋体" w:hAnsi="宋体" w:cs="宋体" w:hint="eastAsia"/>
            <w:bCs w:val="0"/>
            <w:szCs w:val="28"/>
            <w:lang w:eastAsia="zh-CN"/>
          </w:rPr>
          <w:t>(一)、煤油添加剂行业市场营销总体思路</w:t>
        </w:r>
        <w:r>
          <w:tab/>
        </w:r>
        <w:r>
          <w:fldChar w:fldCharType="begin"/>
        </w:r>
        <w:r>
          <w:instrText xml:space="preserve"> PAGEREF _Toc2517 \h </w:instrText>
        </w:r>
        <w:r>
          <w:fldChar w:fldCharType="separate"/>
        </w:r>
        <w:r>
          <w:t>20</w:t>
        </w:r>
        <w:r>
          <w:fldChar w:fldCharType="end"/>
        </w:r>
      </w:hyperlink>
    </w:p>
    <w:p>
      <w:pPr>
        <w:pStyle w:val="TOC2"/>
        <w:tabs>
          <w:tab w:val="right" w:leader="dot" w:pos="8306"/>
        </w:tabs>
      </w:pPr>
      <w:hyperlink w:anchor="_Toc28820" w:history="1">
        <w:r>
          <w:rPr>
            <w:rFonts w:ascii="宋体" w:eastAsia="宋体" w:hAnsi="宋体" w:cs="宋体" w:hint="eastAsia"/>
            <w:bCs w:val="0"/>
            <w:szCs w:val="28"/>
            <w:lang w:eastAsia="zh-CN"/>
          </w:rPr>
          <w:t>(二)、煤油添加剂行业组织市场分析</w:t>
        </w:r>
        <w:r>
          <w:tab/>
        </w:r>
        <w:r>
          <w:fldChar w:fldCharType="begin"/>
        </w:r>
        <w:r>
          <w:instrText xml:space="preserve"> PAGEREF _Toc28820 \h </w:instrText>
        </w:r>
        <w:r>
          <w:fldChar w:fldCharType="separate"/>
        </w:r>
        <w:r>
          <w:t>22</w:t>
        </w:r>
        <w:r>
          <w:fldChar w:fldCharType="end"/>
        </w:r>
      </w:hyperlink>
    </w:p>
    <w:p>
      <w:pPr>
        <w:pStyle w:val="TOC2"/>
        <w:tabs>
          <w:tab w:val="right" w:leader="dot" w:pos="8306"/>
        </w:tabs>
      </w:pPr>
      <w:hyperlink w:anchor="_Toc5240" w:history="1">
        <w:r>
          <w:rPr>
            <w:rFonts w:ascii="宋体" w:eastAsia="宋体" w:hAnsi="宋体" w:cs="宋体" w:hint="eastAsia"/>
            <w:bCs w:val="0"/>
            <w:szCs w:val="28"/>
            <w:lang w:eastAsia="zh-CN"/>
          </w:rPr>
          <w:t>(三)、煤油添加剂行业目标市场营销战略</w:t>
        </w:r>
        <w:r>
          <w:tab/>
        </w:r>
        <w:r>
          <w:fldChar w:fldCharType="begin"/>
        </w:r>
        <w:r>
          <w:instrText xml:space="preserve"> PAGEREF _Toc5240 \h </w:instrText>
        </w:r>
        <w:r>
          <w:fldChar w:fldCharType="separate"/>
        </w:r>
        <w:r>
          <w:t>23</w:t>
        </w:r>
        <w:r>
          <w:fldChar w:fldCharType="end"/>
        </w:r>
      </w:hyperlink>
    </w:p>
    <w:p>
      <w:pPr>
        <w:pStyle w:val="TOC2"/>
        <w:tabs>
          <w:tab w:val="right" w:leader="dot" w:pos="8306"/>
        </w:tabs>
      </w:pPr>
      <w:hyperlink w:anchor="_Toc17686" w:history="1">
        <w:r>
          <w:rPr>
            <w:rFonts w:ascii="宋体" w:eastAsia="宋体" w:hAnsi="宋体" w:cs="宋体" w:hint="eastAsia"/>
            <w:bCs w:val="0"/>
            <w:szCs w:val="28"/>
            <w:lang w:eastAsia="zh-CN"/>
          </w:rPr>
          <w:t>(四)、煤油添加剂行业定价策略</w:t>
        </w:r>
        <w:r>
          <w:tab/>
        </w:r>
        <w:r>
          <w:fldChar w:fldCharType="begin"/>
        </w:r>
        <w:r>
          <w:instrText xml:space="preserve"> PAGEREF _Toc17686 \h </w:instrText>
        </w:r>
        <w:r>
          <w:fldChar w:fldCharType="separate"/>
        </w:r>
        <w:r>
          <w:t>24</w:t>
        </w:r>
        <w:r>
          <w:fldChar w:fldCharType="end"/>
        </w:r>
      </w:hyperlink>
    </w:p>
    <w:p>
      <w:pPr>
        <w:pStyle w:val="TOC2"/>
        <w:tabs>
          <w:tab w:val="right" w:leader="dot" w:pos="8306"/>
        </w:tabs>
      </w:pPr>
      <w:hyperlink w:anchor="_Toc12362" w:history="1">
        <w:r>
          <w:rPr>
            <w:rFonts w:ascii="宋体" w:eastAsia="宋体" w:hAnsi="宋体" w:cs="宋体" w:hint="eastAsia"/>
            <w:bCs w:val="0"/>
            <w:szCs w:val="28"/>
            <w:lang w:eastAsia="zh-CN"/>
          </w:rPr>
          <w:t>(五)、煤油添加剂行业促销策略</w:t>
        </w:r>
        <w:r>
          <w:tab/>
        </w:r>
        <w:r>
          <w:fldChar w:fldCharType="begin"/>
        </w:r>
        <w:r>
          <w:instrText xml:space="preserve"> PAGEREF _Toc12362 \h </w:instrText>
        </w:r>
        <w:r>
          <w:fldChar w:fldCharType="separate"/>
        </w:r>
        <w:r>
          <w:t>26</w:t>
        </w:r>
        <w:r>
          <w:fldChar w:fldCharType="end"/>
        </w:r>
      </w:hyperlink>
    </w:p>
    <w:p>
      <w:pPr>
        <w:pStyle w:val="TOC2"/>
        <w:tabs>
          <w:tab w:val="right" w:leader="dot" w:pos="8306"/>
        </w:tabs>
      </w:pPr>
      <w:hyperlink w:anchor="_Toc16822" w:history="1">
        <w:r>
          <w:rPr>
            <w:rFonts w:ascii="宋体" w:eastAsia="宋体" w:hAnsi="宋体" w:cs="宋体" w:hint="eastAsia"/>
            <w:bCs w:val="0"/>
            <w:szCs w:val="28"/>
            <w:lang w:eastAsia="zh-CN"/>
          </w:rPr>
          <w:t>(六)、煤油添加剂行业品牌策略</w:t>
        </w:r>
        <w:r>
          <w:tab/>
        </w:r>
        <w:r>
          <w:fldChar w:fldCharType="begin"/>
        </w:r>
        <w:r>
          <w:instrText xml:space="preserve"> PAGEREF _Toc16822 \h </w:instrText>
        </w:r>
        <w:r>
          <w:fldChar w:fldCharType="separate"/>
        </w:r>
        <w:r>
          <w:t>28</w:t>
        </w:r>
        <w:r>
          <w:fldChar w:fldCharType="end"/>
        </w:r>
      </w:hyperlink>
    </w:p>
    <w:p>
      <w:pPr>
        <w:pStyle w:val="TOC2"/>
        <w:tabs>
          <w:tab w:val="right" w:leader="dot" w:pos="8306"/>
        </w:tabs>
      </w:pPr>
      <w:hyperlink w:anchor="_Toc30150" w:history="1">
        <w:r>
          <w:rPr>
            <w:rFonts w:ascii="宋体" w:eastAsia="宋体" w:hAnsi="宋体" w:cs="宋体" w:hint="eastAsia"/>
            <w:bCs w:val="0"/>
            <w:szCs w:val="28"/>
            <w:lang w:eastAsia="zh-CN"/>
          </w:rPr>
          <w:t>(七)、煤油添加剂行业关系营销</w:t>
        </w:r>
        <w:r>
          <w:tab/>
        </w:r>
        <w:r>
          <w:fldChar w:fldCharType="begin"/>
        </w:r>
        <w:r>
          <w:instrText xml:space="preserve"> PAGEREF _Toc30150 \h </w:instrText>
        </w:r>
        <w:r>
          <w:fldChar w:fldCharType="separate"/>
        </w:r>
        <w:r>
          <w:t>30</w:t>
        </w:r>
        <w:r>
          <w:fldChar w:fldCharType="end"/>
        </w:r>
      </w:hyperlink>
    </w:p>
    <w:p>
      <w:pPr>
        <w:pStyle w:val="TOC2"/>
        <w:tabs>
          <w:tab w:val="right" w:leader="dot" w:pos="8306"/>
        </w:tabs>
      </w:pPr>
      <w:hyperlink w:anchor="_Toc15437" w:history="1">
        <w:r>
          <w:rPr>
            <w:rFonts w:ascii="宋体" w:eastAsia="宋体" w:hAnsi="宋体" w:cs="宋体" w:hint="eastAsia"/>
            <w:bCs w:val="0"/>
            <w:szCs w:val="28"/>
            <w:lang w:eastAsia="zh-CN"/>
          </w:rPr>
          <w:t>(八)、煤油添加剂行业体验营销</w:t>
        </w:r>
        <w:r>
          <w:tab/>
        </w:r>
        <w:r>
          <w:fldChar w:fldCharType="begin"/>
        </w:r>
        <w:r>
          <w:instrText xml:space="preserve"> PAGEREF _Toc15437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53" w:history="1">
        <w:r>
          <w:rPr>
            <w:rFonts w:ascii="宋体" w:eastAsia="宋体" w:hAnsi="宋体" w:cs="宋体" w:hint="eastAsia"/>
            <w:bCs w:val="0"/>
            <w:szCs w:val="28"/>
            <w:lang w:eastAsia="zh-CN"/>
          </w:rPr>
          <w:t>(九)、煤油添加剂行业互联网营销</w:t>
        </w:r>
        <w:r>
          <w:tab/>
        </w:r>
        <w:r>
          <w:fldChar w:fldCharType="begin"/>
        </w:r>
        <w:r>
          <w:instrText xml:space="preserve"> PAGEREF _Toc11653 \h </w:instrText>
        </w:r>
        <w:r>
          <w:fldChar w:fldCharType="separate"/>
        </w:r>
        <w:r>
          <w:t>34</w:t>
        </w:r>
        <w:r>
          <w:fldChar w:fldCharType="end"/>
        </w:r>
      </w:hyperlink>
    </w:p>
    <w:p>
      <w:pPr>
        <w:pStyle w:val="TOC1"/>
        <w:tabs>
          <w:tab w:val="right" w:leader="dot" w:pos="8306"/>
        </w:tabs>
      </w:pPr>
      <w:hyperlink w:anchor="_Toc1191" w:history="1">
        <w:r>
          <w:rPr>
            <w:rFonts w:ascii="微软雅黑" w:eastAsia="微软雅黑" w:hAnsi="微软雅黑" w:cs="微软雅黑" w:hint="eastAsia"/>
            <w:color w:val="001CAC" w:themeColor="hyperlink" w:themeShade="BF"/>
            <w:szCs w:val="32"/>
            <w:lang w:eastAsia="zh-CN"/>
          </w:rPr>
          <w:t>七、领导力发展与企业文化</w:t>
        </w:r>
        <w:r>
          <w:tab/>
        </w:r>
        <w:r>
          <w:fldChar w:fldCharType="begin"/>
        </w:r>
        <w:r>
          <w:instrText xml:space="preserve"> PAGEREF _Toc1191 \h </w:instrText>
        </w:r>
        <w:r>
          <w:fldChar w:fldCharType="separate"/>
        </w:r>
        <w:r>
          <w:t>35</w:t>
        </w:r>
        <w:r>
          <w:fldChar w:fldCharType="end"/>
        </w:r>
      </w:hyperlink>
    </w:p>
    <w:p>
      <w:pPr>
        <w:pStyle w:val="TOC2"/>
        <w:tabs>
          <w:tab w:val="right" w:leader="dot" w:pos="8306"/>
        </w:tabs>
      </w:pPr>
      <w:hyperlink w:anchor="_Toc21330" w:history="1">
        <w:r>
          <w:rPr>
            <w:rFonts w:ascii="宋体" w:eastAsia="宋体" w:hAnsi="宋体" w:cs="宋体" w:hint="eastAsia"/>
            <w:bCs w:val="0"/>
            <w:szCs w:val="28"/>
            <w:lang w:eastAsia="zh-CN"/>
          </w:rPr>
          <w:t>(一)、高效团队建设原则</w:t>
        </w:r>
        <w:r>
          <w:tab/>
        </w:r>
        <w:r>
          <w:fldChar w:fldCharType="begin"/>
        </w:r>
        <w:r>
          <w:instrText xml:space="preserve"> PAGEREF _Toc21330 \h </w:instrText>
        </w:r>
        <w:r>
          <w:fldChar w:fldCharType="separate"/>
        </w:r>
        <w:r>
          <w:t>35</w:t>
        </w:r>
        <w:r>
          <w:fldChar w:fldCharType="end"/>
        </w:r>
      </w:hyperlink>
    </w:p>
    <w:p>
      <w:pPr>
        <w:pStyle w:val="TOC2"/>
        <w:tabs>
          <w:tab w:val="right" w:leader="dot" w:pos="8306"/>
        </w:tabs>
      </w:pPr>
      <w:hyperlink w:anchor="_Toc11727" w:history="1">
        <w:r>
          <w:rPr>
            <w:rFonts w:ascii="宋体" w:eastAsia="宋体" w:hAnsi="宋体" w:cs="宋体" w:hint="eastAsia"/>
            <w:bCs w:val="0"/>
            <w:szCs w:val="28"/>
            <w:lang w:eastAsia="zh-CN"/>
          </w:rPr>
          <w:t>(二)、团队文化与价值观塑造</w:t>
        </w:r>
        <w:r>
          <w:tab/>
        </w:r>
        <w:r>
          <w:fldChar w:fldCharType="begin"/>
        </w:r>
        <w:r>
          <w:instrText xml:space="preserve"> PAGEREF _Toc11727 \h </w:instrText>
        </w:r>
        <w:r>
          <w:fldChar w:fldCharType="separate"/>
        </w:r>
        <w:r>
          <w:t>36</w:t>
        </w:r>
        <w:r>
          <w:fldChar w:fldCharType="end"/>
        </w:r>
      </w:hyperlink>
    </w:p>
    <w:p>
      <w:pPr>
        <w:pStyle w:val="TOC2"/>
        <w:tabs>
          <w:tab w:val="right" w:leader="dot" w:pos="8306"/>
        </w:tabs>
      </w:pPr>
      <w:hyperlink w:anchor="_Toc17103" w:history="1">
        <w:r>
          <w:rPr>
            <w:rFonts w:ascii="宋体" w:eastAsia="宋体" w:hAnsi="宋体" w:cs="宋体" w:hint="eastAsia"/>
            <w:bCs w:val="0"/>
            <w:szCs w:val="28"/>
            <w:lang w:eastAsia="zh-CN"/>
          </w:rPr>
          <w:t>(三)、领导力发展计划</w:t>
        </w:r>
        <w:r>
          <w:tab/>
        </w:r>
        <w:r>
          <w:fldChar w:fldCharType="begin"/>
        </w:r>
        <w:r>
          <w:instrText xml:space="preserve"> PAGEREF _Toc17103 \h </w:instrText>
        </w:r>
        <w:r>
          <w:fldChar w:fldCharType="separate"/>
        </w:r>
        <w:r>
          <w:t>37</w:t>
        </w:r>
        <w:r>
          <w:fldChar w:fldCharType="end"/>
        </w:r>
      </w:hyperlink>
    </w:p>
    <w:p>
      <w:pPr>
        <w:pStyle w:val="TOC2"/>
        <w:tabs>
          <w:tab w:val="right" w:leader="dot" w:pos="8306"/>
        </w:tabs>
      </w:pPr>
      <w:hyperlink w:anchor="_Toc28309" w:history="1">
        <w:r>
          <w:rPr>
            <w:rFonts w:ascii="宋体" w:eastAsia="宋体" w:hAnsi="宋体" w:cs="宋体" w:hint="eastAsia"/>
            <w:bCs w:val="0"/>
            <w:szCs w:val="28"/>
            <w:lang w:eastAsia="zh-CN"/>
          </w:rPr>
          <w:t>(四)、领导力在变革中的作用</w:t>
        </w:r>
        <w:r>
          <w:tab/>
        </w:r>
        <w:r>
          <w:fldChar w:fldCharType="begin"/>
        </w:r>
        <w:r>
          <w:instrText xml:space="preserve"> PAGEREF _Toc28309 \h </w:instrText>
        </w:r>
        <w:r>
          <w:fldChar w:fldCharType="separate"/>
        </w:r>
        <w:r>
          <w:t>38</w:t>
        </w:r>
        <w:r>
          <w:fldChar w:fldCharType="end"/>
        </w:r>
      </w:hyperlink>
    </w:p>
    <w:p>
      <w:pPr>
        <w:pStyle w:val="TOC1"/>
        <w:tabs>
          <w:tab w:val="right" w:leader="dot" w:pos="8306"/>
        </w:tabs>
      </w:pPr>
      <w:hyperlink w:anchor="_Toc25182" w:history="1">
        <w:r>
          <w:rPr>
            <w:rFonts w:ascii="微软雅黑" w:eastAsia="微软雅黑" w:hAnsi="微软雅黑" w:cs="微软雅黑" w:hint="eastAsia"/>
            <w:color w:val="001CAC" w:themeColor="hyperlink" w:themeShade="BF"/>
            <w:szCs w:val="32"/>
            <w:lang w:eastAsia="zh-CN"/>
          </w:rPr>
          <w:t>八、制度建设与管理</w:t>
        </w:r>
        <w:r>
          <w:tab/>
        </w:r>
        <w:r>
          <w:fldChar w:fldCharType="begin"/>
        </w:r>
        <w:r>
          <w:instrText xml:space="preserve"> PAGEREF _Toc25182 \h </w:instrText>
        </w:r>
        <w:r>
          <w:fldChar w:fldCharType="separate"/>
        </w:r>
        <w:r>
          <w:t>39</w:t>
        </w:r>
        <w:r>
          <w:fldChar w:fldCharType="end"/>
        </w:r>
      </w:hyperlink>
    </w:p>
    <w:p>
      <w:pPr>
        <w:pStyle w:val="TOC2"/>
        <w:tabs>
          <w:tab w:val="right" w:leader="dot" w:pos="8306"/>
        </w:tabs>
      </w:pPr>
      <w:hyperlink w:anchor="_Toc15203" w:history="1">
        <w:r>
          <w:rPr>
            <w:rFonts w:ascii="宋体" w:eastAsia="宋体" w:hAnsi="宋体" w:cs="宋体" w:hint="eastAsia"/>
            <w:bCs w:val="0"/>
            <w:szCs w:val="28"/>
            <w:lang w:eastAsia="zh-CN"/>
          </w:rPr>
          <w:t>(一)、公司治理结构</w:t>
        </w:r>
        <w:r>
          <w:tab/>
        </w:r>
        <w:r>
          <w:fldChar w:fldCharType="begin"/>
        </w:r>
        <w:r>
          <w:instrText xml:space="preserve"> PAGEREF _Toc15203 \h </w:instrText>
        </w:r>
        <w:r>
          <w:fldChar w:fldCharType="separate"/>
        </w:r>
        <w:r>
          <w:t>39</w:t>
        </w:r>
        <w:r>
          <w:fldChar w:fldCharType="end"/>
        </w:r>
      </w:hyperlink>
    </w:p>
    <w:p>
      <w:pPr>
        <w:pStyle w:val="TOC2"/>
        <w:tabs>
          <w:tab w:val="right" w:leader="dot" w:pos="8306"/>
        </w:tabs>
      </w:pPr>
      <w:hyperlink w:anchor="_Toc1574" w:history="1">
        <w:r>
          <w:rPr>
            <w:rFonts w:ascii="宋体" w:eastAsia="宋体" w:hAnsi="宋体" w:cs="宋体" w:hint="eastAsia"/>
            <w:bCs w:val="0"/>
            <w:szCs w:val="28"/>
            <w:lang w:eastAsia="zh-CN"/>
          </w:rPr>
          <w:t>(二)、内部控制与审计</w:t>
        </w:r>
        <w:r>
          <w:tab/>
        </w:r>
        <w:r>
          <w:fldChar w:fldCharType="begin"/>
        </w:r>
        <w:r>
          <w:instrText xml:space="preserve"> PAGEREF _Toc1574 \h </w:instrText>
        </w:r>
        <w:r>
          <w:fldChar w:fldCharType="separate"/>
        </w:r>
        <w:r>
          <w:t>40</w:t>
        </w:r>
        <w:r>
          <w:fldChar w:fldCharType="end"/>
        </w:r>
      </w:hyperlink>
    </w:p>
    <w:p>
      <w:pPr>
        <w:pStyle w:val="TOC2"/>
        <w:tabs>
          <w:tab w:val="right" w:leader="dot" w:pos="8306"/>
        </w:tabs>
      </w:pPr>
      <w:hyperlink w:anchor="_Toc2972" w:history="1">
        <w:r>
          <w:rPr>
            <w:rFonts w:ascii="宋体" w:eastAsia="宋体" w:hAnsi="宋体" w:cs="宋体" w:hint="eastAsia"/>
            <w:bCs w:val="0"/>
            <w:szCs w:val="28"/>
            <w:lang w:eastAsia="zh-CN"/>
          </w:rPr>
          <w:t>(三)、法律法规合规体系</w:t>
        </w:r>
        <w:r>
          <w:tab/>
        </w:r>
        <w:r>
          <w:fldChar w:fldCharType="begin"/>
        </w:r>
        <w:r>
          <w:instrText xml:space="preserve"> PAGEREF _Toc2972 \h </w:instrText>
        </w:r>
        <w:r>
          <w:fldChar w:fldCharType="separate"/>
        </w:r>
        <w:r>
          <w:t>41</w:t>
        </w:r>
        <w:r>
          <w:fldChar w:fldCharType="end"/>
        </w:r>
      </w:hyperlink>
    </w:p>
    <w:p>
      <w:pPr>
        <w:pStyle w:val="TOC1"/>
        <w:tabs>
          <w:tab w:val="right" w:leader="dot" w:pos="8306"/>
        </w:tabs>
      </w:pPr>
      <w:hyperlink w:anchor="_Toc21611" w:history="1">
        <w:r>
          <w:rPr>
            <w:rFonts w:ascii="微软雅黑" w:eastAsia="微软雅黑" w:hAnsi="微软雅黑" w:cs="微软雅黑" w:hint="eastAsia"/>
            <w:color w:val="001CAC" w:themeColor="hyperlink" w:themeShade="BF"/>
            <w:szCs w:val="32"/>
            <w:lang w:eastAsia="zh-CN"/>
          </w:rPr>
          <w:t>九、煤油添加剂行业人力资源管理策略</w:t>
        </w:r>
        <w:r>
          <w:tab/>
        </w:r>
        <w:r>
          <w:fldChar w:fldCharType="begin"/>
        </w:r>
        <w:r>
          <w:instrText xml:space="preserve"> PAGEREF _Toc21611 \h </w:instrText>
        </w:r>
        <w:r>
          <w:fldChar w:fldCharType="separate"/>
        </w:r>
        <w:r>
          <w:t>41</w:t>
        </w:r>
        <w:r>
          <w:fldChar w:fldCharType="end"/>
        </w:r>
      </w:hyperlink>
    </w:p>
    <w:p>
      <w:pPr>
        <w:pStyle w:val="TOC2"/>
        <w:tabs>
          <w:tab w:val="right" w:leader="dot" w:pos="8306"/>
        </w:tabs>
      </w:pPr>
      <w:hyperlink w:anchor="_Toc3869" w:history="1">
        <w:r>
          <w:rPr>
            <w:rFonts w:ascii="宋体" w:eastAsia="宋体" w:hAnsi="宋体" w:cs="宋体" w:hint="eastAsia"/>
            <w:bCs w:val="0"/>
            <w:szCs w:val="28"/>
            <w:lang w:eastAsia="zh-CN"/>
          </w:rPr>
          <w:t>(一)、煤油添加剂行业人力资源管理原则</w:t>
        </w:r>
        <w:r>
          <w:tab/>
        </w:r>
        <w:r>
          <w:fldChar w:fldCharType="begin"/>
        </w:r>
        <w:r>
          <w:instrText xml:space="preserve"> PAGEREF _Toc3869 \h </w:instrText>
        </w:r>
        <w:r>
          <w:fldChar w:fldCharType="separate"/>
        </w:r>
        <w:r>
          <w:t>41</w:t>
        </w:r>
        <w:r>
          <w:fldChar w:fldCharType="end"/>
        </w:r>
      </w:hyperlink>
    </w:p>
    <w:p>
      <w:pPr>
        <w:pStyle w:val="TOC2"/>
        <w:tabs>
          <w:tab w:val="right" w:leader="dot" w:pos="8306"/>
        </w:tabs>
      </w:pPr>
      <w:hyperlink w:anchor="_Toc32154" w:history="1">
        <w:r>
          <w:rPr>
            <w:rFonts w:ascii="宋体" w:eastAsia="宋体" w:hAnsi="宋体" w:cs="宋体" w:hint="eastAsia"/>
            <w:bCs w:val="0"/>
            <w:szCs w:val="28"/>
            <w:lang w:eastAsia="zh-CN"/>
          </w:rPr>
          <w:t>(二)、煤油添加剂行业劳动关系管理</w:t>
        </w:r>
        <w:r>
          <w:tab/>
        </w:r>
        <w:r>
          <w:fldChar w:fldCharType="begin"/>
        </w:r>
        <w:r>
          <w:instrText xml:space="preserve"> PAGEREF _Toc32154 \h </w:instrText>
        </w:r>
        <w:r>
          <w:fldChar w:fldCharType="separate"/>
        </w:r>
        <w:r>
          <w:t>44</w:t>
        </w:r>
        <w:r>
          <w:fldChar w:fldCharType="end"/>
        </w:r>
      </w:hyperlink>
    </w:p>
    <w:p>
      <w:pPr>
        <w:pStyle w:val="TOC2"/>
        <w:tabs>
          <w:tab w:val="right" w:leader="dot" w:pos="8306"/>
        </w:tabs>
      </w:pPr>
      <w:hyperlink w:anchor="_Toc31894" w:history="1">
        <w:r>
          <w:rPr>
            <w:rFonts w:ascii="宋体" w:eastAsia="宋体" w:hAnsi="宋体" w:cs="宋体" w:hint="eastAsia"/>
            <w:bCs w:val="0"/>
            <w:szCs w:val="28"/>
            <w:lang w:eastAsia="zh-CN"/>
          </w:rPr>
          <w:t>(三)、煤油添加剂行业人员配置方案</w:t>
        </w:r>
        <w:r>
          <w:tab/>
        </w:r>
        <w:r>
          <w:fldChar w:fldCharType="begin"/>
        </w:r>
        <w:r>
          <w:instrText xml:space="preserve"> PAGEREF _Toc31894 \h </w:instrText>
        </w:r>
        <w:r>
          <w:fldChar w:fldCharType="separate"/>
        </w:r>
        <w:r>
          <w:t>46</w:t>
        </w:r>
        <w:r>
          <w:fldChar w:fldCharType="end"/>
        </w:r>
      </w:hyperlink>
    </w:p>
    <w:p>
      <w:pPr>
        <w:pStyle w:val="TOC2"/>
        <w:tabs>
          <w:tab w:val="right" w:leader="dot" w:pos="8306"/>
        </w:tabs>
      </w:pPr>
      <w:hyperlink w:anchor="_Toc28084" w:history="1">
        <w:r>
          <w:rPr>
            <w:rFonts w:ascii="宋体" w:eastAsia="宋体" w:hAnsi="宋体" w:cs="宋体" w:hint="eastAsia"/>
            <w:bCs w:val="0"/>
            <w:szCs w:val="28"/>
            <w:lang w:eastAsia="zh-CN"/>
          </w:rPr>
          <w:t>(四)、煤油添加剂行业员工招聘方案</w:t>
        </w:r>
        <w:r>
          <w:tab/>
        </w:r>
        <w:r>
          <w:fldChar w:fldCharType="begin"/>
        </w:r>
        <w:r>
          <w:instrText xml:space="preserve"> PAGEREF _Toc28084 \h </w:instrText>
        </w:r>
        <w:r>
          <w:fldChar w:fldCharType="separate"/>
        </w:r>
        <w:r>
          <w:t>47</w:t>
        </w:r>
        <w:r>
          <w:fldChar w:fldCharType="end"/>
        </w:r>
      </w:hyperlink>
    </w:p>
    <w:p>
      <w:pPr>
        <w:pStyle w:val="TOC2"/>
        <w:tabs>
          <w:tab w:val="right" w:leader="dot" w:pos="8306"/>
        </w:tabs>
      </w:pPr>
      <w:hyperlink w:anchor="_Toc10196" w:history="1">
        <w:r>
          <w:rPr>
            <w:rFonts w:ascii="宋体" w:eastAsia="宋体" w:hAnsi="宋体" w:cs="宋体" w:hint="eastAsia"/>
            <w:bCs w:val="0"/>
            <w:szCs w:val="28"/>
            <w:lang w:eastAsia="zh-CN"/>
          </w:rPr>
          <w:t>(五)、煤油添加剂行业绩效和薪酬管理方案</w:t>
        </w:r>
        <w:r>
          <w:tab/>
        </w:r>
        <w:r>
          <w:fldChar w:fldCharType="begin"/>
        </w:r>
        <w:r>
          <w:instrText xml:space="preserve"> PAGEREF _Toc10196 \h </w:instrText>
        </w:r>
        <w:r>
          <w:fldChar w:fldCharType="separate"/>
        </w:r>
        <w:r>
          <w:t>48</w:t>
        </w:r>
        <w:r>
          <w:fldChar w:fldCharType="end"/>
        </w:r>
      </w:hyperlink>
    </w:p>
    <w:p>
      <w:pPr>
        <w:pStyle w:val="TOC2"/>
        <w:tabs>
          <w:tab w:val="right" w:leader="dot" w:pos="8306"/>
        </w:tabs>
      </w:pPr>
      <w:hyperlink w:anchor="_Toc2551" w:history="1">
        <w:r>
          <w:rPr>
            <w:rFonts w:ascii="宋体" w:eastAsia="宋体" w:hAnsi="宋体" w:cs="宋体" w:hint="eastAsia"/>
            <w:bCs w:val="0"/>
            <w:szCs w:val="28"/>
            <w:lang w:eastAsia="zh-CN"/>
          </w:rPr>
          <w:t>(六)、煤油添加剂行业员工福利管理方案</w:t>
        </w:r>
        <w:r>
          <w:tab/>
        </w:r>
        <w:r>
          <w:fldChar w:fldCharType="begin"/>
        </w:r>
        <w:r>
          <w:instrText xml:space="preserve"> PAGEREF _Toc2551 \h </w:instrText>
        </w:r>
        <w:r>
          <w:fldChar w:fldCharType="separate"/>
        </w:r>
        <w:r>
          <w:t>50</w:t>
        </w:r>
        <w:r>
          <w:fldChar w:fldCharType="end"/>
        </w:r>
      </w:hyperlink>
    </w:p>
    <w:p>
      <w:pPr>
        <w:pStyle w:val="TOC1"/>
        <w:tabs>
          <w:tab w:val="right" w:leader="dot" w:pos="8306"/>
        </w:tabs>
      </w:pPr>
      <w:hyperlink w:anchor="_Toc18229" w:history="1">
        <w:r>
          <w:rPr>
            <w:rFonts w:ascii="微软雅黑" w:eastAsia="微软雅黑" w:hAnsi="微软雅黑" w:cs="微软雅黑" w:hint="eastAsia"/>
            <w:color w:val="001CAC" w:themeColor="hyperlink" w:themeShade="BF"/>
            <w:szCs w:val="32"/>
            <w:lang w:eastAsia="zh-CN"/>
          </w:rPr>
          <w:t>十、制度运行与优化</w:t>
        </w:r>
        <w:r>
          <w:tab/>
        </w:r>
        <w:r>
          <w:fldChar w:fldCharType="begin"/>
        </w:r>
        <w:r>
          <w:instrText xml:space="preserve"> PAGEREF _Toc18229 \h </w:instrText>
        </w:r>
        <w:r>
          <w:fldChar w:fldCharType="separate"/>
        </w:r>
        <w:r>
          <w:t>51</w:t>
        </w:r>
        <w:r>
          <w:fldChar w:fldCharType="end"/>
        </w:r>
      </w:hyperlink>
    </w:p>
    <w:p>
      <w:pPr>
        <w:pStyle w:val="TOC2"/>
        <w:tabs>
          <w:tab w:val="right" w:leader="dot" w:pos="8306"/>
        </w:tabs>
      </w:pPr>
      <w:hyperlink w:anchor="_Toc25852" w:history="1">
        <w:r>
          <w:rPr>
            <w:rFonts w:ascii="宋体" w:eastAsia="宋体" w:hAnsi="宋体" w:cs="宋体" w:hint="eastAsia"/>
            <w:bCs w:val="0"/>
            <w:szCs w:val="28"/>
            <w:lang w:eastAsia="zh-CN"/>
          </w:rPr>
          <w:t>(一)、制度执行与监督</w:t>
        </w:r>
        <w:r>
          <w:tab/>
        </w:r>
        <w:r>
          <w:fldChar w:fldCharType="begin"/>
        </w:r>
        <w:r>
          <w:instrText xml:space="preserve"> PAGEREF _Toc25852 \h </w:instrText>
        </w:r>
        <w:r>
          <w:fldChar w:fldCharType="separate"/>
        </w:r>
        <w:r>
          <w:t>51</w:t>
        </w:r>
        <w:r>
          <w:fldChar w:fldCharType="end"/>
        </w:r>
      </w:hyperlink>
    </w:p>
    <w:p>
      <w:pPr>
        <w:pStyle w:val="TOC2"/>
        <w:tabs>
          <w:tab w:val="right" w:leader="dot" w:pos="8306"/>
        </w:tabs>
      </w:pPr>
      <w:hyperlink w:anchor="_Toc18903" w:history="1">
        <w:r>
          <w:rPr>
            <w:rFonts w:ascii="宋体" w:eastAsia="宋体" w:hAnsi="宋体" w:cs="宋体" w:hint="eastAsia"/>
            <w:bCs w:val="0"/>
            <w:szCs w:val="28"/>
            <w:lang w:eastAsia="zh-CN"/>
          </w:rPr>
          <w:t>(二)、制度优化与更新</w:t>
        </w:r>
        <w:r>
          <w:tab/>
        </w:r>
        <w:r>
          <w:fldChar w:fldCharType="begin"/>
        </w:r>
        <w:r>
          <w:instrText xml:space="preserve"> PAGEREF _Toc18903 \h </w:instrText>
        </w:r>
        <w:r>
          <w:fldChar w:fldCharType="separate"/>
        </w:r>
        <w:r>
          <w:t>52</w:t>
        </w:r>
        <w:r>
          <w:fldChar w:fldCharType="end"/>
        </w:r>
      </w:hyperlink>
    </w:p>
    <w:p>
      <w:pPr>
        <w:pStyle w:val="TOC1"/>
        <w:tabs>
          <w:tab w:val="right" w:leader="dot" w:pos="8306"/>
        </w:tabs>
      </w:pPr>
      <w:hyperlink w:anchor="_Toc25764" w:history="1">
        <w:r>
          <w:rPr>
            <w:rFonts w:ascii="微软雅黑" w:eastAsia="微软雅黑" w:hAnsi="微软雅黑" w:cs="微软雅黑" w:hint="eastAsia"/>
            <w:color w:val="001CAC" w:themeColor="hyperlink" w:themeShade="BF"/>
            <w:szCs w:val="32"/>
            <w:lang w:eastAsia="zh-CN"/>
          </w:rPr>
          <w:t>十一、市场营销与推广策略</w:t>
        </w:r>
        <w:r>
          <w:tab/>
        </w:r>
        <w:r>
          <w:fldChar w:fldCharType="begin"/>
        </w:r>
        <w:r>
          <w:instrText xml:space="preserve"> PAGEREF _Toc25764 \h </w:instrText>
        </w:r>
        <w:r>
          <w:fldChar w:fldCharType="separate"/>
        </w:r>
        <w:r>
          <w:t>53</w:t>
        </w:r>
        <w:r>
          <w:fldChar w:fldCharType="end"/>
        </w:r>
      </w:hyperlink>
    </w:p>
    <w:p>
      <w:pPr>
        <w:pStyle w:val="TOC2"/>
        <w:tabs>
          <w:tab w:val="right" w:leader="dot" w:pos="8306"/>
        </w:tabs>
      </w:pPr>
      <w:hyperlink w:anchor="_Toc27727" w:history="1">
        <w:r>
          <w:rPr>
            <w:rFonts w:ascii="宋体" w:eastAsia="宋体" w:hAnsi="宋体" w:cs="宋体" w:hint="eastAsia"/>
            <w:bCs w:val="0"/>
            <w:szCs w:val="28"/>
            <w:lang w:eastAsia="zh-CN"/>
          </w:rPr>
          <w:t>(一)、目标市场分析</w:t>
        </w:r>
        <w:r>
          <w:tab/>
        </w:r>
        <w:r>
          <w:fldChar w:fldCharType="begin"/>
        </w:r>
        <w:r>
          <w:instrText xml:space="preserve"> PAGEREF _Toc27727 \h </w:instrText>
        </w:r>
        <w:r>
          <w:fldChar w:fldCharType="separate"/>
        </w:r>
        <w:r>
          <w:t>53</w:t>
        </w:r>
        <w:r>
          <w:fldChar w:fldCharType="end"/>
        </w:r>
      </w:hyperlink>
    </w:p>
    <w:p>
      <w:pPr>
        <w:pStyle w:val="TOC2"/>
        <w:tabs>
          <w:tab w:val="right" w:leader="dot" w:pos="8306"/>
        </w:tabs>
      </w:pPr>
      <w:hyperlink w:anchor="_Toc28809" w:history="1">
        <w:r>
          <w:rPr>
            <w:rFonts w:ascii="宋体" w:eastAsia="宋体" w:hAnsi="宋体" w:cs="宋体" w:hint="eastAsia"/>
            <w:bCs w:val="0"/>
            <w:szCs w:val="28"/>
            <w:lang w:eastAsia="zh-CN"/>
          </w:rPr>
          <w:t>(二)、市场定位与竞争分析</w:t>
        </w:r>
        <w:r>
          <w:tab/>
        </w:r>
        <w:r>
          <w:fldChar w:fldCharType="begin"/>
        </w:r>
        <w:r>
          <w:instrText xml:space="preserve"> PAGEREF _Toc28809 \h </w:instrText>
        </w:r>
        <w:r>
          <w:fldChar w:fldCharType="separate"/>
        </w:r>
        <w:r>
          <w:t>53</w:t>
        </w:r>
        <w:r>
          <w:fldChar w:fldCharType="end"/>
        </w:r>
      </w:hyperlink>
    </w:p>
    <w:p>
      <w:pPr>
        <w:pStyle w:val="TOC2"/>
        <w:tabs>
          <w:tab w:val="right" w:leader="dot" w:pos="8306"/>
        </w:tabs>
      </w:pPr>
      <w:hyperlink w:anchor="_Toc26588" w:history="1">
        <w:r>
          <w:rPr>
            <w:rFonts w:ascii="宋体" w:eastAsia="宋体" w:hAnsi="宋体" w:cs="宋体" w:hint="eastAsia"/>
            <w:bCs w:val="0"/>
            <w:szCs w:val="28"/>
            <w:lang w:eastAsia="zh-CN"/>
          </w:rPr>
          <w:t>(三)、推广与宣传策略</w:t>
        </w:r>
        <w:r>
          <w:tab/>
        </w:r>
        <w:r>
          <w:fldChar w:fldCharType="begin"/>
        </w:r>
        <w:r>
          <w:instrText xml:space="preserve"> PAGEREF _Toc26588 \h </w:instrText>
        </w:r>
        <w:r>
          <w:fldChar w:fldCharType="separate"/>
        </w:r>
        <w:r>
          <w:t>53</w:t>
        </w:r>
        <w:r>
          <w:fldChar w:fldCharType="end"/>
        </w:r>
      </w:hyperlink>
    </w:p>
    <w:p>
      <w:pPr>
        <w:pStyle w:val="TOC1"/>
        <w:tabs>
          <w:tab w:val="right" w:leader="dot" w:pos="8306"/>
        </w:tabs>
      </w:pPr>
      <w:hyperlink w:anchor="_Toc13515" w:history="1">
        <w:r>
          <w:rPr>
            <w:rFonts w:ascii="微软雅黑" w:eastAsia="微软雅黑" w:hAnsi="微软雅黑" w:cs="微软雅黑" w:hint="eastAsia"/>
            <w:color w:val="001CAC" w:themeColor="hyperlink" w:themeShade="BF"/>
            <w:szCs w:val="32"/>
            <w:lang w:eastAsia="zh-CN"/>
          </w:rPr>
          <w:t>十二、煤油添加剂行业质量管理方案</w:t>
        </w:r>
        <w:r>
          <w:tab/>
        </w:r>
        <w:r>
          <w:fldChar w:fldCharType="begin"/>
        </w:r>
        <w:r>
          <w:instrText xml:space="preserve"> PAGEREF _Toc13515 \h </w:instrText>
        </w:r>
        <w:r>
          <w:fldChar w:fldCharType="separate"/>
        </w:r>
        <w:r>
          <w:t>54</w:t>
        </w:r>
        <w:r>
          <w:fldChar w:fldCharType="end"/>
        </w:r>
      </w:hyperlink>
    </w:p>
    <w:p>
      <w:pPr>
        <w:pStyle w:val="TOC2"/>
        <w:tabs>
          <w:tab w:val="right" w:leader="dot" w:pos="8306"/>
        </w:tabs>
      </w:pPr>
      <w:hyperlink w:anchor="_Toc14456" w:history="1">
        <w:r>
          <w:rPr>
            <w:rFonts w:ascii="宋体" w:eastAsia="宋体" w:hAnsi="宋体" w:cs="宋体" w:hint="eastAsia"/>
            <w:bCs w:val="0"/>
            <w:szCs w:val="28"/>
            <w:lang w:eastAsia="zh-CN"/>
          </w:rPr>
          <w:t>(一)、煤油添加剂行业质量管理要求</w:t>
        </w:r>
        <w:r>
          <w:tab/>
        </w:r>
        <w:r>
          <w:fldChar w:fldCharType="begin"/>
        </w:r>
        <w:r>
          <w:instrText xml:space="preserve"> PAGEREF _Toc14456 \h </w:instrText>
        </w:r>
        <w:r>
          <w:fldChar w:fldCharType="separate"/>
        </w:r>
        <w:r>
          <w:t>54</w:t>
        </w:r>
        <w:r>
          <w:fldChar w:fldCharType="end"/>
        </w:r>
      </w:hyperlink>
    </w:p>
    <w:p>
      <w:pPr>
        <w:pStyle w:val="TOC2"/>
        <w:tabs>
          <w:tab w:val="right" w:leader="dot" w:pos="8306"/>
        </w:tabs>
      </w:pPr>
      <w:hyperlink w:anchor="_Toc9329" w:history="1">
        <w:r>
          <w:rPr>
            <w:rFonts w:ascii="宋体" w:eastAsia="宋体" w:hAnsi="宋体" w:cs="宋体" w:hint="eastAsia"/>
            <w:bCs w:val="0"/>
            <w:szCs w:val="28"/>
            <w:lang w:eastAsia="zh-CN"/>
          </w:rPr>
          <w:t>(二)、煤油添加剂行业服务质量管理方案</w:t>
        </w:r>
        <w:r>
          <w:tab/>
        </w:r>
        <w:r>
          <w:fldChar w:fldCharType="begin"/>
        </w:r>
        <w:r>
          <w:instrText xml:space="preserve"> PAGEREF _Toc9329 \h </w:instrText>
        </w:r>
        <w:r>
          <w:fldChar w:fldCharType="separate"/>
        </w:r>
        <w:r>
          <w:t>55</w:t>
        </w:r>
        <w:r>
          <w:fldChar w:fldCharType="end"/>
        </w:r>
      </w:hyperlink>
    </w:p>
    <w:p>
      <w:pPr>
        <w:pStyle w:val="TOC2"/>
        <w:tabs>
          <w:tab w:val="right" w:leader="dot" w:pos="8306"/>
        </w:tabs>
      </w:pPr>
      <w:hyperlink w:anchor="_Toc6201" w:history="1">
        <w:r>
          <w:rPr>
            <w:rFonts w:ascii="宋体" w:eastAsia="宋体" w:hAnsi="宋体" w:cs="宋体" w:hint="eastAsia"/>
            <w:bCs w:val="0"/>
            <w:szCs w:val="28"/>
            <w:lang w:eastAsia="zh-CN"/>
          </w:rPr>
          <w:t>(三)、煤油添加剂行业质量成本管理方案</w:t>
        </w:r>
        <w:r>
          <w:tab/>
        </w:r>
        <w:r>
          <w:fldChar w:fldCharType="begin"/>
        </w:r>
        <w:r>
          <w:instrText xml:space="preserve"> PAGEREF _Toc6201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微软雅黑" w:eastAsia="微软雅黑" w:hAnsi="微软雅黑" w:cs="微软雅黑" w:hint="eastAsia"/>
          <w:color w:val="2E54A1" w:themeColor="accent1" w:themeShade="BF"/>
          <w:lang w:eastAsia="zh-CN"/>
        </w:rPr>
      </w:pPr>
      <w:bookmarkStart w:id="1" w:name="_Toc11129"/>
      <w:r>
        <w:rPr>
          <w:rFonts w:ascii="微软雅黑" w:eastAsia="微软雅黑" w:hAnsi="微软雅黑" w:cs="微软雅黑" w:hint="eastAsia"/>
          <w:color w:val="2E54A1" w:themeColor="accent1" w:themeShade="BF"/>
          <w:lang w:eastAsia="zh-CN"/>
        </w:rPr>
        <w:t>前言</w:t>
      </w:r>
      <w:bookmarkEnd w:id="1"/>
    </w:p>
    <w:p>
      <w:pPr>
        <w:spacing w:line="480" w:lineRule="auto"/>
        <w:ind w:firstLine="480" w:firstLineChars="200"/>
        <w:rPr>
          <w:rFonts w:ascii="宋体" w:eastAsia="宋体" w:hAnsi="宋体" w:cs="宋体" w:hint="eastAsia"/>
          <w:sz w:val="24"/>
          <w:szCs w:val="22"/>
        </w:rPr>
      </w:pPr>
      <w:r>
        <w:rPr>
          <w:rFonts w:ascii="宋体" w:eastAsia="宋体" w:hAnsi="宋体" w:cs="宋体" w:hint="eastAsia"/>
          <w:sz w:val="24"/>
          <w:szCs w:val="22"/>
          <w:lang w:eastAsia="zh-CN"/>
        </w:rPr>
        <w:t>煤油添加剂行业研究报告致力于对煤油添加剂行业进行详尽研究和分析，旨在为煤油添加剂行业相关从业人员提供参考和借鉴。报告所包含的内容仅供学术研究和学习交流，不可用作商业用途。通过对行业发展历程、市场趋势和竞争态势的深入考察，本报告力求准确呈现行业现状和未来发展方向，为读者提供全面而有价值的行业洞察和决策支持。</w:t>
      </w:r>
    </w:p>
    <w:p>
      <w:pPr>
        <w:pStyle w:val="Heading1"/>
        <w:spacing w:line="480" w:lineRule="auto"/>
        <w:rPr>
          <w:rFonts w:ascii="微软雅黑" w:eastAsia="微软雅黑" w:hAnsi="微软雅黑" w:cs="微软雅黑" w:hint="eastAsia"/>
          <w:color w:val="2E54A1" w:themeColor="accent1" w:themeShade="BF"/>
          <w:sz w:val="32"/>
          <w:szCs w:val="32"/>
          <w:lang w:eastAsia="zh-CN"/>
        </w:rPr>
      </w:pPr>
      <w:bookmarkStart w:id="2" w:name="_Toc5918"/>
      <w:r>
        <w:rPr>
          <w:rFonts w:ascii="微软雅黑" w:eastAsia="微软雅黑" w:hAnsi="微软雅黑" w:cs="微软雅黑" w:hint="eastAsia"/>
          <w:color w:val="2E54A1" w:themeColor="accent1" w:themeShade="BF"/>
          <w:sz w:val="32"/>
          <w:szCs w:val="32"/>
          <w:lang w:eastAsia="zh-CN"/>
        </w:rPr>
        <w:t>一、资金筹措与投资分析</w:t>
      </w:r>
      <w:bookmarkEnd w:id="2"/>
    </w:p>
    <w:p>
      <w:pPr>
        <w:pStyle w:val="Heading2"/>
        <w:spacing w:line="480" w:lineRule="auto"/>
        <w:rPr>
          <w:rFonts w:ascii="宋体" w:eastAsia="宋体" w:hAnsi="宋体" w:cs="宋体" w:hint="eastAsia"/>
          <w:bCs w:val="0"/>
          <w:sz w:val="28"/>
          <w:szCs w:val="28"/>
          <w:lang w:eastAsia="zh-CN"/>
        </w:rPr>
      </w:pPr>
      <w:bookmarkStart w:id="3" w:name="_Toc30851"/>
      <w:r>
        <w:rPr>
          <w:rFonts w:ascii="宋体" w:eastAsia="宋体" w:hAnsi="宋体" w:cs="宋体" w:hint="eastAsia"/>
          <w:b/>
          <w:bCs w:val="0"/>
          <w:sz w:val="28"/>
          <w:szCs w:val="28"/>
          <w:lang w:eastAsia="zh-CN"/>
        </w:rPr>
        <w:t>(一)、资金需求与筹措计划</w:t>
      </w:r>
      <w:bookmarkEnd w:id="3"/>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煤油添加剂行业项目启动之初,充足的资金是确保项目成功实施的关键要素。首先，我们进行了详细的资金需求分析，考虑到项目的各个阶段，包括研发、市场推广、运营等方面的费用。通过制定合理的预算，明确了项目整体的资金需求。为了筹措这些资金，我们制定了多元化的筹资计划。</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资金的筹措途径主要包括银行贷款、股权融资以及可能的政府补助。通过与多家银行洽谈贷款条件，我们力求获得较低利率和灵活的还款期限,以确保项目在财务方面的可持续性。同时,开展股权融资，吸引潜在投资者，为项目引入更多的资金。此外，积极了解相关的政府支持政策，争取符合条件的项目获得更多的补助和支持。</w:t>
      </w:r>
    </w:p>
    <w:p>
      <w:pPr>
        <w:spacing w:line="480" w:lineRule="auto"/>
        <w:ind w:firstLine="420" w:firstLineChars="0"/>
        <w:rPr>
          <w:rFonts w:ascii="宋体" w:eastAsia="宋体" w:hAnsi="宋体" w:cs="宋体" w:hint="eastAsia"/>
          <w:sz w:val="24"/>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宋体" w:eastAsia="宋体" w:hAnsi="宋体" w:cs="宋体" w:hint="eastAsia"/>
          <w:sz w:val="24"/>
          <w:szCs w:val="24"/>
          <w:lang w:eastAsia="zh-CN"/>
        </w:rPr>
        <w:t>在资金的使用方面，我们将资金重点用于项目的关键节点，如研发和市场推广阶段。通过科学合理的资金分配，确保了项目在关键领域的竞争力，提高了项目整体的成功概率。</w:t>
      </w:r>
    </w:p>
    <w:p>
      <w:pPr>
        <w:pStyle w:val="Heading2"/>
        <w:spacing w:line="480" w:lineRule="auto"/>
        <w:rPr>
          <w:rFonts w:ascii="宋体" w:eastAsia="宋体" w:hAnsi="宋体" w:cs="宋体" w:hint="eastAsia"/>
          <w:bCs w:val="0"/>
          <w:sz w:val="28"/>
          <w:szCs w:val="28"/>
          <w:lang w:eastAsia="zh-CN"/>
        </w:rPr>
      </w:pPr>
      <w:bookmarkStart w:id="4" w:name="_Toc25542"/>
      <w:r>
        <w:rPr>
          <w:rFonts w:ascii="宋体" w:eastAsia="宋体" w:hAnsi="宋体" w:cs="宋体" w:hint="eastAsia"/>
          <w:b/>
          <w:bCs w:val="0"/>
          <w:sz w:val="28"/>
          <w:szCs w:val="28"/>
          <w:lang w:eastAsia="zh-CN"/>
        </w:rPr>
        <w:t>(二)、投资分析与回报预期</w:t>
      </w:r>
      <w:bookmarkEnd w:id="4"/>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我们进行了全面的投资分析，考虑了项目的风险与回报。首先，通过对煤油添加剂行业趋势和市场规模的深入研究,我们对项目的市场地位和前景进行了合理的估算。同时，对竞争对手进行深入分析，识别了项目可能面临的潜在风险。</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在资金投入方面，我们对各个阶段的成本进行了详细的估算，包括初期投资、运营费用和市场推广费用等。通过制定详细的财务计划，我们清晰地了解了项目在不同时间段内的资金流动情况。</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在回报预期方面，我们通过制定合理的商业计划和财务模型，对项目的盈利能力进行了全面的评估。考虑到市场的不确定性，我们在回报预期中进行了风险分析,确保投资者能够清晰了解潜在的风险和回报比。</w:t>
      </w:r>
    </w:p>
    <w:p>
      <w:pPr>
        <w:pStyle w:val="Heading1"/>
        <w:spacing w:line="480" w:lineRule="auto"/>
        <w:rPr>
          <w:rFonts w:ascii="微软雅黑" w:eastAsia="微软雅黑" w:hAnsi="微软雅黑" w:cs="微软雅黑" w:hint="eastAsia"/>
          <w:color w:val="2E54A1" w:themeColor="accent1" w:themeShade="BF"/>
          <w:sz w:val="32"/>
          <w:szCs w:val="32"/>
          <w:lang w:eastAsia="zh-CN"/>
        </w:rPr>
      </w:pPr>
      <w:bookmarkStart w:id="5" w:name="_Toc15958"/>
      <w:r>
        <w:rPr>
          <w:rFonts w:ascii="微软雅黑" w:eastAsia="微软雅黑" w:hAnsi="微软雅黑" w:cs="微软雅黑" w:hint="eastAsia"/>
          <w:color w:val="2E54A1" w:themeColor="accent1" w:themeShade="BF"/>
          <w:sz w:val="32"/>
          <w:szCs w:val="32"/>
          <w:lang w:eastAsia="zh-CN"/>
        </w:rPr>
        <w:t>二、项目运营与管理</w:t>
      </w:r>
      <w:bookmarkEnd w:id="5"/>
    </w:p>
    <w:p>
      <w:pPr>
        <w:pStyle w:val="Heading2"/>
        <w:spacing w:line="480" w:lineRule="auto"/>
        <w:rPr>
          <w:rFonts w:ascii="宋体" w:eastAsia="宋体" w:hAnsi="宋体" w:cs="宋体" w:hint="eastAsia"/>
          <w:bCs w:val="0"/>
          <w:sz w:val="28"/>
          <w:szCs w:val="28"/>
          <w:lang w:eastAsia="zh-CN"/>
        </w:rPr>
      </w:pPr>
      <w:bookmarkStart w:id="6" w:name="_Toc14736"/>
      <w:r>
        <w:rPr>
          <w:rFonts w:ascii="宋体" w:eastAsia="宋体" w:hAnsi="宋体" w:cs="宋体" w:hint="eastAsia"/>
          <w:b/>
          <w:bCs w:val="0"/>
          <w:sz w:val="28"/>
          <w:szCs w:val="28"/>
          <w:lang w:eastAsia="zh-CN"/>
        </w:rPr>
        <w:t>(一)、运营模式选择</w:t>
      </w:r>
      <w:bookmarkEnd w:id="6"/>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1.运营模式选择</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在煤油添加剂行业项目的运营阶段，选择适当的运营模式至关重要。不同的运营模式会对项目的效益和可持续性产生深远影响。下面是几种常见的运营模式：</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自主运营模式：全面负责项目的日常运营和管理，更好地掌握业务的灵活性和决策权。</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合作运营模式：与合作伙伴建立战略合作，共同承担项目运营的责任，实现资源共享和风险分担。</w:t>
      </w:r>
    </w:p>
    <w:p>
      <w:pPr>
        <w:spacing w:line="480" w:lineRule="auto"/>
        <w:ind w:firstLine="420" w:firstLineChars="0"/>
        <w:rPr>
          <w:rFonts w:ascii="宋体" w:eastAsia="宋体" w:hAnsi="宋体" w:cs="宋体" w:hint="eastAsia"/>
          <w:sz w:val="24"/>
        </w:rPr>
      </w:pPr>
      <w:r>
        <w:rPr>
          <w:rFonts w:ascii="宋体" w:eastAsia="宋体" w:hAnsi="宋体" w:cs="宋体" w:hint="eastAsia"/>
          <w:sz w:val="24"/>
        </w:rPr>
        <w:br/>
      </w:r>
      <w:r>
        <w:rPr>
          <w:rFonts w:ascii="宋体" w:eastAsia="宋体" w:hAnsi="宋体" w:cs="宋体" w:hint="eastAsia"/>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https://d.book118.com/877044021013006034</w:t>
        </w:r>
      </w:hyperlink>
    </w:p>
    <w:p>
      <w:pPr>
        <w:spacing w:line="480" w:lineRule="auto"/>
        <w:ind w:firstLine="420" w:firstLineChars="0"/>
        <w:rPr>
          <w:rFonts w:ascii="宋体" w:eastAsia="宋体" w:hAnsi="宋体" w:cs="宋体" w:hint="eastAsia"/>
          <w:sz w:val="24"/>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775B3"/>
    <w:rsid w:val="00403531"/>
    <w:rsid w:val="02623C3C"/>
    <w:rsid w:val="03734037"/>
    <w:rsid w:val="13614867"/>
    <w:rsid w:val="3DAC44EE"/>
    <w:rsid w:val="453746B4"/>
    <w:rsid w:val="482775B3"/>
    <w:rsid w:val="49C53810"/>
    <w:rsid w:val="4E155AC7"/>
    <w:rsid w:val="50930768"/>
    <w:rsid w:val="62A91464"/>
    <w:rsid w:val="692E1C42"/>
  </w:rsids>
  <w:docVars>
    <w:docVar w:name="commondata" w:val="eyJoZGlkIjoiYjEzZTI3MzIxYzUxM2E3Y2YyMDVhZDRkMWU5YjExZ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autoRedefine/>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autoRedefine/>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7044021013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小海豹</cp:lastModifiedBy>
  <cp:revision>1</cp:revision>
  <dcterms:created xsi:type="dcterms:W3CDTF">2023-12-10T12:06:00Z</dcterms:created>
  <dcterms:modified xsi:type="dcterms:W3CDTF">2024-01-17T06:50:05Z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1E39AA5D4B7F4B19B7D16FD992F8235D_13</vt:lpwstr>
  </property>
  <property fmtid="{D5CDD505-2E9C-101B-9397-08002B2CF9AE}" pid="3" name="KSOProductBuildVer">
    <vt:lpwstr>2052-12.1.0.16120</vt:lpwstr>
  </property>
</Properties>
</file>