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505EFC" w14:paraId="0D4A535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05EFC" w14:paraId="1F20317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05EFC" w14:paraId="61E5D63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05EFC" w:rsidRPr="00505EFC" w14:paraId="175A4BEB" w14:textId="58557B50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505EFC">
        <w:rPr>
          <w:rFonts w:ascii="宋体" w:eastAsia="宋体" w:hAnsi="宋体" w:hint="eastAsia"/>
          <w:b/>
          <w:sz w:val="60"/>
        </w:rPr>
        <w:t>特种乳胶制品项目指标评估报告</w:t>
      </w:r>
    </w:p>
    <w:p w:rsidR="00505EFC" w:rsidP="00505EFC" w14:paraId="7C2F356F" w14:textId="5D7973BF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505EFC">
        <w:rPr>
          <w:rFonts w:ascii="仿宋" w:eastAsia="仿宋" w:hAnsi="仿宋" w:hint="eastAsia"/>
          <w:b/>
          <w:sz w:val="40"/>
        </w:rPr>
        <w:t>目录</w:t>
      </w:r>
    </w:p>
    <w:p w:rsidR="00505EFC" w14:paraId="32266588" w14:textId="4E1C6F4D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_Toc153763900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505EFC" w14:paraId="0611E235" w14:textId="1E92A29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一、特种乳胶制品项目概论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_Toc153763901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05EFC" w14:paraId="771FCFE3" w14:textId="3C362FF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(一)、特种乳胶制品项目名称及投资人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_Toc153763902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05EFC" w14:paraId="1A771FFE" w14:textId="38B3719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_Toc153763903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05EFC" w14:paraId="671315BC" w14:textId="0476742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_Toc153763904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505EFC" w14:paraId="6235AB8E" w14:textId="571BAFF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_Toc153763905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505EFC" w14:paraId="400353C2" w14:textId="02D11CB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(五)、特种乳胶制品项目建设背景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_Toc153763906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505EFC" w14:paraId="5AB105E7" w14:textId="6DFC3B4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_Toc153763907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505EFC" w14:paraId="543C533F" w14:textId="0B8FFFD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_Toc153763908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05EFC" w14:paraId="29527A0B" w14:textId="597F9F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_Toc153763909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05EFC" w14:paraId="5C20CFE3" w14:textId="491434B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(二)、特种乳胶制品项目技术工艺简要分析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_Toc153763910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05EFC" w14:paraId="71D413C6" w14:textId="66BFB7B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_Toc153763911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05EFC" w14:paraId="70078ABD" w14:textId="37A25BD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(四)、特种乳胶制品项目技术流程简述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_Toc153763912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505EFC" w14:paraId="6C625F95" w14:textId="4837992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_Toc153763913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505EFC" w14:paraId="14F9B8C3" w14:textId="384F178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三、建筑技术方案说明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_Toc153763914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505EFC" w14:paraId="4B31DE64" w14:textId="4DA0AA7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(一)、特种乳胶制品项目工程设计总体要求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_Toc153763915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505EFC" w14:paraId="532D7C17" w14:textId="346531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_Toc153763916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505EFC" w14:paraId="12FE6F6D" w14:textId="2F7BB82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(三)、建筑工程建设指标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_Toc153763917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505EFC" w14:paraId="46055FBF" w14:textId="100EFC8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四、社交媒体与在线营销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_Toc153763918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505EFC" w14:paraId="5736F03C" w14:textId="280C153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(一)、社交媒体策略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_Toc153763919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505EFC" w14:paraId="71AB236E" w14:textId="73BB7F33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(二)、在线广告与内容营销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_Toc153763920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505EFC" w14:paraId="4D7B39E8" w14:textId="7016E8E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(三)、社交媒体分析与ROI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_Toc153763921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505EFC" w14:paraId="0B69585E" w14:textId="272AA1F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五、特种乳胶制品项目规划进度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_Toc153763922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505EFC" w14:paraId="636FD4E1" w14:textId="5AD47A2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(一)、特种乳胶制品项目进度安排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_Toc153763923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505EFC" w14:paraId="5446A78F" w14:textId="411C085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(二)、特种乳胶制品项目实施保障措施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_Toc153763924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505EFC" w14:paraId="35970166" w14:textId="6B371A3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(三)、质量与安全控制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_Toc153763925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505EFC" w14:paraId="7D1D87D5" w14:textId="716367F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(四)、特种乳胶制品项目进度监控与调整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_Toc153763926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505EFC" w14:paraId="70F0F827" w14:textId="5B86459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(五)、沟通与决策流程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_Toc153763927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505EFC" w14:paraId="676CE115" w14:textId="1212BD0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六、战略合作伙伴关系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_Toc153763928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505EFC" w14:paraId="5703D8A4" w14:textId="7BC86B2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(一)、合作伙伴策略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_Toc153763929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505EFC" w14:paraId="499AE8A4" w14:textId="16243C9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(二)、合作伙伴选择与合同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_Toc153763930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505EFC" w14:paraId="56DBA5FB" w14:textId="3C174CF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(三)、合作伙伴关系管理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_Toc153763931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505EFC" w14:paraId="437B762F" w14:textId="4A92AB7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七、创新与研发策略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_Toc153763932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505EFC" w14:paraId="7271C768" w14:textId="5E7762E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(一)、研发投入与创新计划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_Toc153763933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505EFC" w14:paraId="11FBD4EC" w14:textId="6E0112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(二)、新产品开发策略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_Toc153763934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505EFC" w14:paraId="05242A32" w14:textId="0AF0211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(三)、技术合作与研究合作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_Toc153763935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505EFC" w14:paraId="57736614" w14:textId="3083F25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_Toc153763936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505EFC" w14:paraId="011FE3AA" w14:textId="4B63510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(一)、基本假设及基础参数选取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_Toc153763937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505EFC" w14:paraId="3F6D8E6E" w14:textId="526B343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_Toc153763938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505EFC" w14:paraId="68FDE91A" w14:textId="3A9DF4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(三)、特种乳胶制品项目盈利能力分析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_Toc153763939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505EFC" w14:paraId="6FE47943" w14:textId="01A5366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(四)、财务生存能力分析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_Toc153763940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505EFC" w14:paraId="2B0CF1FB" w14:textId="565D7FC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(五)、偿债能力分析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_Toc153763941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505EFC" w14:paraId="2AAC00BA" w14:textId="63D07ED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(六)、经济评价结论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_Toc153763942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https://d.book118.com/877106120051006032</w:t>
        </w:r>
      </w:hyperlink>
    </w:p>
    <w:p w:rsidR="00505EFC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5EFC" w:rsidP="00A4634F" w14:paraId="3F05390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05EFC" w14:paraId="72527CE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5EFC" w:rsidP="00A4634F" w14:paraId="4669B455" w14:textId="602CA46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505EFC" w14:paraId="23A9304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5EFC" w14:paraId="3E4D59F5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5EFC" w:rsidP="00A4634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05EFC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5EFC" w:rsidP="00A4634F" w14:textId="602CA46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505EFC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5EFC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5EFC" w:rsidP="00A4634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05EFC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5EFC" w:rsidP="00A4634F" w14:textId="602CA46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505EFC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5EF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5EFC" w14:paraId="66F9ECC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5EFC" w:rsidRPr="00505EFC" w:rsidP="00505EFC" w14:paraId="465BEF4B" w14:textId="3880F0DC">
    <w:pPr>
      <w:pStyle w:val="Header"/>
      <w:rPr>
        <w:rFonts w:ascii="仿宋" w:eastAsia="仿宋" w:hAnsi="仿宋"/>
      </w:rPr>
    </w:pPr>
    <w:r w:rsidRPr="00505EFC">
      <w:rPr>
        <w:rFonts w:ascii="仿宋" w:eastAsia="仿宋" w:hAnsi="仿宋" w:hint="eastAsia"/>
      </w:rPr>
      <w:t>特种乳胶制品项目指标评估报告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5EFC" w14:paraId="2ABB2C69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5EFC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5EFC" w:rsidRPr="00505EFC" w:rsidP="00505EFC" w14:textId="3880F0DC">
    <w:pPr>
      <w:pStyle w:val="Header"/>
      <w:rPr>
        <w:rFonts w:ascii="仿宋" w:eastAsia="仿宋" w:hAnsi="仿宋"/>
      </w:rPr>
    </w:pPr>
    <w:r w:rsidRPr="00505EFC">
      <w:rPr>
        <w:rFonts w:ascii="仿宋" w:eastAsia="仿宋" w:hAnsi="仿宋" w:hint="eastAsia"/>
      </w:rPr>
      <w:t>特种乳胶制品项目指标评估报告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5EFC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5EFC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5EFC" w:rsidRPr="00505EFC" w:rsidP="00505EFC" w14:textId="3880F0DC">
    <w:pPr>
      <w:pStyle w:val="Header"/>
      <w:rPr>
        <w:rFonts w:ascii="仿宋" w:eastAsia="仿宋" w:hAnsi="仿宋"/>
      </w:rPr>
    </w:pPr>
    <w:r w:rsidRPr="00505EFC">
      <w:rPr>
        <w:rFonts w:ascii="仿宋" w:eastAsia="仿宋" w:hAnsi="仿宋" w:hint="eastAsia"/>
      </w:rPr>
      <w:t>特种乳胶制品项目指标评估报告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5EFC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EFC"/>
    <w:rsid w:val="00505EFC"/>
    <w:rsid w:val="00A4634F"/>
    <w:rsid w:val="00EA522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9AD6CE1"/>
  <w15:chartTrackingRefBased/>
  <w15:docId w15:val="{05B7088F-FA2E-47D4-9E50-F4D5F9293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505E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505EF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505EFC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505EF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505EF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505EFC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505E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505EFC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505EFC"/>
  </w:style>
  <w:style w:type="paragraph" w:styleId="TOC1">
    <w:name w:val="toc 1"/>
    <w:basedOn w:val="Normal"/>
    <w:next w:val="Normal"/>
    <w:autoRedefine/>
    <w:uiPriority w:val="39"/>
    <w:unhideWhenUsed/>
    <w:rsid w:val="00505EFC"/>
  </w:style>
  <w:style w:type="paragraph" w:styleId="TOC2">
    <w:name w:val="toc 2"/>
    <w:basedOn w:val="Normal"/>
    <w:next w:val="Normal"/>
    <w:autoRedefine/>
    <w:uiPriority w:val="39"/>
    <w:unhideWhenUsed/>
    <w:rsid w:val="00505EFC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877106120051006032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3674</Words>
  <Characters>20945</Characters>
  <Application>Microsoft Office Word</Application>
  <DocSecurity>0</DocSecurity>
  <Lines>174</Lines>
  <Paragraphs>49</Paragraphs>
  <ScaleCrop>false</ScaleCrop>
  <Company/>
  <LinksUpToDate>false</LinksUpToDate>
  <CharactersWithSpaces>24570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2023-12-17T19:51:00Z</dcterms:created>
  <dcterms:modified xsi:type="dcterms:W3CDTF">2023-12-17T19:51:00Z</dcterms:modified>
</cp:coreProperties>
</file>