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jc w:val="both"/>
        <w:outlineLvl w:val="0"/>
        <w:rPr>
          <w:rFonts w:ascii="Times New Roman" w:eastAsia="黑体" w:hAnsi="Times New Roman"/>
          <w:snapToGrid w:val="0"/>
          <w:color w:val="auto"/>
          <w:sz w:val="30"/>
          <w:szCs w:val="30"/>
          <w:highlight w:val="none"/>
        </w:rPr>
      </w:pPr>
      <w:r>
        <w:rPr>
          <w:rFonts w:ascii="Times New Roman" w:eastAsia="黑体" w:hAnsi="Times New Roman"/>
          <w:snapToGrid w:val="0"/>
          <w:color w:val="auto"/>
          <w:sz w:val="30"/>
          <w:szCs w:val="30"/>
          <w:highlight w:val="none"/>
        </w:rPr>
        <w:t>一、建设项目基本情况</w:t>
      </w: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2382"/>
        <w:gridCol w:w="2070"/>
        <w:gridCol w:w="1779"/>
        <w:gridCol w:w="2639"/>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497"/>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建设项目名称</w:t>
            </w:r>
          </w:p>
        </w:tc>
        <w:tc>
          <w:tcPr>
            <w:tcW w:w="6488" w:type="dxa"/>
            <w:gridSpan w:val="3"/>
            <w:noWrap w:val="0"/>
            <w:vAlign w:val="center"/>
          </w:tcPr>
          <w:p>
            <w:pPr>
              <w:jc w:val="center"/>
              <w:rPr>
                <w:rFonts w:ascii="Times New Roman" w:hAnsi="Times New Roman" w:hint="eastAsia"/>
                <w:color w:val="auto"/>
                <w:highlight w:val="none"/>
              </w:rPr>
            </w:pPr>
            <w:bookmarkStart w:id="0" w:name="_GoBack"/>
            <w:r>
              <w:rPr>
                <w:rFonts w:ascii="Times New Roman" w:hAnsi="Times New Roman" w:cs="Times New Roman" w:hint="eastAsia"/>
                <w:color w:val="auto"/>
                <w:highlight w:val="none"/>
                <w:lang w:val="en-US" w:eastAsia="zh-CN"/>
              </w:rPr>
              <w:t>能源钻采高端装备制造项目</w:t>
            </w:r>
            <w:bookmarkEnd w:id="0"/>
          </w:p>
        </w:tc>
      </w:tr>
      <w:tr>
        <w:tblPrEx>
          <w:tblW w:w="8870" w:type="dxa"/>
          <w:jc w:val="center"/>
          <w:tblLayout w:type="fixed"/>
          <w:tblCellMar>
            <w:top w:w="0" w:type="dxa"/>
            <w:left w:w="0" w:type="dxa"/>
            <w:bottom w:w="0" w:type="dxa"/>
            <w:right w:w="0" w:type="dxa"/>
          </w:tblCellMar>
        </w:tblPrEx>
        <w:trPr>
          <w:trHeight w:val="497"/>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项目代码</w:t>
            </w:r>
          </w:p>
        </w:tc>
        <w:tc>
          <w:tcPr>
            <w:tcW w:w="6488" w:type="dxa"/>
            <w:gridSpan w:val="3"/>
            <w:noWrap w:val="0"/>
            <w:vAlign w:val="center"/>
          </w:tcPr>
          <w:p>
            <w:pPr>
              <w:jc w:val="center"/>
              <w:rPr>
                <w:rFonts w:ascii="Times New Roman" w:hAnsi="Times New Roman" w:hint="default"/>
                <w:color w:val="auto"/>
                <w:highlight w:val="none"/>
              </w:rPr>
            </w:pPr>
            <w:r>
              <w:rPr>
                <w:rFonts w:ascii="Times New Roman" w:hAnsi="Times New Roman" w:cs="Times New Roman" w:hint="default"/>
                <w:color w:val="auto"/>
                <w:highlight w:val="none"/>
                <w:lang w:val="en-US" w:eastAsia="zh-CN"/>
              </w:rPr>
              <w:t>230</w:t>
            </w:r>
            <w:r>
              <w:rPr>
                <w:rFonts w:ascii="Times New Roman" w:hAnsi="Times New Roman" w:cs="Times New Roman" w:hint="eastAsia"/>
                <w:color w:val="auto"/>
                <w:highlight w:val="none"/>
                <w:lang w:val="en-US" w:eastAsia="zh-CN"/>
              </w:rPr>
              <w:t>6</w:t>
            </w:r>
            <w:r>
              <w:rPr>
                <w:rFonts w:ascii="Times New Roman" w:hAnsi="Times New Roman" w:cs="Times New Roman" w:hint="default"/>
                <w:color w:val="auto"/>
                <w:highlight w:val="none"/>
                <w:lang w:val="en-US" w:eastAsia="zh-CN"/>
              </w:rPr>
              <w:t>-610583-04-01-</w:t>
            </w:r>
            <w:r>
              <w:rPr>
                <w:rFonts w:ascii="Times New Roman" w:hAnsi="Times New Roman" w:cs="Times New Roman" w:hint="eastAsia"/>
                <w:color w:val="auto"/>
                <w:highlight w:val="none"/>
                <w:lang w:val="en-US" w:eastAsia="zh-CN"/>
              </w:rPr>
              <w:t>534490</w:t>
            </w:r>
          </w:p>
        </w:tc>
      </w:tr>
      <w:tr>
        <w:tblPrEx>
          <w:tblW w:w="8870" w:type="dxa"/>
          <w:jc w:val="center"/>
          <w:tblLayout w:type="fixed"/>
          <w:tblCellMar>
            <w:top w:w="0" w:type="dxa"/>
            <w:left w:w="0" w:type="dxa"/>
            <w:bottom w:w="0" w:type="dxa"/>
            <w:right w:w="0" w:type="dxa"/>
          </w:tblCellMar>
        </w:tblPrEx>
        <w:trPr>
          <w:trHeight w:val="497"/>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建设单位联系人</w:t>
            </w:r>
          </w:p>
        </w:tc>
        <w:tc>
          <w:tcPr>
            <w:tcW w:w="2070" w:type="dxa"/>
            <w:noWrap w:val="0"/>
            <w:vAlign w:val="center"/>
          </w:tcPr>
          <w:p>
            <w:pPr>
              <w:jc w:val="center"/>
              <w:rPr>
                <w:rFonts w:ascii="Times New Roman" w:hAnsi="Times New Roman" w:hint="eastAsia"/>
                <w:color w:val="auto"/>
                <w:highlight w:val="none"/>
              </w:rPr>
            </w:pPr>
          </w:p>
        </w:tc>
        <w:tc>
          <w:tcPr>
            <w:tcW w:w="1779" w:type="dxa"/>
            <w:noWrap w:val="0"/>
            <w:vAlign w:val="center"/>
          </w:tcPr>
          <w:p>
            <w:pPr>
              <w:jc w:val="center"/>
              <w:rPr>
                <w:rFonts w:ascii="Times New Roman" w:hAnsi="Times New Roman" w:hint="eastAsia"/>
                <w:color w:val="auto"/>
                <w:highlight w:val="none"/>
              </w:rPr>
            </w:pPr>
            <w:r>
              <w:rPr>
                <w:rFonts w:ascii="Times New Roman" w:hAnsi="Times New Roman" w:cs="Times New Roman" w:hint="eastAsia"/>
                <w:b/>
                <w:bCs/>
                <w:color w:val="auto"/>
                <w:highlight w:val="none"/>
                <w:lang w:val="en-US" w:eastAsia="zh-CN"/>
              </w:rPr>
              <w:t>联系方式</w:t>
            </w:r>
          </w:p>
        </w:tc>
        <w:tc>
          <w:tcPr>
            <w:tcW w:w="2639" w:type="dxa"/>
            <w:noWrap w:val="0"/>
            <w:vAlign w:val="center"/>
          </w:tcPr>
          <w:p>
            <w:pPr>
              <w:jc w:val="center"/>
              <w:rPr>
                <w:rFonts w:ascii="Times New Roman" w:hAnsi="Times New Roman" w:hint="eastAsia"/>
                <w:color w:val="auto"/>
                <w:highlight w:val="none"/>
              </w:rPr>
            </w:pPr>
          </w:p>
        </w:tc>
      </w:tr>
      <w:tr>
        <w:tblPrEx>
          <w:tblW w:w="8870" w:type="dxa"/>
          <w:jc w:val="center"/>
          <w:tblLayout w:type="fixed"/>
          <w:tblCellMar>
            <w:top w:w="0" w:type="dxa"/>
            <w:left w:w="0" w:type="dxa"/>
            <w:bottom w:w="0" w:type="dxa"/>
            <w:right w:w="0" w:type="dxa"/>
          </w:tblCellMar>
        </w:tblPrEx>
        <w:trPr>
          <w:trHeight w:val="497"/>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建设地点</w:t>
            </w:r>
          </w:p>
        </w:tc>
        <w:tc>
          <w:tcPr>
            <w:tcW w:w="6488" w:type="dxa"/>
            <w:gridSpan w:val="3"/>
            <w:noWrap w:val="0"/>
            <w:vAlign w:val="center"/>
          </w:tcPr>
          <w:p>
            <w:pPr>
              <w:keepNext w:val="0"/>
              <w:keepLines w:val="0"/>
              <w:widowControl/>
              <w:suppressLineNumbers w:val="0"/>
              <w:jc w:val="left"/>
              <w:rPr>
                <w:rFonts w:ascii="Times New Roman" w:hAnsi="Times New Roman"/>
                <w:color w:val="auto"/>
                <w:highlight w:val="none"/>
              </w:rPr>
            </w:pPr>
            <w:r>
              <w:rPr>
                <w:rFonts w:ascii="Times New Roman" w:eastAsia="宋体" w:hAnsi="Times New Roman" w:cs="Times New Roman" w:hint="eastAsia"/>
                <w:color w:val="auto"/>
                <w:highlight w:val="none"/>
                <w:lang w:val="en-US" w:eastAsia="zh-CN"/>
              </w:rPr>
              <w:t>富阎产业合作园区富辰三路以南、富辰四路以北、金粟大道以西无人机整机生产线项目内</w:t>
            </w:r>
          </w:p>
        </w:tc>
      </w:tr>
      <w:tr>
        <w:tblPrEx>
          <w:tblW w:w="8870" w:type="dxa"/>
          <w:jc w:val="center"/>
          <w:tblLayout w:type="fixed"/>
          <w:tblCellMar>
            <w:top w:w="0" w:type="dxa"/>
            <w:left w:w="0" w:type="dxa"/>
            <w:bottom w:w="0" w:type="dxa"/>
            <w:right w:w="0" w:type="dxa"/>
          </w:tblCellMar>
        </w:tblPrEx>
        <w:trPr>
          <w:trHeight w:val="497"/>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地理坐标</w:t>
            </w:r>
          </w:p>
        </w:tc>
        <w:tc>
          <w:tcPr>
            <w:tcW w:w="6488" w:type="dxa"/>
            <w:gridSpan w:val="3"/>
            <w:noWrap w:val="0"/>
            <w:vAlign w:val="center"/>
          </w:tcPr>
          <w:p>
            <w:pPr>
              <w:jc w:val="center"/>
              <w:rPr>
                <w:rFonts w:ascii="Times New Roman" w:hAnsi="Times New Roman"/>
                <w:color w:val="auto"/>
                <w:highlight w:val="none"/>
              </w:rPr>
            </w:pPr>
            <w:r>
              <w:rPr>
                <w:rFonts w:ascii="Times New Roman" w:hAnsi="Times New Roman" w:cs="Times New Roman"/>
                <w:color w:val="auto"/>
                <w:highlight w:val="none"/>
              </w:rPr>
              <w:t>E10</w:t>
            </w:r>
            <w:r>
              <w:rPr>
                <w:rFonts w:ascii="Times New Roman" w:hAnsi="Times New Roman" w:cs="Times New Roman" w:hint="eastAsia"/>
                <w:color w:val="auto"/>
                <w:highlight w:val="none"/>
                <w:lang w:val="en-US" w:eastAsia="zh-CN"/>
              </w:rPr>
              <w:t>8</w:t>
            </w:r>
            <w:r>
              <w:rPr>
                <w:rFonts w:ascii="Times New Roman" w:hAnsi="Times New Roman" w:cs="Times New Roman"/>
                <w:color w:val="auto"/>
                <w:highlight w:val="none"/>
              </w:rPr>
              <w:t>°</w:t>
            </w:r>
            <w:r>
              <w:rPr>
                <w:rFonts w:ascii="Times New Roman" w:hAnsi="Times New Roman" w:cs="Times New Roman" w:hint="eastAsia"/>
                <w:color w:val="auto"/>
                <w:highlight w:val="none"/>
                <w:lang w:val="en-US" w:eastAsia="zh-CN"/>
              </w:rPr>
              <w:t>49</w:t>
            </w:r>
            <w:r>
              <w:rPr>
                <w:rFonts w:ascii="Times New Roman" w:hAnsi="Times New Roman" w:cs="Times New Roman"/>
                <w:color w:val="auto"/>
                <w:highlight w:val="none"/>
              </w:rPr>
              <w:t>′</w:t>
            </w:r>
            <w:r>
              <w:rPr>
                <w:rFonts w:ascii="Times New Roman" w:hAnsi="Times New Roman" w:cs="Times New Roman" w:hint="eastAsia"/>
                <w:color w:val="auto"/>
                <w:highlight w:val="none"/>
                <w:lang w:val="en-US" w:eastAsia="zh-CN"/>
              </w:rPr>
              <w:t>37.014</w:t>
            </w:r>
            <w:r>
              <w:rPr>
                <w:rFonts w:ascii="Times New Roman" w:hAnsi="Times New Roman" w:cs="Times New Roman"/>
                <w:color w:val="auto"/>
                <w:highlight w:val="none"/>
              </w:rPr>
              <w:t>″</w:t>
            </w:r>
            <w:r>
              <w:rPr>
                <w:rFonts w:ascii="Times New Roman" w:hAnsi="Times New Roman" w:cs="Times New Roman" w:hint="eastAsia"/>
                <w:color w:val="auto"/>
                <w:highlight w:val="none"/>
                <w:lang w:eastAsia="zh-CN"/>
              </w:rPr>
              <w:t>，</w:t>
            </w:r>
            <w:r>
              <w:rPr>
                <w:rFonts w:ascii="Times New Roman" w:hAnsi="Times New Roman" w:cs="Times New Roman"/>
                <w:color w:val="auto"/>
                <w:highlight w:val="none"/>
              </w:rPr>
              <w:t>N34°</w:t>
            </w:r>
            <w:r>
              <w:rPr>
                <w:rFonts w:ascii="Times New Roman" w:hAnsi="Times New Roman" w:cs="Times New Roman" w:hint="eastAsia"/>
                <w:color w:val="auto"/>
                <w:highlight w:val="none"/>
                <w:lang w:val="en-US" w:eastAsia="zh-CN"/>
              </w:rPr>
              <w:t>13</w:t>
            </w:r>
            <w:r>
              <w:rPr>
                <w:rFonts w:ascii="Times New Roman" w:hAnsi="Times New Roman" w:cs="Times New Roman"/>
                <w:color w:val="auto"/>
                <w:highlight w:val="none"/>
              </w:rPr>
              <w:t>′</w:t>
            </w:r>
            <w:r>
              <w:rPr>
                <w:rFonts w:ascii="Times New Roman" w:hAnsi="Times New Roman" w:cs="Times New Roman" w:hint="eastAsia"/>
                <w:color w:val="auto"/>
                <w:highlight w:val="none"/>
                <w:lang w:val="en-US" w:eastAsia="zh-CN"/>
              </w:rPr>
              <w:t>22.877</w:t>
            </w:r>
            <w:r>
              <w:rPr>
                <w:rFonts w:ascii="Times New Roman" w:hAnsi="Times New Roman" w:cs="Times New Roman"/>
                <w:color w:val="auto"/>
                <w:highlight w:val="none"/>
              </w:rPr>
              <w:t>″</w:t>
            </w:r>
          </w:p>
        </w:tc>
      </w:tr>
      <w:tr>
        <w:tblPrEx>
          <w:tblW w:w="8870" w:type="dxa"/>
          <w:jc w:val="center"/>
          <w:tblLayout w:type="fixed"/>
          <w:tblCellMar>
            <w:top w:w="0" w:type="dxa"/>
            <w:left w:w="0" w:type="dxa"/>
            <w:bottom w:w="0" w:type="dxa"/>
            <w:right w:w="0" w:type="dxa"/>
          </w:tblCellMar>
        </w:tblPrEx>
        <w:trPr>
          <w:trHeight w:val="561"/>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国民经济</w:t>
            </w:r>
          </w:p>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行业类别</w:t>
            </w:r>
          </w:p>
        </w:tc>
        <w:tc>
          <w:tcPr>
            <w:tcW w:w="2070" w:type="dxa"/>
            <w:noWrap w:val="0"/>
            <w:vAlign w:val="center"/>
          </w:tcPr>
          <w:p>
            <w:pPr>
              <w:adjustRightInd w:val="0"/>
              <w:snapToGrid w:val="0"/>
              <w:rPr>
                <w:rFonts w:ascii="Times New Roman" w:hAnsi="Times New Roman"/>
                <w:color w:val="auto"/>
                <w:highlight w:val="none"/>
              </w:rPr>
            </w:pPr>
            <w:r>
              <w:rPr>
                <w:rFonts w:ascii="Times New Roman" w:hAnsi="Times New Roman" w:cs="Times New Roman" w:hint="default"/>
                <w:color w:val="auto"/>
                <w:highlight w:val="none"/>
                <w:lang w:val="en-US" w:eastAsia="zh-CN"/>
              </w:rPr>
              <w:t>C</w:t>
            </w:r>
            <w:r>
              <w:rPr>
                <w:rFonts w:ascii="Times New Roman" w:hAnsi="Times New Roman" w:cs="Times New Roman" w:hint="eastAsia"/>
                <w:color w:val="auto"/>
                <w:highlight w:val="none"/>
                <w:lang w:val="en-US" w:eastAsia="zh-CN"/>
              </w:rPr>
              <w:t>3512</w:t>
            </w:r>
            <w:r>
              <w:rPr>
                <w:rFonts w:ascii="Times New Roman" w:hAnsi="Times New Roman" w:cs="Times New Roman" w:hint="default"/>
                <w:color w:val="auto"/>
                <w:highlight w:val="none"/>
                <w:lang w:val="en-US" w:eastAsia="zh-CN"/>
              </w:rPr>
              <w:t>石油钻采专用 设备制造</w:t>
            </w:r>
            <w:r>
              <w:rPr>
                <w:rFonts w:ascii="Times New Roman" w:hAnsi="Times New Roman" w:cs="Times New Roman" w:hint="eastAsia"/>
                <w:color w:val="auto"/>
                <w:highlight w:val="none"/>
                <w:lang w:val="en-US" w:eastAsia="zh-CN"/>
              </w:rPr>
              <w:t>；</w:t>
            </w:r>
            <w:r>
              <w:rPr>
                <w:rFonts w:ascii="Times New Roman" w:eastAsia="宋体" w:hAnsi="Times New Roman" w:cs="Times New Roman" w:hint="eastAsia"/>
                <w:color w:val="auto"/>
                <w:kern w:val="0"/>
                <w:sz w:val="21"/>
                <w:szCs w:val="21"/>
                <w:highlight w:val="none"/>
                <w:lang w:val="en-US" w:eastAsia="zh-CN"/>
              </w:rPr>
              <w:t>C3513深海石油钻探设备制造</w:t>
            </w:r>
          </w:p>
        </w:tc>
        <w:tc>
          <w:tcPr>
            <w:tcW w:w="1779" w:type="dxa"/>
            <w:noWrap w:val="0"/>
            <w:vAlign w:val="center"/>
          </w:tcPr>
          <w:p>
            <w:pPr>
              <w:adjustRightInd w:val="0"/>
              <w:snapToGrid w:val="0"/>
              <w:jc w:val="center"/>
              <w:rPr>
                <w:rFonts w:ascii="Times New Roman" w:hAnsi="Times New Roman"/>
                <w:b/>
                <w:bCs/>
                <w:color w:val="auto"/>
                <w:highlight w:val="none"/>
              </w:rPr>
            </w:pPr>
            <w:bookmarkStart w:id="1" w:name="_Hlk49843745"/>
            <w:r>
              <w:rPr>
                <w:rFonts w:ascii="Times New Roman" w:hAnsi="Times New Roman" w:cs="Times New Roman"/>
                <w:b/>
                <w:bCs/>
                <w:color w:val="auto"/>
                <w:highlight w:val="none"/>
              </w:rPr>
              <w:t>建设项目</w:t>
            </w:r>
          </w:p>
          <w:p>
            <w:pPr>
              <w:adjustRightInd w:val="0"/>
              <w:snapToGrid w:val="0"/>
              <w:jc w:val="center"/>
              <w:rPr>
                <w:rFonts w:ascii="Times New Roman" w:hAnsi="Times New Roman"/>
                <w:color w:val="auto"/>
                <w:highlight w:val="none"/>
              </w:rPr>
            </w:pPr>
            <w:r>
              <w:rPr>
                <w:rFonts w:ascii="Times New Roman" w:hAnsi="Times New Roman" w:cs="Times New Roman"/>
                <w:b/>
                <w:bCs/>
                <w:color w:val="auto"/>
                <w:highlight w:val="none"/>
              </w:rPr>
              <w:t>行业类别</w:t>
            </w:r>
            <w:bookmarkEnd w:id="1"/>
          </w:p>
        </w:tc>
        <w:tc>
          <w:tcPr>
            <w:tcW w:w="2639" w:type="dxa"/>
            <w:noWrap w:val="0"/>
            <w:vAlign w:val="center"/>
          </w:tcPr>
          <w:p>
            <w:pPr>
              <w:adjustRightInd w:val="0"/>
              <w:snapToGrid w:val="0"/>
              <w:rPr>
                <w:rFonts w:ascii="Times New Roman" w:hAnsi="Times New Roman"/>
                <w:color w:val="auto"/>
                <w:highlight w:val="none"/>
              </w:rPr>
            </w:pPr>
            <w:r>
              <w:rPr>
                <w:rFonts w:ascii="Times New Roman" w:hAnsi="Times New Roman" w:cs="Times New Roman" w:hint="eastAsia"/>
                <w:color w:val="auto"/>
                <w:highlight w:val="none"/>
                <w:lang w:val="en-US" w:eastAsia="zh-CN"/>
              </w:rPr>
              <w:t>三</w:t>
            </w:r>
            <w:r>
              <w:rPr>
                <w:rFonts w:ascii="Times New Roman" w:hAnsi="Times New Roman" w:cs="Times New Roman" w:hint="default"/>
                <w:color w:val="auto"/>
                <w:highlight w:val="none"/>
                <w:lang w:val="en-US" w:eastAsia="zh-CN"/>
              </w:rPr>
              <w:t>十二、专用设备制造业</w:t>
            </w:r>
            <w:r>
              <w:rPr>
                <w:rFonts w:ascii="Times New Roman" w:hAnsi="Times New Roman" w:cs="Times New Roman" w:hint="eastAsia"/>
                <w:color w:val="auto"/>
                <w:highlight w:val="none"/>
                <w:lang w:val="en-US" w:eastAsia="zh-CN"/>
              </w:rPr>
              <w:t>7</w:t>
            </w:r>
            <w:r>
              <w:rPr>
                <w:rFonts w:ascii="Times New Roman" w:hAnsi="Times New Roman" w:cs="Times New Roman" w:hint="default"/>
                <w:color w:val="auto"/>
                <w:highlight w:val="none"/>
                <w:lang w:val="en-US" w:eastAsia="zh-CN"/>
              </w:rPr>
              <w:t>0.采矿、冶金、建筑专用设备制造351</w:t>
            </w:r>
            <w:r>
              <w:rPr>
                <w:rFonts w:ascii="Times New Roman" w:hAnsi="Times New Roman" w:cs="Times New Roman" w:hint="eastAsia"/>
                <w:color w:val="auto"/>
                <w:highlight w:val="none"/>
                <w:lang w:val="en-US" w:eastAsia="zh-CN"/>
              </w:rPr>
              <w:t>-其他（仅分割、焊接、组装的除外；年用非溶剂型低</w:t>
            </w:r>
            <w:r>
              <w:rPr>
                <w:rFonts w:ascii="Times New Roman" w:hAnsi="Times New Roman" w:cs="Times New Roman" w:hint="default"/>
                <w:color w:val="auto"/>
                <w:highlight w:val="none"/>
                <w:lang w:val="en-US" w:eastAsia="zh-CN"/>
              </w:rPr>
              <w:t>VOCs</w:t>
            </w:r>
            <w:r>
              <w:rPr>
                <w:rFonts w:ascii="Times New Roman" w:hAnsi="Times New Roman" w:cs="Times New Roman" w:hint="eastAsia"/>
                <w:color w:val="auto"/>
                <w:highlight w:val="none"/>
                <w:lang w:val="en-US" w:eastAsia="zh-CN"/>
              </w:rPr>
              <w:t>含量涂料</w:t>
            </w:r>
            <w:r>
              <w:rPr>
                <w:rFonts w:ascii="Times New Roman" w:hAnsi="Times New Roman" w:cs="Times New Roman" w:hint="default"/>
                <w:color w:val="auto"/>
                <w:highlight w:val="none"/>
                <w:lang w:val="en-US" w:eastAsia="zh-CN"/>
              </w:rPr>
              <w:t>10</w:t>
            </w:r>
            <w:r>
              <w:rPr>
                <w:rFonts w:ascii="Times New Roman" w:hAnsi="Times New Roman" w:cs="Times New Roman" w:hint="eastAsia"/>
                <w:color w:val="auto"/>
                <w:highlight w:val="none"/>
                <w:lang w:val="en-US" w:eastAsia="zh-CN"/>
              </w:rPr>
              <w:t>吨以下的除外）</w:t>
            </w:r>
          </w:p>
        </w:tc>
      </w:tr>
      <w:tr>
        <w:tblPrEx>
          <w:tblW w:w="8870" w:type="dxa"/>
          <w:jc w:val="center"/>
          <w:tblLayout w:type="fixed"/>
          <w:tblCellMar>
            <w:top w:w="0" w:type="dxa"/>
            <w:left w:w="0" w:type="dxa"/>
            <w:bottom w:w="0" w:type="dxa"/>
            <w:right w:w="0" w:type="dxa"/>
          </w:tblCellMar>
        </w:tblPrEx>
        <w:trPr>
          <w:trHeight w:val="1219"/>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ascii="Times New Roman" w:hAnsi="Times New Roman" w:cs="Times New Roman"/>
                <w:b/>
                <w:bCs/>
                <w:color w:val="auto"/>
                <w:highlight w:val="none"/>
              </w:rPr>
              <w:t>建设性质</w:t>
            </w:r>
          </w:p>
        </w:tc>
        <w:tc>
          <w:tcPr>
            <w:tcW w:w="2070" w:type="dxa"/>
            <w:noWrap w:val="0"/>
            <w:vAlign w:val="center"/>
          </w:tcPr>
          <w:p>
            <w:pPr>
              <w:jc w:val="left"/>
              <w:rPr>
                <w:rFonts w:ascii="Times New Roman" w:hAnsi="Times New Roman"/>
                <w:color w:val="auto"/>
                <w:highlight w:val="none"/>
              </w:rPr>
            </w:pPr>
            <w:r>
              <w:rPr>
                <w:rFonts w:ascii="Wingdings 2" w:hAnsi="Wingdings 2" w:cs="Times New Roman"/>
                <w:color w:val="auto"/>
                <w:highlight w:val="none"/>
              </w:rPr>
              <w:sym w:font="Wingdings 2" w:char="F052"/>
            </w:r>
            <w:r>
              <w:rPr>
                <w:rFonts w:ascii="Times New Roman" w:hAnsi="Times New Roman" w:cs="Times New Roman"/>
                <w:color w:val="auto"/>
                <w:highlight w:val="none"/>
              </w:rPr>
              <w:t>新建（迁建）</w:t>
            </w:r>
          </w:p>
          <w:p>
            <w:pPr>
              <w:jc w:val="left"/>
              <w:rPr>
                <w:rFonts w:ascii="Times New Roman" w:hAnsi="Times New Roman"/>
                <w:color w:val="auto"/>
                <w:highlight w:val="none"/>
              </w:rPr>
            </w:pPr>
            <w:r>
              <w:rPr>
                <w:rFonts w:ascii="Wingdings 2" w:hAnsi="Wingdings 2" w:cs="Times New Roman"/>
                <w:color w:val="auto"/>
                <w:highlight w:val="none"/>
              </w:rPr>
              <w:sym w:font="Wingdings 2" w:char="F0A3"/>
            </w:r>
            <w:r>
              <w:rPr>
                <w:rFonts w:ascii="Times New Roman" w:hAnsi="Times New Roman" w:cs="Times New Roman"/>
                <w:color w:val="auto"/>
                <w:highlight w:val="none"/>
              </w:rPr>
              <w:t>改建</w:t>
            </w:r>
          </w:p>
          <w:p>
            <w:pPr>
              <w:jc w:val="left"/>
              <w:rPr>
                <w:rFonts w:ascii="Times New Roman" w:hAnsi="Times New Roman"/>
                <w:color w:val="auto"/>
                <w:highlight w:val="none"/>
              </w:rPr>
            </w:pPr>
            <w:r>
              <w:rPr>
                <w:rFonts w:ascii="Wingdings 2" w:hAnsi="Wingdings 2" w:cs="Times New Roman"/>
                <w:color w:val="auto"/>
                <w:highlight w:val="none"/>
              </w:rPr>
              <w:sym w:font="Wingdings 2" w:char="F0A3"/>
            </w:r>
            <w:r>
              <w:rPr>
                <w:rFonts w:ascii="Times New Roman" w:hAnsi="Times New Roman" w:cs="Times New Roman"/>
                <w:color w:val="auto"/>
                <w:highlight w:val="none"/>
              </w:rPr>
              <w:t>扩建</w:t>
            </w:r>
          </w:p>
          <w:p>
            <w:pPr>
              <w:jc w:val="left"/>
              <w:rPr>
                <w:rFonts w:ascii="Times New Roman" w:hAnsi="Times New Roman"/>
                <w:color w:val="auto"/>
                <w:highlight w:val="none"/>
              </w:rPr>
            </w:pPr>
            <w:r>
              <w:rPr>
                <w:rFonts w:ascii="Wingdings 2" w:hAnsi="Wingdings 2" w:cs="Times New Roman"/>
                <w:color w:val="auto"/>
                <w:highlight w:val="none"/>
              </w:rPr>
              <w:sym w:font="Wingdings 2" w:char="F0A3"/>
            </w:r>
            <w:r>
              <w:rPr>
                <w:rFonts w:ascii="Times New Roman" w:hAnsi="Times New Roman" w:cs="Times New Roman"/>
                <w:color w:val="auto"/>
                <w:highlight w:val="none"/>
              </w:rPr>
              <w:t>技术改造</w:t>
            </w:r>
          </w:p>
        </w:tc>
        <w:tc>
          <w:tcPr>
            <w:tcW w:w="1779" w:type="dxa"/>
            <w:noWrap w:val="0"/>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建设项目</w:t>
            </w:r>
          </w:p>
          <w:p>
            <w:pPr>
              <w:adjustRightInd w:val="0"/>
              <w:snapToGrid w:val="0"/>
              <w:jc w:val="center"/>
              <w:rPr>
                <w:rFonts w:ascii="Times New Roman" w:hAnsi="Times New Roman"/>
                <w:color w:val="auto"/>
                <w:highlight w:val="none"/>
              </w:rPr>
            </w:pPr>
            <w:r>
              <w:rPr>
                <w:rFonts w:ascii="Times New Roman" w:hAnsi="Times New Roman" w:cs="Times New Roman"/>
                <w:b/>
                <w:bCs/>
                <w:color w:val="auto"/>
                <w:highlight w:val="none"/>
              </w:rPr>
              <w:t>申报情形</w:t>
            </w:r>
          </w:p>
        </w:tc>
        <w:tc>
          <w:tcPr>
            <w:tcW w:w="2639" w:type="dxa"/>
            <w:noWrap w:val="0"/>
            <w:vAlign w:val="center"/>
          </w:tcPr>
          <w:p>
            <w:pPr>
              <w:jc w:val="left"/>
              <w:rPr>
                <w:rFonts w:ascii="Times New Roman" w:hAnsi="Times New Roman"/>
                <w:color w:val="auto"/>
                <w:highlight w:val="none"/>
              </w:rPr>
            </w:pPr>
            <w:r>
              <w:rPr>
                <w:rFonts w:ascii="Wingdings 2" w:hAnsi="Wingdings 2" w:cs="Times New Roman"/>
                <w:color w:val="auto"/>
                <w:highlight w:val="none"/>
              </w:rPr>
              <w:sym w:font="Wingdings 2" w:char="F052"/>
            </w:r>
            <w:r>
              <w:rPr>
                <w:rFonts w:ascii="Times New Roman" w:hAnsi="Times New Roman" w:cs="Times New Roman"/>
                <w:color w:val="auto"/>
                <w:highlight w:val="none"/>
              </w:rPr>
              <w:t>首次申报项目</w:t>
            </w:r>
          </w:p>
          <w:p>
            <w:pPr>
              <w:jc w:val="left"/>
              <w:rPr>
                <w:rFonts w:ascii="Times New Roman" w:hAnsi="Times New Roman"/>
                <w:color w:val="auto"/>
                <w:highlight w:val="none"/>
              </w:rPr>
            </w:pPr>
            <w:r>
              <w:rPr>
                <w:rFonts w:ascii="Wingdings 2" w:hAnsi="Wingdings 2" w:cs="Times New Roman"/>
                <w:color w:val="auto"/>
                <w:highlight w:val="none"/>
              </w:rPr>
              <w:sym w:font="Wingdings 2" w:char="F0A3"/>
            </w:r>
            <w:r>
              <w:rPr>
                <w:rFonts w:ascii="Times New Roman" w:hAnsi="Times New Roman" w:cs="Times New Roman"/>
                <w:color w:val="auto"/>
                <w:highlight w:val="none"/>
              </w:rPr>
              <w:t>不予批准后再次申报项目</w:t>
            </w:r>
          </w:p>
          <w:p>
            <w:pPr>
              <w:jc w:val="left"/>
              <w:rPr>
                <w:rFonts w:ascii="Times New Roman" w:hAnsi="Times New Roman"/>
                <w:color w:val="auto"/>
                <w:highlight w:val="none"/>
              </w:rPr>
            </w:pPr>
            <w:r>
              <w:rPr>
                <w:rFonts w:ascii="Wingdings 2" w:hAnsi="Wingdings 2" w:cs="Times New Roman"/>
                <w:color w:val="auto"/>
                <w:highlight w:val="none"/>
              </w:rPr>
              <w:sym w:font="Wingdings 2" w:char="F0A3"/>
            </w:r>
            <w:r>
              <w:rPr>
                <w:rFonts w:ascii="Times New Roman" w:hAnsi="Times New Roman" w:cs="Times New Roman"/>
                <w:color w:val="auto"/>
                <w:highlight w:val="none"/>
              </w:rPr>
              <w:t>超五年重新审核项目</w:t>
            </w:r>
          </w:p>
          <w:p>
            <w:pPr>
              <w:jc w:val="left"/>
              <w:rPr>
                <w:rFonts w:ascii="Times New Roman" w:hAnsi="Times New Roman"/>
                <w:color w:val="auto"/>
                <w:highlight w:val="none"/>
              </w:rPr>
            </w:pPr>
            <w:r>
              <w:rPr>
                <w:rFonts w:ascii="Wingdings 2" w:hAnsi="Wingdings 2" w:cs="Times New Roman"/>
                <w:color w:val="auto"/>
                <w:highlight w:val="none"/>
              </w:rPr>
              <w:sym w:font="Wingdings 2" w:char="F0A3"/>
            </w:r>
            <w:r>
              <w:rPr>
                <w:rFonts w:ascii="Times New Roman" w:hAnsi="Times New Roman" w:cs="Times New Roman"/>
                <w:color w:val="auto"/>
                <w:highlight w:val="none"/>
              </w:rPr>
              <w:t>重大变动重新报批项目</w:t>
            </w:r>
          </w:p>
        </w:tc>
      </w:tr>
      <w:tr>
        <w:tblPrEx>
          <w:tblW w:w="8870" w:type="dxa"/>
          <w:jc w:val="center"/>
          <w:tblLayout w:type="fixed"/>
          <w:tblCellMar>
            <w:top w:w="0" w:type="dxa"/>
            <w:left w:w="0" w:type="dxa"/>
            <w:bottom w:w="0" w:type="dxa"/>
            <w:right w:w="0" w:type="dxa"/>
          </w:tblCellMar>
        </w:tblPrEx>
        <w:trPr>
          <w:trHeight w:val="515"/>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ascii="Times New Roman" w:hAnsi="Times New Roman" w:cs="Times New Roman"/>
                <w:b/>
                <w:bCs/>
                <w:color w:val="auto"/>
                <w:highlight w:val="none"/>
              </w:rPr>
              <w:t>项目审批部门</w:t>
            </w:r>
          </w:p>
        </w:tc>
        <w:tc>
          <w:tcPr>
            <w:tcW w:w="2070" w:type="dxa"/>
            <w:noWrap w:val="0"/>
            <w:vAlign w:val="center"/>
          </w:tcPr>
          <w:p>
            <w:pPr>
              <w:adjustRightInd w:val="0"/>
              <w:snapToGrid w:val="0"/>
              <w:jc w:val="center"/>
              <w:rPr>
                <w:rFonts w:ascii="Times New Roman" w:hAnsi="Times New Roman"/>
                <w:color w:val="auto"/>
                <w:highlight w:val="none"/>
              </w:rPr>
            </w:pPr>
            <w:r>
              <w:rPr>
                <w:rFonts w:ascii="Times New Roman" w:eastAsia="宋体" w:hAnsi="Times New Roman" w:cs="Times New Roman" w:hint="eastAsia"/>
                <w:color w:val="auto"/>
                <w:highlight w:val="none"/>
                <w:lang w:val="en-US" w:eastAsia="zh-CN"/>
              </w:rPr>
              <w:t>富阎产业合作园区经济发展局</w:t>
            </w:r>
          </w:p>
        </w:tc>
        <w:tc>
          <w:tcPr>
            <w:tcW w:w="1779" w:type="dxa"/>
            <w:noWrap w:val="0"/>
            <w:vAlign w:val="center"/>
          </w:tcPr>
          <w:p>
            <w:pPr>
              <w:adjustRightInd w:val="0"/>
              <w:snapToGrid w:val="0"/>
              <w:jc w:val="center"/>
              <w:rPr>
                <w:rFonts w:ascii="Times New Roman" w:hAnsi="Times New Roman"/>
                <w:color w:val="auto"/>
                <w:highlight w:val="none"/>
              </w:rPr>
            </w:pPr>
            <w:r>
              <w:rPr>
                <w:rFonts w:ascii="Times New Roman" w:hAnsi="Times New Roman" w:cs="Times New Roman"/>
                <w:b/>
                <w:bCs/>
                <w:color w:val="auto"/>
                <w:highlight w:val="none"/>
              </w:rPr>
              <w:t>项目审批文号</w:t>
            </w:r>
          </w:p>
        </w:tc>
        <w:tc>
          <w:tcPr>
            <w:tcW w:w="2639" w:type="dxa"/>
            <w:noWrap w:val="0"/>
            <w:vAlign w:val="center"/>
          </w:tcPr>
          <w:p>
            <w:pPr>
              <w:adjustRightInd w:val="0"/>
              <w:snapToGrid w:val="0"/>
              <w:jc w:val="center"/>
              <w:rPr>
                <w:rFonts w:ascii="Times New Roman" w:hAnsi="Times New Roman"/>
                <w:color w:val="auto"/>
                <w:highlight w:val="none"/>
              </w:rPr>
            </w:pPr>
            <w:r>
              <w:rPr>
                <w:rFonts w:ascii="Times New Roman" w:hAnsi="Times New Roman" w:cs="Times New Roman"/>
                <w:color w:val="auto"/>
                <w:highlight w:val="none"/>
              </w:rPr>
              <w:t>/</w:t>
            </w:r>
          </w:p>
        </w:tc>
      </w:tr>
      <w:tr>
        <w:tblPrEx>
          <w:tblW w:w="8870" w:type="dxa"/>
          <w:jc w:val="center"/>
          <w:tblLayout w:type="fixed"/>
          <w:tblCellMar>
            <w:top w:w="0" w:type="dxa"/>
            <w:left w:w="0" w:type="dxa"/>
            <w:bottom w:w="0" w:type="dxa"/>
            <w:right w:w="0" w:type="dxa"/>
          </w:tblCellMar>
        </w:tblPrEx>
        <w:trPr>
          <w:trHeight w:val="497"/>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总投资（万元）</w:t>
            </w:r>
          </w:p>
        </w:tc>
        <w:tc>
          <w:tcPr>
            <w:tcW w:w="2070" w:type="dxa"/>
            <w:noWrap w:val="0"/>
            <w:vAlign w:val="center"/>
          </w:tcPr>
          <w:p>
            <w:pPr>
              <w:adjustRightInd w:val="0"/>
              <w:snapToGrid w:val="0"/>
              <w:jc w:val="center"/>
              <w:rPr>
                <w:rFonts w:ascii="Times New Roman" w:hAnsi="Times New Roman" w:hint="default"/>
                <w:color w:val="auto"/>
                <w:highlight w:val="none"/>
              </w:rPr>
            </w:pPr>
            <w:r>
              <w:rPr>
                <w:rFonts w:ascii="Times New Roman" w:hAnsi="Times New Roman" w:cs="Times New Roman" w:hint="eastAsia"/>
                <w:color w:val="auto"/>
                <w:highlight w:val="none"/>
                <w:lang w:val="en-US" w:eastAsia="zh-CN"/>
              </w:rPr>
              <w:t>5000</w:t>
            </w:r>
          </w:p>
        </w:tc>
        <w:tc>
          <w:tcPr>
            <w:tcW w:w="1779" w:type="dxa"/>
            <w:noWrap w:val="0"/>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环保投资（万元）</w:t>
            </w:r>
          </w:p>
        </w:tc>
        <w:tc>
          <w:tcPr>
            <w:tcW w:w="2639" w:type="dxa"/>
            <w:noWrap w:val="0"/>
            <w:vAlign w:val="center"/>
          </w:tcPr>
          <w:p>
            <w:pPr>
              <w:adjustRightInd w:val="0"/>
              <w:snapToGrid w:val="0"/>
              <w:jc w:val="center"/>
              <w:rPr>
                <w:rFonts w:ascii="Times New Roman" w:hAnsi="Times New Roman"/>
                <w:color w:val="auto"/>
                <w:highlight w:val="none"/>
              </w:rPr>
            </w:pPr>
            <w:r>
              <w:rPr>
                <w:rFonts w:ascii="Times New Roman" w:hAnsi="Times New Roman" w:cs="Times New Roman" w:hint="eastAsia"/>
                <w:color w:val="auto"/>
                <w:highlight w:val="none"/>
                <w:lang w:val="en-US" w:eastAsia="zh-CN"/>
              </w:rPr>
              <w:t>8</w:t>
            </w:r>
            <w:r>
              <w:rPr>
                <w:rFonts w:ascii="Times New Roman" w:hAnsi="Times New Roman" w:cs="Times New Roman"/>
                <w:color w:val="auto"/>
                <w:highlight w:val="none"/>
              </w:rPr>
              <w:t>0</w:t>
            </w:r>
          </w:p>
        </w:tc>
      </w:tr>
      <w:tr>
        <w:tblPrEx>
          <w:tblW w:w="8870" w:type="dxa"/>
          <w:jc w:val="center"/>
          <w:tblLayout w:type="fixed"/>
          <w:tblCellMar>
            <w:top w:w="0" w:type="dxa"/>
            <w:left w:w="0" w:type="dxa"/>
            <w:bottom w:w="0" w:type="dxa"/>
            <w:right w:w="0" w:type="dxa"/>
          </w:tblCellMar>
        </w:tblPrEx>
        <w:trPr>
          <w:trHeight w:val="497"/>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环保投资占比（%）</w:t>
            </w:r>
          </w:p>
        </w:tc>
        <w:tc>
          <w:tcPr>
            <w:tcW w:w="2070" w:type="dxa"/>
            <w:noWrap w:val="0"/>
            <w:vAlign w:val="center"/>
          </w:tcPr>
          <w:p>
            <w:pPr>
              <w:adjustRightInd w:val="0"/>
              <w:snapToGrid w:val="0"/>
              <w:jc w:val="center"/>
              <w:rPr>
                <w:rFonts w:ascii="Times New Roman" w:hAnsi="Times New Roman"/>
                <w:color w:val="auto"/>
                <w:highlight w:val="none"/>
              </w:rPr>
            </w:pPr>
            <w:r>
              <w:rPr>
                <w:rFonts w:ascii="Times New Roman" w:hAnsi="Times New Roman" w:cs="Times New Roman" w:hint="eastAsia"/>
                <w:color w:val="auto"/>
                <w:highlight w:val="none"/>
                <w:lang w:val="en-US" w:eastAsia="zh-CN"/>
              </w:rPr>
              <w:t>1.6</w:t>
            </w:r>
            <w:r>
              <w:rPr>
                <w:rFonts w:ascii="Times New Roman" w:hAnsi="Times New Roman" w:cs="Times New Roman"/>
                <w:color w:val="auto"/>
                <w:highlight w:val="none"/>
              </w:rPr>
              <w:t>%</w:t>
            </w:r>
          </w:p>
        </w:tc>
        <w:tc>
          <w:tcPr>
            <w:tcW w:w="1779" w:type="dxa"/>
            <w:noWrap w:val="0"/>
            <w:tcMar>
              <w:top w:w="16" w:type="dxa"/>
              <w:left w:w="16" w:type="dxa"/>
              <w:right w:w="16" w:type="dxa"/>
            </w:tcMar>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施工工期</w:t>
            </w:r>
          </w:p>
        </w:tc>
        <w:tc>
          <w:tcPr>
            <w:tcW w:w="2639" w:type="dxa"/>
            <w:noWrap w:val="0"/>
            <w:vAlign w:val="center"/>
          </w:tcPr>
          <w:p>
            <w:pPr>
              <w:adjustRightInd w:val="0"/>
              <w:snapToGrid w:val="0"/>
              <w:jc w:val="center"/>
              <w:rPr>
                <w:rFonts w:ascii="Times New Roman" w:hAnsi="Times New Roman" w:hint="default"/>
                <w:color w:val="auto"/>
                <w:highlight w:val="none"/>
              </w:rPr>
            </w:pPr>
            <w:r>
              <w:rPr>
                <w:rFonts w:ascii="Times New Roman" w:hAnsi="Times New Roman" w:cs="Times New Roman" w:hint="eastAsia"/>
                <w:color w:val="auto"/>
                <w:highlight w:val="none"/>
                <w:lang w:val="en-US" w:eastAsia="zh-CN"/>
              </w:rPr>
              <w:t>2023.10-2023.12</w:t>
            </w:r>
          </w:p>
        </w:tc>
      </w:tr>
      <w:tr>
        <w:tblPrEx>
          <w:tblW w:w="8870" w:type="dxa"/>
          <w:jc w:val="center"/>
          <w:tblLayout w:type="fixed"/>
          <w:tblCellMar>
            <w:top w:w="0" w:type="dxa"/>
            <w:left w:w="0" w:type="dxa"/>
            <w:bottom w:w="0" w:type="dxa"/>
            <w:right w:w="0" w:type="dxa"/>
          </w:tblCellMar>
        </w:tblPrEx>
        <w:trPr>
          <w:trHeight w:val="497"/>
          <w:jc w:val="center"/>
        </w:trPr>
        <w:tc>
          <w:tcPr>
            <w:tcW w:w="2382" w:type="dxa"/>
            <w:noWrap w:val="0"/>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ascii="Times New Roman" w:hAnsi="Times New Roman" w:cs="Times New Roman"/>
                <w:b/>
                <w:bCs/>
                <w:color w:val="auto"/>
                <w:highlight w:val="none"/>
              </w:rPr>
              <w:t>是否开工建设</w:t>
            </w:r>
          </w:p>
        </w:tc>
        <w:tc>
          <w:tcPr>
            <w:tcW w:w="2070" w:type="dxa"/>
            <w:noWrap w:val="0"/>
            <w:vAlign w:val="center"/>
          </w:tcPr>
          <w:p>
            <w:pPr>
              <w:adjustRightInd w:val="0"/>
              <w:snapToGrid w:val="0"/>
              <w:rPr>
                <w:rFonts w:ascii="Times New Roman" w:hAnsi="Times New Roman"/>
                <w:color w:val="auto"/>
                <w:highlight w:val="none"/>
              </w:rPr>
            </w:pPr>
            <w:r>
              <w:rPr>
                <w:rFonts w:ascii="Wingdings 2" w:hAnsi="Wingdings 2" w:cs="Times New Roman"/>
                <w:color w:val="auto"/>
                <w:highlight w:val="none"/>
              </w:rPr>
              <w:sym w:font="Wingdings 2" w:char="F052"/>
            </w:r>
            <w:r>
              <w:rPr>
                <w:rFonts w:ascii="Times New Roman" w:hAnsi="Times New Roman" w:cs="Times New Roman"/>
                <w:color w:val="auto"/>
                <w:highlight w:val="none"/>
              </w:rPr>
              <w:t>否</w:t>
            </w:r>
          </w:p>
          <w:p>
            <w:pPr>
              <w:adjustRightInd w:val="0"/>
              <w:snapToGrid w:val="0"/>
              <w:rPr>
                <w:rFonts w:ascii="Times New Roman" w:hAnsi="Times New Roman"/>
                <w:color w:val="auto"/>
                <w:highlight w:val="none"/>
              </w:rPr>
            </w:pPr>
            <w:r>
              <w:rPr>
                <w:rFonts w:ascii="Wingdings 2" w:hAnsi="Wingdings 2" w:cs="Times New Roman"/>
                <w:color w:val="auto"/>
                <w:highlight w:val="none"/>
              </w:rPr>
              <w:sym w:font="Wingdings 2" w:char="F0A3"/>
            </w:r>
            <w:r>
              <w:rPr>
                <w:rFonts w:ascii="Times New Roman" w:hAnsi="Times New Roman" w:cs="Times New Roman"/>
                <w:color w:val="auto"/>
                <w:highlight w:val="none"/>
              </w:rPr>
              <w:t>是：</w:t>
            </w:r>
            <w:r>
              <w:rPr>
                <w:rFonts w:ascii="Times New Roman" w:hAnsi="Times New Roman" w:cs="Times New Roman"/>
                <w:color w:val="auto"/>
                <w:highlight w:val="none"/>
                <w:u w:val="single"/>
              </w:rPr>
              <w:t xml:space="preserve"> </w:t>
            </w:r>
            <w:r>
              <w:rPr>
                <w:rFonts w:ascii="Times New Roman" w:hAnsi="Times New Roman" w:cs="Times New Roman" w:hint="eastAsia"/>
                <w:color w:val="auto"/>
                <w:highlight w:val="none"/>
                <w:u w:val="single"/>
                <w:lang w:val="en-US" w:eastAsia="zh-CN"/>
              </w:rPr>
              <w:t xml:space="preserve">       </w:t>
            </w:r>
            <w:r>
              <w:rPr>
                <w:rFonts w:ascii="Times New Roman" w:hAnsi="Times New Roman" w:cs="Times New Roman"/>
                <w:color w:val="auto"/>
                <w:highlight w:val="none"/>
                <w:u w:val="single"/>
              </w:rPr>
              <w:t xml:space="preserve"> </w:t>
            </w:r>
          </w:p>
        </w:tc>
        <w:tc>
          <w:tcPr>
            <w:tcW w:w="1779" w:type="dxa"/>
            <w:noWrap w:val="0"/>
            <w:tcMar>
              <w:top w:w="16" w:type="dxa"/>
              <w:left w:w="16" w:type="dxa"/>
              <w:right w:w="16" w:type="dxa"/>
            </w:tcMar>
            <w:vAlign w:val="center"/>
          </w:tcPr>
          <w:p>
            <w:pPr>
              <w:adjustRightInd w:val="0"/>
              <w:snapToGrid w:val="0"/>
              <w:jc w:val="center"/>
              <w:rPr>
                <w:rFonts w:ascii="Times New Roman" w:hAnsi="Times New Roman"/>
                <w:color w:val="auto"/>
                <w:highlight w:val="none"/>
              </w:rPr>
            </w:pPr>
            <w:r>
              <w:rPr>
                <w:rFonts w:ascii="Times New Roman" w:hAnsi="Times New Roman" w:cs="Times New Roman"/>
                <w:b/>
                <w:bCs/>
                <w:color w:val="auto"/>
                <w:spacing w:val="-6"/>
                <w:highlight w:val="none"/>
              </w:rPr>
              <w:t>用地面积（m</w:t>
            </w:r>
            <w:r>
              <w:rPr>
                <w:rFonts w:ascii="Times New Roman" w:hAnsi="Times New Roman" w:cs="Times New Roman"/>
                <w:b/>
                <w:bCs/>
                <w:color w:val="auto"/>
                <w:spacing w:val="-6"/>
                <w:highlight w:val="none"/>
                <w:vertAlign w:val="superscript"/>
              </w:rPr>
              <w:t>2</w:t>
            </w:r>
            <w:r>
              <w:rPr>
                <w:rFonts w:ascii="Times New Roman" w:hAnsi="Times New Roman" w:cs="Times New Roman"/>
                <w:b/>
                <w:bCs/>
                <w:color w:val="auto"/>
                <w:spacing w:val="-6"/>
                <w:highlight w:val="none"/>
              </w:rPr>
              <w:t>）</w:t>
            </w:r>
          </w:p>
        </w:tc>
        <w:tc>
          <w:tcPr>
            <w:tcW w:w="2639" w:type="dxa"/>
            <w:noWrap w:val="0"/>
            <w:vAlign w:val="center"/>
          </w:tcPr>
          <w:p>
            <w:pPr>
              <w:adjustRightInd w:val="0"/>
              <w:snapToGrid w:val="0"/>
              <w:jc w:val="center"/>
              <w:rPr>
                <w:rFonts w:ascii="Times New Roman" w:hAnsi="Times New Roman" w:hint="default"/>
                <w:color w:val="auto"/>
                <w:highlight w:val="none"/>
              </w:rPr>
            </w:pPr>
            <w:r>
              <w:rPr>
                <w:rFonts w:ascii="Times New Roman" w:hAnsi="Times New Roman" w:cs="Times New Roman" w:hint="eastAsia"/>
                <w:color w:val="auto"/>
                <w:highlight w:val="none"/>
                <w:lang w:val="en-US" w:eastAsia="zh-CN"/>
              </w:rPr>
              <w:t>13322</w:t>
            </w:r>
          </w:p>
        </w:tc>
      </w:tr>
      <w:tr>
        <w:tblPrEx>
          <w:tblW w:w="8870" w:type="dxa"/>
          <w:jc w:val="center"/>
          <w:tblLayout w:type="fixed"/>
          <w:tblCellMar>
            <w:top w:w="0" w:type="dxa"/>
            <w:left w:w="108" w:type="dxa"/>
            <w:bottom w:w="0" w:type="dxa"/>
            <w:right w:w="108" w:type="dxa"/>
          </w:tblCellMar>
        </w:tblPrEx>
        <w:trPr>
          <w:trHeight w:val="819"/>
          <w:jc w:val="center"/>
        </w:trPr>
        <w:tc>
          <w:tcPr>
            <w:tcW w:w="2382" w:type="dxa"/>
            <w:noWrap w:val="0"/>
            <w:vAlign w:val="center"/>
          </w:tcPr>
          <w:p>
            <w:pPr>
              <w:autoSpaceDE w:val="0"/>
              <w:autoSpaceDN w:val="0"/>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专项评价设置情况</w:t>
            </w:r>
          </w:p>
        </w:tc>
        <w:tc>
          <w:tcPr>
            <w:tcW w:w="6488" w:type="dxa"/>
            <w:gridSpan w:val="3"/>
            <w:noWrap w:val="0"/>
            <w:vAlign w:val="center"/>
          </w:tcPr>
          <w:p>
            <w:pPr>
              <w:autoSpaceDE w:val="0"/>
              <w:autoSpaceDN w:val="0"/>
              <w:adjustRightInd w:val="0"/>
              <w:snapToGrid w:val="0"/>
              <w:jc w:val="center"/>
              <w:rPr>
                <w:rFonts w:ascii="Times New Roman" w:hAnsi="Times New Roman"/>
                <w:color w:val="auto"/>
                <w:highlight w:val="none"/>
              </w:rPr>
            </w:pPr>
            <w:r>
              <w:rPr>
                <w:rFonts w:ascii="Times New Roman" w:hAnsi="Times New Roman" w:cs="Times New Roman"/>
                <w:color w:val="auto"/>
                <w:highlight w:val="none"/>
              </w:rPr>
              <w:t>无</w:t>
            </w:r>
          </w:p>
        </w:tc>
      </w:tr>
      <w:tr>
        <w:tblPrEx>
          <w:tblW w:w="8870" w:type="dxa"/>
          <w:jc w:val="center"/>
          <w:tblLayout w:type="fixed"/>
          <w:tblCellMar>
            <w:top w:w="0" w:type="dxa"/>
            <w:left w:w="108" w:type="dxa"/>
            <w:bottom w:w="0" w:type="dxa"/>
            <w:right w:w="108" w:type="dxa"/>
          </w:tblCellMar>
        </w:tblPrEx>
        <w:trPr>
          <w:trHeight w:val="1561"/>
          <w:jc w:val="center"/>
        </w:trPr>
        <w:tc>
          <w:tcPr>
            <w:tcW w:w="2382" w:type="dxa"/>
            <w:noWrap w:val="0"/>
            <w:vAlign w:val="center"/>
          </w:tcPr>
          <w:p>
            <w:pPr>
              <w:autoSpaceDE w:val="0"/>
              <w:autoSpaceDN w:val="0"/>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规划情况</w:t>
            </w:r>
          </w:p>
        </w:tc>
        <w:tc>
          <w:tcPr>
            <w:tcW w:w="6488" w:type="dxa"/>
            <w:gridSpan w:val="3"/>
            <w:noWrap w:val="0"/>
            <w:vAlign w:val="center"/>
          </w:tcPr>
          <w:p>
            <w:pPr>
              <w:autoSpaceDE w:val="0"/>
              <w:autoSpaceDN w:val="0"/>
              <w:adjustRightInd w:val="0"/>
              <w:snapToGrid w:val="0"/>
              <w:rPr>
                <w:rFonts w:ascii="Times New Roman" w:hAnsi="Times New Roman"/>
                <w:color w:val="auto"/>
                <w:highlight w:val="none"/>
              </w:rPr>
            </w:pPr>
            <w:r>
              <w:rPr>
                <w:rFonts w:ascii="Times New Roman" w:hAnsi="Times New Roman" w:cs="Times New Roman"/>
                <w:color w:val="auto"/>
                <w:highlight w:val="none"/>
              </w:rPr>
              <w:t>规划名称：</w:t>
            </w:r>
            <w:r>
              <w:rPr>
                <w:rFonts w:hAnsi="宋体"/>
                <w:color w:val="auto"/>
                <w:kern w:val="0"/>
                <w:szCs w:val="21"/>
                <w:highlight w:val="none"/>
              </w:rPr>
              <w:t>《</w:t>
            </w:r>
            <w:r>
              <w:rPr>
                <w:color w:val="auto"/>
                <w:spacing w:val="-4"/>
                <w:kern w:val="0"/>
                <w:szCs w:val="24"/>
                <w:highlight w:val="none"/>
              </w:rPr>
              <w:t>富阎产业合作园区控制性详细规划</w:t>
            </w:r>
            <w:r>
              <w:rPr>
                <w:rFonts w:ascii="Times New Roman" w:eastAsia="宋体" w:hAnsi="Times New Roman" w:cs="Times New Roman" w:hint="eastAsia"/>
                <w:color w:val="auto"/>
                <w:highlight w:val="none"/>
                <w:lang w:val="en-US" w:eastAsia="zh-CN"/>
              </w:rPr>
              <w:t>(20</w:t>
            </w:r>
            <w:r>
              <w:rPr>
                <w:rFonts w:ascii="Times New Roman" w:hAnsi="Times New Roman" w:cs="Times New Roman" w:hint="eastAsia"/>
                <w:color w:val="auto"/>
                <w:highlight w:val="none"/>
                <w:lang w:val="en-US" w:eastAsia="zh-CN"/>
              </w:rPr>
              <w:t>2</w:t>
            </w:r>
            <w:r>
              <w:rPr>
                <w:rFonts w:ascii="Times New Roman" w:eastAsia="宋体" w:hAnsi="Times New Roman" w:cs="Times New Roman" w:hint="eastAsia"/>
                <w:color w:val="auto"/>
                <w:highlight w:val="none"/>
                <w:lang w:val="en-US" w:eastAsia="zh-CN"/>
              </w:rPr>
              <w:t>0-203</w:t>
            </w:r>
            <w:r>
              <w:rPr>
                <w:rFonts w:ascii="Times New Roman" w:hAnsi="Times New Roman" w:cs="Times New Roman" w:hint="eastAsia"/>
                <w:color w:val="auto"/>
                <w:highlight w:val="none"/>
                <w:lang w:val="en-US" w:eastAsia="zh-CN"/>
              </w:rPr>
              <w:t>5</w:t>
            </w:r>
            <w:r>
              <w:rPr>
                <w:rFonts w:ascii="Times New Roman" w:eastAsia="宋体" w:hAnsi="Times New Roman" w:cs="Times New Roman" w:hint="eastAsia"/>
                <w:color w:val="auto"/>
                <w:highlight w:val="none"/>
                <w:lang w:val="en-US" w:eastAsia="zh-CN"/>
              </w:rPr>
              <w:t>)》</w:t>
            </w:r>
          </w:p>
          <w:p>
            <w:pPr>
              <w:autoSpaceDE w:val="0"/>
              <w:autoSpaceDN w:val="0"/>
              <w:adjustRightInd w:val="0"/>
              <w:snapToGrid w:val="0"/>
              <w:rPr>
                <w:rFonts w:ascii="Times New Roman" w:hAnsi="Times New Roman" w:hint="eastAsia"/>
                <w:color w:val="auto"/>
                <w:highlight w:val="none"/>
              </w:rPr>
            </w:pPr>
            <w:r>
              <w:rPr>
                <w:rFonts w:ascii="Times New Roman" w:hAnsi="Times New Roman" w:cs="Times New Roman" w:hint="eastAsia"/>
                <w:color w:val="auto"/>
                <w:highlight w:val="none"/>
                <w:lang w:val="en-US" w:eastAsia="zh-CN"/>
              </w:rPr>
              <w:t>审批机关</w:t>
            </w:r>
            <w:r>
              <w:rPr>
                <w:rFonts w:ascii="Times New Roman" w:hAnsi="Times New Roman" w:cs="Times New Roman"/>
                <w:color w:val="auto"/>
                <w:highlight w:val="none"/>
              </w:rPr>
              <w:t>：</w:t>
            </w:r>
            <w:r>
              <w:rPr>
                <w:rFonts w:ascii="Times New Roman" w:hAnsi="Times New Roman" w:cs="Times New Roman" w:hint="eastAsia"/>
                <w:color w:val="auto"/>
                <w:highlight w:val="none"/>
                <w:lang w:val="en-US" w:eastAsia="zh-CN"/>
              </w:rPr>
              <w:t>/</w:t>
            </w:r>
          </w:p>
        </w:tc>
      </w:tr>
    </w:tbl>
    <w:p>
      <w:pPr>
        <w:sectPr>
          <w:footerReference w:type="default" r:id="rId5"/>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1"/>
          <w:cols w:num="1" w:space="72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0"/>
        <w:gridCol w:w="1712"/>
        <w:gridCol w:w="6488"/>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856"/>
          <w:jc w:val="center"/>
        </w:trPr>
        <w:tc>
          <w:tcPr>
            <w:tcW w:w="2382" w:type="dxa"/>
            <w:gridSpan w:val="2"/>
            <w:noWrap w:val="0"/>
            <w:vAlign w:val="center"/>
          </w:tcPr>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规划环境影响</w:t>
            </w:r>
          </w:p>
          <w:p>
            <w:pPr>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评价情况</w:t>
            </w:r>
          </w:p>
        </w:tc>
        <w:tc>
          <w:tcPr>
            <w:tcW w:w="6488" w:type="dxa"/>
            <w:noWrap w:val="0"/>
            <w:vAlign w:val="center"/>
          </w:tcPr>
          <w:p>
            <w:pPr>
              <w:autoSpaceDE w:val="0"/>
              <w:autoSpaceDN w:val="0"/>
              <w:adjustRightInd w:val="0"/>
              <w:snapToGrid w:val="0"/>
              <w:rPr>
                <w:rFonts w:ascii="Times New Roman" w:hAnsi="Times New Roman" w:hint="default"/>
                <w:color w:val="auto"/>
                <w:highlight w:val="none"/>
              </w:rPr>
            </w:pPr>
            <w:r>
              <w:rPr>
                <w:rFonts w:ascii="Times New Roman" w:eastAsia="宋体" w:hAnsi="Times New Roman" w:cs="Times New Roman" w:hint="eastAsia"/>
                <w:color w:val="auto"/>
                <w:highlight w:val="none"/>
                <w:lang w:val="en-US" w:eastAsia="zh-CN"/>
              </w:rPr>
              <w:t>规划环评</w:t>
            </w:r>
            <w:r>
              <w:rPr>
                <w:rFonts w:ascii="Times New Roman" w:eastAsia="宋体" w:hAnsi="Times New Roman" w:cs="Times New Roman" w:hint="default"/>
                <w:color w:val="auto"/>
                <w:highlight w:val="none"/>
                <w:lang w:val="en-US" w:eastAsia="zh-CN"/>
              </w:rPr>
              <w:t>：</w:t>
            </w:r>
            <w:r>
              <w:rPr>
                <w:rFonts w:ascii="Times New Roman" w:eastAsia="宋体" w:hAnsi="Times New Roman" w:cs="Times New Roman" w:hint="eastAsia"/>
                <w:color w:val="auto"/>
                <w:highlight w:val="none"/>
                <w:lang w:val="en-US" w:eastAsia="zh-CN"/>
              </w:rPr>
              <w:t>《富平高新技术产业开发区规划环境影响报告书》</w:t>
            </w:r>
          </w:p>
          <w:p>
            <w:pPr>
              <w:autoSpaceDE w:val="0"/>
              <w:autoSpaceDN w:val="0"/>
              <w:adjustRightInd w:val="0"/>
              <w:snapToGrid w:val="0"/>
              <w:rPr>
                <w:rFonts w:ascii="Times New Roman" w:hAnsi="Times New Roman" w:hint="default"/>
                <w:color w:val="auto"/>
                <w:highlight w:val="none"/>
              </w:rPr>
            </w:pPr>
            <w:r>
              <w:rPr>
                <w:rFonts w:ascii="Times New Roman" w:eastAsia="宋体" w:hAnsi="Times New Roman" w:cs="Times New Roman" w:hint="eastAsia"/>
                <w:color w:val="auto"/>
                <w:highlight w:val="none"/>
                <w:lang w:val="en-US" w:eastAsia="zh-CN"/>
              </w:rPr>
              <w:t>召集</w:t>
            </w:r>
            <w:r>
              <w:rPr>
                <w:rFonts w:ascii="Times New Roman" w:eastAsia="宋体" w:hAnsi="Times New Roman" w:cs="Times New Roman" w:hint="default"/>
                <w:color w:val="auto"/>
                <w:highlight w:val="none"/>
                <w:lang w:val="en-US" w:eastAsia="zh-CN"/>
              </w:rPr>
              <w:t>审查机关：</w:t>
            </w:r>
            <w:r>
              <w:rPr>
                <w:rFonts w:ascii="Times New Roman" w:eastAsia="宋体" w:hAnsi="Times New Roman" w:cs="Times New Roman" w:hint="eastAsia"/>
                <w:color w:val="auto"/>
                <w:highlight w:val="none"/>
                <w:lang w:val="en-US" w:eastAsia="zh-CN"/>
              </w:rPr>
              <w:t>原陕西省环境保护厅</w:t>
            </w:r>
          </w:p>
          <w:p>
            <w:pPr>
              <w:autoSpaceDE w:val="0"/>
              <w:autoSpaceDN w:val="0"/>
              <w:adjustRightInd w:val="0"/>
              <w:snapToGrid w:val="0"/>
              <w:rPr>
                <w:rFonts w:ascii="Times New Roman" w:hAnsi="Times New Roman"/>
                <w:color w:val="auto"/>
                <w:highlight w:val="none"/>
              </w:rPr>
            </w:pPr>
            <w:r>
              <w:rPr>
                <w:rFonts w:ascii="Times New Roman" w:eastAsia="宋体" w:hAnsi="Times New Roman" w:cs="Times New Roman" w:hint="eastAsia"/>
                <w:color w:val="auto"/>
                <w:highlight w:val="none"/>
                <w:lang w:val="en-US" w:eastAsia="zh-CN"/>
              </w:rPr>
              <w:t>审查</w:t>
            </w:r>
            <w:r>
              <w:rPr>
                <w:rFonts w:ascii="Times New Roman" w:eastAsia="宋体" w:hAnsi="Times New Roman" w:cs="Times New Roman" w:hint="default"/>
                <w:color w:val="auto"/>
                <w:highlight w:val="none"/>
                <w:lang w:val="en-US" w:eastAsia="zh-CN"/>
              </w:rPr>
              <w:t>文件名称及</w:t>
            </w:r>
            <w:r>
              <w:rPr>
                <w:rFonts w:ascii="Times New Roman" w:eastAsia="宋体" w:hAnsi="Times New Roman" w:cs="Times New Roman" w:hint="eastAsia"/>
                <w:color w:val="auto"/>
                <w:highlight w:val="none"/>
                <w:lang w:val="en-US" w:eastAsia="zh-CN"/>
              </w:rPr>
              <w:t>文号</w:t>
            </w:r>
            <w:r>
              <w:rPr>
                <w:rFonts w:ascii="Times New Roman" w:eastAsia="宋体" w:hAnsi="Times New Roman" w:cs="Times New Roman" w:hint="default"/>
                <w:color w:val="auto"/>
                <w:highlight w:val="none"/>
                <w:lang w:val="en-US" w:eastAsia="zh-CN"/>
              </w:rPr>
              <w:t>：</w:t>
            </w:r>
            <w:r>
              <w:rPr>
                <w:rFonts w:ascii="Times New Roman" w:eastAsia="宋体" w:hAnsi="Times New Roman" w:cs="Times New Roman" w:hint="eastAsia"/>
                <w:color w:val="auto"/>
                <w:highlight w:val="none"/>
                <w:lang w:val="en-US" w:eastAsia="zh-CN"/>
              </w:rPr>
              <w:t>陕西省环境保护厅《关于富平高新技术产业开发区规划环境影响报告书审查意见的函》(陕环函〔2016〕741号)</w:t>
            </w:r>
          </w:p>
        </w:tc>
      </w:tr>
      <w:tr>
        <w:tblPrEx>
          <w:tblW w:w="8870" w:type="dxa"/>
          <w:jc w:val="center"/>
          <w:tblLayout w:type="fixed"/>
          <w:tblCellMar>
            <w:top w:w="0" w:type="dxa"/>
            <w:left w:w="108" w:type="dxa"/>
            <w:bottom w:w="0" w:type="dxa"/>
            <w:right w:w="108" w:type="dxa"/>
          </w:tblCellMar>
        </w:tblPrEx>
        <w:trPr>
          <w:trHeight w:val="687"/>
          <w:jc w:val="center"/>
        </w:trPr>
        <w:tc>
          <w:tcPr>
            <w:tcW w:w="670" w:type="dxa"/>
            <w:noWrap w:val="0"/>
            <w:vAlign w:val="center"/>
          </w:tcPr>
          <w:p>
            <w:pPr>
              <w:autoSpaceDE w:val="0"/>
              <w:autoSpaceDN w:val="0"/>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规划及规划环境影响评价符合性分析</w:t>
            </w:r>
          </w:p>
        </w:tc>
        <w:tc>
          <w:tcPr>
            <w:tcW w:w="8200" w:type="dxa"/>
            <w:gridSpan w:val="2"/>
            <w:noWrap w:val="0"/>
            <w:vAlign w:val="center"/>
          </w:tcPr>
          <w:p>
            <w:pPr>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rPr>
              <w:t>本项目与规划及规划环境影响评价符合性分析符合性分析见下表。</w:t>
            </w:r>
          </w:p>
          <w:p>
            <w:pPr>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表1-1  项目规划及规划环境影响评价符合性分析</w:t>
            </w:r>
          </w:p>
          <w:tbl>
            <w:tblPr>
              <w:tblStyle w:val="TableNormal"/>
              <w:tblW w:w="7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91"/>
              <w:gridCol w:w="883"/>
              <w:gridCol w:w="3452"/>
              <w:gridCol w:w="2464"/>
              <w:gridCol w:w="647"/>
            </w:tblGrid>
            <w:tr>
              <w:tblPrEx>
                <w:tblW w:w="7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491" w:type="dxa"/>
                  <w:tcBorders>
                    <w:bottom w:val="single" w:sz="4" w:space="0" w:color="auto"/>
                  </w:tcBorders>
                  <w:noWrap w:val="0"/>
                  <w:tcMar>
                    <w:top w:w="0" w:type="dxa"/>
                    <w:left w:w="0" w:type="dxa"/>
                    <w:bottom w:w="0" w:type="dxa"/>
                    <w:right w:w="0" w:type="dxa"/>
                  </w:tcMar>
                  <w:vAlign w:val="center"/>
                </w:tcPr>
                <w:p>
                  <w:pPr>
                    <w:adjustRightInd w:val="0"/>
                    <w:snapToGrid w:val="0"/>
                    <w:spacing w:before="120" w:beforeLines="50" w:after="120" w:afterLines="50"/>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序号</w:t>
                  </w:r>
                </w:p>
              </w:tc>
              <w:tc>
                <w:tcPr>
                  <w:tcW w:w="883" w:type="dxa"/>
                  <w:tcBorders>
                    <w:bottom w:val="single" w:sz="4" w:space="0" w:color="auto"/>
                  </w:tcBorders>
                  <w:noWrap w:val="0"/>
                  <w:vAlign w:val="center"/>
                </w:tcPr>
                <w:p>
                  <w:pPr>
                    <w:adjustRightInd w:val="0"/>
                    <w:snapToGrid w:val="0"/>
                    <w:spacing w:before="120" w:beforeLines="50" w:after="120" w:afterLines="50"/>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相关规划</w:t>
                  </w:r>
                </w:p>
              </w:tc>
              <w:tc>
                <w:tcPr>
                  <w:tcW w:w="3452" w:type="dxa"/>
                  <w:tcBorders>
                    <w:bottom w:val="single" w:sz="4" w:space="0" w:color="auto"/>
                  </w:tcBorders>
                  <w:noWrap w:val="0"/>
                  <w:vAlign w:val="center"/>
                </w:tcPr>
                <w:p>
                  <w:pPr>
                    <w:adjustRightInd w:val="0"/>
                    <w:snapToGrid w:val="0"/>
                    <w:spacing w:before="120" w:beforeLines="50" w:after="120" w:afterLines="50"/>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规划内容</w:t>
                  </w:r>
                </w:p>
              </w:tc>
              <w:tc>
                <w:tcPr>
                  <w:tcW w:w="2464" w:type="dxa"/>
                  <w:tcBorders>
                    <w:bottom w:val="single" w:sz="4" w:space="0" w:color="auto"/>
                  </w:tcBorders>
                  <w:noWrap w:val="0"/>
                  <w:vAlign w:val="center"/>
                </w:tcPr>
                <w:p>
                  <w:pPr>
                    <w:adjustRightInd w:val="0"/>
                    <w:snapToGrid w:val="0"/>
                    <w:spacing w:before="120" w:beforeLines="50" w:after="120" w:afterLines="50"/>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项目内容</w:t>
                  </w:r>
                </w:p>
              </w:tc>
              <w:tc>
                <w:tcPr>
                  <w:tcW w:w="647" w:type="dxa"/>
                  <w:tcBorders>
                    <w:bottom w:val="single" w:sz="4" w:space="0" w:color="auto"/>
                  </w:tcBorders>
                  <w:noWrap w:val="0"/>
                  <w:vAlign w:val="center"/>
                </w:tcPr>
                <w:p>
                  <w:pPr>
                    <w:adjustRightInd w:val="0"/>
                    <w:snapToGrid w:val="0"/>
                    <w:spacing w:before="120" w:beforeLines="50" w:after="120" w:afterLines="50"/>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符合性</w:t>
                  </w:r>
                </w:p>
              </w:tc>
            </w:tr>
            <w:tr>
              <w:tblPrEx>
                <w:tblW w:w="7937" w:type="dxa"/>
                <w:jc w:val="center"/>
                <w:tblLayout w:type="fixed"/>
                <w:tblCellMar>
                  <w:top w:w="0" w:type="dxa"/>
                  <w:left w:w="108" w:type="dxa"/>
                  <w:bottom w:w="0" w:type="dxa"/>
                  <w:right w:w="108" w:type="dxa"/>
                </w:tblCellMar>
              </w:tblPrEx>
              <w:trPr>
                <w:trHeight w:val="312"/>
                <w:jc w:val="center"/>
              </w:trPr>
              <w:tc>
                <w:tcPr>
                  <w:tcW w:w="491" w:type="dxa"/>
                  <w:vMerge w:val="restart"/>
                  <w:noWrap w:val="0"/>
                  <w:tcMar>
                    <w:top w:w="0" w:type="dxa"/>
                    <w:left w:w="0" w:type="dxa"/>
                    <w:bottom w:w="0" w:type="dxa"/>
                    <w:right w:w="0" w:type="dxa"/>
                  </w:tcMar>
                  <w:vAlign w:val="center"/>
                </w:tcPr>
                <w:p>
                  <w:pPr>
                    <w:adjustRightInd w:val="0"/>
                    <w:snapToGrid w:val="0"/>
                    <w:spacing w:before="120" w:beforeLines="50" w:after="120" w:afterLines="50"/>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1</w:t>
                  </w:r>
                </w:p>
              </w:tc>
              <w:tc>
                <w:tcPr>
                  <w:tcW w:w="883" w:type="dxa"/>
                  <w:vMerge w:val="restart"/>
                  <w:noWrap w:val="0"/>
                  <w:vAlign w:val="center"/>
                </w:tcPr>
                <w:p>
                  <w:pPr>
                    <w:adjustRightInd w:val="0"/>
                    <w:snapToGrid w:val="0"/>
                    <w:spacing w:before="120" w:beforeLines="50" w:after="120" w:afterLines="50"/>
                    <w:rPr>
                      <w:rFonts w:ascii="Times New Roman" w:hAnsi="Times New Roman" w:hint="default"/>
                      <w:color w:val="auto"/>
                      <w:highlight w:val="none"/>
                    </w:rPr>
                  </w:pPr>
                  <w:r>
                    <w:rPr>
                      <w:rFonts w:hAnsi="宋体"/>
                      <w:color w:val="auto"/>
                      <w:kern w:val="0"/>
                      <w:szCs w:val="21"/>
                      <w:highlight w:val="none"/>
                    </w:rPr>
                    <w:t>《</w:t>
                  </w:r>
                  <w:r>
                    <w:rPr>
                      <w:color w:val="auto"/>
                      <w:spacing w:val="-4"/>
                      <w:kern w:val="0"/>
                      <w:szCs w:val="24"/>
                      <w:highlight w:val="none"/>
                    </w:rPr>
                    <w:t>富阎产业合作园区控制性详细规划</w:t>
                  </w:r>
                  <w:r>
                    <w:rPr>
                      <w:rFonts w:ascii="Times New Roman" w:eastAsia="宋体" w:hAnsi="Times New Roman" w:cs="Times New Roman" w:hint="eastAsia"/>
                      <w:color w:val="auto"/>
                      <w:highlight w:val="none"/>
                      <w:lang w:val="en-US" w:eastAsia="zh-CN"/>
                    </w:rPr>
                    <w:t>(20</w:t>
                  </w:r>
                  <w:r>
                    <w:rPr>
                      <w:rFonts w:ascii="Times New Roman" w:hAnsi="Times New Roman" w:cs="Times New Roman" w:hint="eastAsia"/>
                      <w:color w:val="auto"/>
                      <w:highlight w:val="none"/>
                      <w:lang w:val="en-US" w:eastAsia="zh-CN"/>
                    </w:rPr>
                    <w:t>2</w:t>
                  </w:r>
                  <w:r>
                    <w:rPr>
                      <w:rFonts w:ascii="Times New Roman" w:eastAsia="宋体" w:hAnsi="Times New Roman" w:cs="Times New Roman" w:hint="eastAsia"/>
                      <w:color w:val="auto"/>
                      <w:highlight w:val="none"/>
                      <w:lang w:val="en-US" w:eastAsia="zh-CN"/>
                    </w:rPr>
                    <w:t>0-203</w:t>
                  </w:r>
                  <w:r>
                    <w:rPr>
                      <w:rFonts w:ascii="Times New Roman" w:hAnsi="Times New Roman" w:cs="Times New Roman" w:hint="eastAsia"/>
                      <w:color w:val="auto"/>
                      <w:highlight w:val="none"/>
                      <w:lang w:val="en-US" w:eastAsia="zh-CN"/>
                    </w:rPr>
                    <w:t>5</w:t>
                  </w:r>
                  <w:r>
                    <w:rPr>
                      <w:rFonts w:ascii="Times New Roman" w:eastAsia="宋体" w:hAnsi="Times New Roman" w:cs="Times New Roman" w:hint="eastAsia"/>
                      <w:color w:val="auto"/>
                      <w:highlight w:val="none"/>
                      <w:lang w:val="en-US" w:eastAsia="zh-CN"/>
                    </w:rPr>
                    <w:t>)》</w:t>
                  </w:r>
                </w:p>
              </w:tc>
              <w:tc>
                <w:tcPr>
                  <w:tcW w:w="3452" w:type="dxa"/>
                  <w:noWrap w:val="0"/>
                  <w:vAlign w:val="center"/>
                </w:tcPr>
                <w:p>
                  <w:pPr>
                    <w:adjustRightInd w:val="0"/>
                    <w:snapToGrid w:val="0"/>
                    <w:spacing w:before="120" w:beforeLines="50" w:after="120" w:afterLines="50"/>
                    <w:rPr>
                      <w:rFonts w:ascii="Times New Roman" w:hAnsi="Times New Roman" w:hint="eastAsia"/>
                      <w:color w:val="auto"/>
                      <w:highlight w:val="none"/>
                    </w:rPr>
                  </w:pPr>
                  <w:r>
                    <w:rPr>
                      <w:rFonts w:ascii="Times New Roman" w:eastAsia="宋体" w:hAnsi="Times New Roman" w:cs="Times New Roman" w:hint="default"/>
                      <w:color w:val="auto"/>
                      <w:szCs w:val="21"/>
                      <w:highlight w:val="none"/>
                    </w:rPr>
                    <w:t>范围：</w:t>
                  </w:r>
                  <w:r>
                    <w:rPr>
                      <w:rFonts w:ascii="Times New Roman" w:hAnsi="Times New Roman" w:cs="Times New Roman" w:hint="default"/>
                      <w:color w:val="auto"/>
                      <w:spacing w:val="-4"/>
                      <w:kern w:val="0"/>
                      <w:szCs w:val="24"/>
                      <w:highlight w:val="none"/>
                    </w:rPr>
                    <w:t>北至西禹高速，南至温泉河、石川河两河交汇处，西至石川河，东至规划富平通用机场，规划总用地面积为5813.18hm²（约87198亩）</w:t>
                  </w:r>
                  <w:r>
                    <w:rPr>
                      <w:rFonts w:ascii="Times New Roman" w:hAnsi="Times New Roman" w:cs="Times New Roman" w:hint="eastAsia"/>
                      <w:color w:val="auto"/>
                      <w:szCs w:val="21"/>
                      <w:highlight w:val="none"/>
                      <w:lang w:eastAsia="zh-CN"/>
                    </w:rPr>
                    <w:t>；</w:t>
                  </w:r>
                </w:p>
              </w:tc>
              <w:tc>
                <w:tcPr>
                  <w:tcW w:w="2464" w:type="dxa"/>
                  <w:noWrap w:val="0"/>
                  <w:vAlign w:val="center"/>
                </w:tcPr>
                <w:p>
                  <w:pPr>
                    <w:adjustRightInd w:val="0"/>
                    <w:snapToGrid w:val="0"/>
                    <w:spacing w:before="120" w:beforeLines="50" w:after="120" w:afterLines="50"/>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项目</w:t>
                  </w:r>
                  <w:r>
                    <w:rPr>
                      <w:rFonts w:ascii="Times New Roman" w:hAnsi="Times New Roman" w:cs="Times New Roman" w:hint="eastAsia"/>
                      <w:color w:val="auto"/>
                      <w:szCs w:val="21"/>
                      <w:highlight w:val="none"/>
                      <w:lang w:val="en-US" w:eastAsia="zh-CN"/>
                    </w:rPr>
                    <w:t>位于</w:t>
                  </w:r>
                  <w:r>
                    <w:rPr>
                      <w:rFonts w:ascii="Times New Roman" w:eastAsia="宋体" w:hAnsi="Times New Roman" w:cs="Times New Roman" w:hint="eastAsia"/>
                      <w:color w:val="auto"/>
                      <w:highlight w:val="none"/>
                      <w:lang w:val="en-US" w:eastAsia="zh-CN"/>
                    </w:rPr>
                    <w:t>富阎产业合作园区富辰三路以南、富辰四路以北、金粟大道以西无人机整机生产线项目内</w:t>
                  </w:r>
                  <w:r>
                    <w:rPr>
                      <w:rFonts w:ascii="Times New Roman" w:hAnsi="Times New Roman" w:cs="Times New Roman" w:hint="eastAsia"/>
                      <w:color w:val="auto"/>
                      <w:highlight w:val="none"/>
                      <w:lang w:val="en-US" w:eastAsia="zh-CN"/>
                    </w:rPr>
                    <w:t>，在</w:t>
                  </w:r>
                  <w:r>
                    <w:rPr>
                      <w:rFonts w:hAnsi="宋体"/>
                      <w:color w:val="auto"/>
                      <w:kern w:val="0"/>
                      <w:szCs w:val="21"/>
                      <w:highlight w:val="none"/>
                    </w:rPr>
                    <w:t>富平高新技术产业开发区</w:t>
                  </w:r>
                  <w:r>
                    <w:rPr>
                      <w:rFonts w:hAnsi="宋体" w:hint="eastAsia"/>
                      <w:color w:val="auto"/>
                      <w:kern w:val="0"/>
                      <w:szCs w:val="21"/>
                      <w:highlight w:val="none"/>
                      <w:lang w:val="en-US" w:eastAsia="zh-CN"/>
                    </w:rPr>
                    <w:t>规划范围内</w:t>
                  </w:r>
                </w:p>
              </w:tc>
              <w:tc>
                <w:tcPr>
                  <w:tcW w:w="647" w:type="dxa"/>
                  <w:noWrap w:val="0"/>
                  <w:vAlign w:val="center"/>
                </w:tcPr>
                <w:p>
                  <w:pPr>
                    <w:adjustRightInd w:val="0"/>
                    <w:snapToGrid w:val="0"/>
                    <w:spacing w:before="120" w:beforeLines="50" w:after="120" w:afterLines="50"/>
                    <w:rPr>
                      <w:rFonts w:ascii="Times New Roman" w:hAnsi="Times New Roman" w:hint="eastAsia"/>
                      <w:color w:val="auto"/>
                      <w:highlight w:val="none"/>
                    </w:rPr>
                  </w:pPr>
                  <w:r>
                    <w:rPr>
                      <w:rFonts w:ascii="Times New Roman" w:eastAsia="宋体" w:hAnsi="Times New Roman" w:cs="Times New Roman" w:hint="eastAsia"/>
                      <w:color w:val="auto"/>
                      <w:szCs w:val="21"/>
                      <w:highlight w:val="none"/>
                    </w:rPr>
                    <w:t>符合</w:t>
                  </w:r>
                </w:p>
              </w:tc>
            </w:tr>
            <w:tr>
              <w:tblPrEx>
                <w:tblW w:w="7937" w:type="dxa"/>
                <w:jc w:val="center"/>
                <w:tblLayout w:type="fixed"/>
                <w:tblCellMar>
                  <w:top w:w="0" w:type="dxa"/>
                  <w:left w:w="108" w:type="dxa"/>
                  <w:bottom w:w="0" w:type="dxa"/>
                  <w:right w:w="108" w:type="dxa"/>
                </w:tblCellMar>
              </w:tblPrEx>
              <w:trPr>
                <w:trHeight w:val="312"/>
                <w:jc w:val="center"/>
              </w:trPr>
              <w:tc>
                <w:tcPr>
                  <w:tcW w:w="491" w:type="dxa"/>
                  <w:vMerge/>
                  <w:noWrap w:val="0"/>
                  <w:tcMar>
                    <w:top w:w="0" w:type="dxa"/>
                    <w:left w:w="0" w:type="dxa"/>
                    <w:bottom w:w="0" w:type="dxa"/>
                    <w:right w:w="0" w:type="dxa"/>
                  </w:tcMar>
                  <w:vAlign w:val="center"/>
                </w:tcPr>
                <w:p>
                  <w:pPr>
                    <w:adjustRightInd w:val="0"/>
                    <w:snapToGrid w:val="0"/>
                    <w:spacing w:before="120" w:beforeLines="50" w:after="120" w:afterLines="50"/>
                    <w:jc w:val="center"/>
                    <w:rPr>
                      <w:rFonts w:ascii="Times New Roman" w:hAnsi="Times New Roman" w:hint="default"/>
                      <w:color w:val="auto"/>
                      <w:highlight w:val="none"/>
                    </w:rPr>
                  </w:pPr>
                </w:p>
              </w:tc>
              <w:tc>
                <w:tcPr>
                  <w:tcW w:w="883" w:type="dxa"/>
                  <w:vMerge/>
                  <w:noWrap w:val="0"/>
                  <w:vAlign w:val="center"/>
                </w:tcPr>
                <w:p>
                  <w:pPr>
                    <w:adjustRightInd w:val="0"/>
                    <w:snapToGrid w:val="0"/>
                    <w:spacing w:before="120" w:beforeLines="50" w:after="120" w:afterLines="50"/>
                    <w:rPr>
                      <w:rFonts w:hAnsi="宋体"/>
                      <w:color w:val="auto"/>
                      <w:kern w:val="0"/>
                      <w:highlight w:val="none"/>
                    </w:rPr>
                  </w:pPr>
                </w:p>
              </w:tc>
              <w:tc>
                <w:tcPr>
                  <w:tcW w:w="3452" w:type="dxa"/>
                  <w:noWrap w:val="0"/>
                  <w:vAlign w:val="center"/>
                </w:tcPr>
                <w:p>
                  <w:pPr>
                    <w:adjustRightInd w:val="0"/>
                    <w:snapToGrid w:val="0"/>
                    <w:spacing w:before="120" w:beforeLines="50" w:after="120" w:afterLines="50"/>
                    <w:rPr>
                      <w:rFonts w:ascii="Times New Roman" w:hAnsi="Times New Roman" w:hint="eastAsia"/>
                      <w:color w:val="auto"/>
                      <w:highlight w:val="none"/>
                    </w:rPr>
                  </w:pPr>
                  <w:r>
                    <w:rPr>
                      <w:rFonts w:ascii="Times New Roman" w:hAnsi="Times New Roman" w:cs="Times New Roman" w:hint="default"/>
                      <w:color w:val="auto"/>
                      <w:spacing w:val="-4"/>
                      <w:kern w:val="0"/>
                      <w:szCs w:val="24"/>
                      <w:highlight w:val="none"/>
                    </w:rPr>
                    <w:t>在区域现有产业的基础上着力构建“141”的产业体系结构：依托中航工业集团，建设国产民机产业发展基地，打造国产支线飞机产业发展集群，构建以航空产业为主导，以高端装备制造、新能源汽车、新材料、大数据和云计算四大产业为支撑，以文化旅游产业为特色，建设丝路航空产业高地。</w:t>
                  </w:r>
                </w:p>
              </w:tc>
              <w:tc>
                <w:tcPr>
                  <w:tcW w:w="2464" w:type="dxa"/>
                  <w:noWrap w:val="0"/>
                  <w:vAlign w:val="center"/>
                </w:tcPr>
                <w:p>
                  <w:pPr>
                    <w:adjustRightInd w:val="0"/>
                    <w:snapToGrid w:val="0"/>
                    <w:spacing w:before="120" w:beforeLines="50" w:after="120" w:afterLines="50"/>
                    <w:rPr>
                      <w:rFonts w:ascii="Times New Roman" w:hAnsi="Times New Roman" w:hint="default"/>
                      <w:color w:val="auto"/>
                      <w:highlight w:val="none"/>
                    </w:rPr>
                  </w:pPr>
                  <w:r>
                    <w:rPr>
                      <w:rFonts w:hAnsi="宋体" w:hint="eastAsia"/>
                      <w:color w:val="auto"/>
                      <w:kern w:val="0"/>
                      <w:szCs w:val="21"/>
                      <w:highlight w:val="none"/>
                      <w:lang w:val="en-US" w:eastAsia="zh-CN"/>
                    </w:rPr>
                    <w:t>本项目为能源钻采高端装备制造项目，符合</w:t>
                  </w:r>
                  <w:r>
                    <w:rPr>
                      <w:color w:val="auto"/>
                      <w:spacing w:val="-4"/>
                      <w:kern w:val="0"/>
                      <w:szCs w:val="24"/>
                      <w:highlight w:val="none"/>
                    </w:rPr>
                    <w:t>富阎产业合作园区</w:t>
                  </w:r>
                  <w:r>
                    <w:rPr>
                      <w:rFonts w:hAnsi="宋体" w:hint="eastAsia"/>
                      <w:color w:val="auto"/>
                      <w:kern w:val="0"/>
                      <w:szCs w:val="21"/>
                      <w:highlight w:val="none"/>
                      <w:lang w:val="en-US" w:eastAsia="zh-CN"/>
                    </w:rPr>
                    <w:t>高端装备制造的功能定位</w:t>
                  </w:r>
                </w:p>
              </w:tc>
              <w:tc>
                <w:tcPr>
                  <w:tcW w:w="647" w:type="dxa"/>
                  <w:noWrap w:val="0"/>
                  <w:vAlign w:val="center"/>
                </w:tcPr>
                <w:p>
                  <w:pPr>
                    <w:adjustRightInd w:val="0"/>
                    <w:snapToGrid w:val="0"/>
                    <w:spacing w:before="120" w:beforeLines="50" w:after="120" w:afterLines="50"/>
                    <w:rPr>
                      <w:rFonts w:ascii="Times New Roman" w:hAnsi="Times New Roman" w:hint="eastAsia"/>
                      <w:color w:val="auto"/>
                      <w:highlight w:val="none"/>
                    </w:rPr>
                  </w:pPr>
                  <w:r>
                    <w:rPr>
                      <w:rFonts w:ascii="Times New Roman" w:eastAsia="宋体" w:hAnsi="Times New Roman" w:cs="Times New Roman" w:hint="eastAsia"/>
                      <w:color w:val="auto"/>
                      <w:szCs w:val="21"/>
                      <w:highlight w:val="none"/>
                    </w:rPr>
                    <w:t>符合</w:t>
                  </w:r>
                </w:p>
              </w:tc>
            </w:tr>
            <w:tr>
              <w:tblPrEx>
                <w:tblW w:w="7937" w:type="dxa"/>
                <w:jc w:val="center"/>
                <w:tblLayout w:type="fixed"/>
                <w:tblCellMar>
                  <w:top w:w="0" w:type="dxa"/>
                  <w:left w:w="108" w:type="dxa"/>
                  <w:bottom w:w="0" w:type="dxa"/>
                  <w:right w:w="108" w:type="dxa"/>
                </w:tblCellMar>
              </w:tblPrEx>
              <w:trPr>
                <w:trHeight w:val="312"/>
                <w:jc w:val="center"/>
              </w:trPr>
              <w:tc>
                <w:tcPr>
                  <w:tcW w:w="491" w:type="dxa"/>
                  <w:vMerge w:val="restart"/>
                  <w:noWrap w:val="0"/>
                  <w:tcMar>
                    <w:top w:w="0" w:type="dxa"/>
                    <w:left w:w="0" w:type="dxa"/>
                    <w:bottom w:w="0" w:type="dxa"/>
                    <w:right w:w="0" w:type="dxa"/>
                  </w:tcMar>
                  <w:vAlign w:val="center"/>
                </w:tcPr>
                <w:p>
                  <w:pPr>
                    <w:adjustRightInd w:val="0"/>
                    <w:snapToGrid w:val="0"/>
                    <w:spacing w:before="120" w:beforeLines="50" w:after="120" w:afterLines="50"/>
                    <w:jc w:val="center"/>
                    <w:rPr>
                      <w:rFonts w:ascii="Times New Roman" w:hAnsi="Times New Roman" w:hint="eastAsia"/>
                      <w:color w:val="auto"/>
                      <w:highlight w:val="none"/>
                    </w:rPr>
                  </w:pPr>
                  <w:r>
                    <w:rPr>
                      <w:rFonts w:ascii="Times New Roman" w:eastAsia="宋体" w:hAnsi="Times New Roman" w:cs="Times New Roman" w:hint="eastAsia"/>
                      <w:color w:val="auto"/>
                      <w:szCs w:val="21"/>
                      <w:highlight w:val="none"/>
                      <w:lang w:val="en-US" w:eastAsia="zh-CN"/>
                    </w:rPr>
                    <w:t>2</w:t>
                  </w:r>
                </w:p>
              </w:tc>
              <w:tc>
                <w:tcPr>
                  <w:tcW w:w="883" w:type="dxa"/>
                  <w:vMerge w:val="restart"/>
                  <w:noWrap w:val="0"/>
                  <w:vAlign w:val="center"/>
                </w:tcPr>
                <w:p>
                  <w:pPr>
                    <w:adjustRightInd w:val="0"/>
                    <w:snapToGrid w:val="0"/>
                    <w:spacing w:before="120" w:beforeLines="50" w:after="120" w:afterLines="50"/>
                    <w:rPr>
                      <w:rFonts w:ascii="Times New Roman" w:hAnsi="Times New Roman" w:hint="default"/>
                      <w:color w:val="auto"/>
                      <w:highlight w:val="none"/>
                    </w:rPr>
                  </w:pPr>
                  <w:r>
                    <w:rPr>
                      <w:rFonts w:ascii="Times New Roman" w:eastAsia="宋体" w:hAnsi="Times New Roman" w:cs="Times New Roman" w:hint="eastAsia"/>
                      <w:color w:val="auto"/>
                      <w:highlight w:val="none"/>
                      <w:lang w:val="en-US" w:eastAsia="zh-CN"/>
                    </w:rPr>
                    <w:t>《富平高新技术产业开发区规划环境影响报告书》</w:t>
                  </w:r>
                  <w:r>
                    <w:rPr>
                      <w:rFonts w:ascii="Times New Roman" w:hAnsi="Times New Roman" w:cs="Times New Roman" w:hint="eastAsia"/>
                      <w:color w:val="auto"/>
                      <w:highlight w:val="none"/>
                      <w:lang w:val="en-US" w:eastAsia="zh-CN"/>
                    </w:rPr>
                    <w:t>及其审查意见</w:t>
                  </w:r>
                </w:p>
              </w:tc>
              <w:tc>
                <w:tcPr>
                  <w:tcW w:w="3452" w:type="dxa"/>
                  <w:noWrap w:val="0"/>
                  <w:vAlign w:val="center"/>
                </w:tcPr>
                <w:p>
                  <w:pPr>
                    <w:adjustRightInd w:val="0"/>
                    <w:snapToGrid w:val="0"/>
                    <w:spacing w:before="120" w:beforeLines="50" w:after="120" w:afterLines="50"/>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明确准入条件。根据园区的资源环境承载力和环境保护的相关要求，明确入区企业的限制性条件和红线指标，对高耗水、高耗能、高污染企业提出禁止入园的要求。</w:t>
                  </w:r>
                </w:p>
              </w:tc>
              <w:tc>
                <w:tcPr>
                  <w:tcW w:w="2464" w:type="dxa"/>
                  <w:noWrap w:val="0"/>
                  <w:vAlign w:val="center"/>
                </w:tcPr>
                <w:p>
                  <w:pPr>
                    <w:adjustRightInd w:val="0"/>
                    <w:snapToGrid w:val="0"/>
                    <w:spacing w:before="120" w:beforeLines="50" w:after="120" w:afterLines="50"/>
                    <w:rPr>
                      <w:rFonts w:ascii="Times New Roman" w:hAnsi="Times New Roman" w:hint="default"/>
                      <w:color w:val="auto"/>
                      <w:highlight w:val="none"/>
                    </w:rPr>
                  </w:pPr>
                  <w:r>
                    <w:rPr>
                      <w:rFonts w:hAnsi="宋体" w:hint="eastAsia"/>
                      <w:color w:val="auto"/>
                      <w:kern w:val="0"/>
                      <w:szCs w:val="21"/>
                      <w:highlight w:val="none"/>
                      <w:lang w:val="en-US" w:eastAsia="zh-CN"/>
                    </w:rPr>
                    <w:t>本项目为环保装备生产制造项目，不属于高耗水、高耗能、高污染企业</w:t>
                  </w:r>
                </w:p>
              </w:tc>
              <w:tc>
                <w:tcPr>
                  <w:tcW w:w="647" w:type="dxa"/>
                  <w:noWrap w:val="0"/>
                  <w:vAlign w:val="center"/>
                </w:tcPr>
                <w:p>
                  <w:pPr>
                    <w:adjustRightInd w:val="0"/>
                    <w:snapToGrid w:val="0"/>
                    <w:spacing w:before="120" w:beforeLines="50" w:after="120" w:afterLines="50"/>
                    <w:rPr>
                      <w:rFonts w:ascii="Times New Roman" w:hAnsi="Times New Roman" w:hint="eastAsia"/>
                      <w:color w:val="auto"/>
                      <w:highlight w:val="none"/>
                    </w:rPr>
                  </w:pPr>
                  <w:r>
                    <w:rPr>
                      <w:rFonts w:ascii="Times New Roman" w:eastAsia="宋体" w:hAnsi="Times New Roman" w:cs="Times New Roman" w:hint="eastAsia"/>
                      <w:color w:val="auto"/>
                      <w:szCs w:val="21"/>
                      <w:highlight w:val="none"/>
                    </w:rPr>
                    <w:t>符合</w:t>
                  </w:r>
                </w:p>
              </w:tc>
            </w:tr>
            <w:tr>
              <w:tblPrEx>
                <w:tblW w:w="7937" w:type="dxa"/>
                <w:jc w:val="center"/>
                <w:tblLayout w:type="fixed"/>
                <w:tblCellMar>
                  <w:top w:w="0" w:type="dxa"/>
                  <w:left w:w="108" w:type="dxa"/>
                  <w:bottom w:w="0" w:type="dxa"/>
                  <w:right w:w="108" w:type="dxa"/>
                </w:tblCellMar>
              </w:tblPrEx>
              <w:trPr>
                <w:trHeight w:val="312"/>
                <w:jc w:val="center"/>
              </w:trPr>
              <w:tc>
                <w:tcPr>
                  <w:tcW w:w="491" w:type="dxa"/>
                  <w:vMerge/>
                  <w:noWrap w:val="0"/>
                  <w:tcMar>
                    <w:top w:w="0" w:type="dxa"/>
                    <w:left w:w="0" w:type="dxa"/>
                    <w:bottom w:w="0" w:type="dxa"/>
                    <w:right w:w="0" w:type="dxa"/>
                  </w:tcMar>
                  <w:vAlign w:val="center"/>
                </w:tcPr>
                <w:p>
                  <w:pPr>
                    <w:adjustRightInd w:val="0"/>
                    <w:snapToGrid w:val="0"/>
                    <w:spacing w:before="120" w:beforeLines="50" w:after="120" w:afterLines="50"/>
                    <w:jc w:val="center"/>
                    <w:rPr>
                      <w:rFonts w:ascii="Times New Roman" w:hAnsi="Times New Roman" w:hint="eastAsia"/>
                      <w:color w:val="auto"/>
                      <w:highlight w:val="none"/>
                    </w:rPr>
                  </w:pPr>
                </w:p>
              </w:tc>
              <w:tc>
                <w:tcPr>
                  <w:tcW w:w="883" w:type="dxa"/>
                  <w:vMerge/>
                  <w:noWrap w:val="0"/>
                  <w:vAlign w:val="center"/>
                </w:tcPr>
                <w:p>
                  <w:pPr>
                    <w:adjustRightInd w:val="0"/>
                    <w:snapToGrid w:val="0"/>
                    <w:spacing w:before="120" w:beforeLines="50" w:after="120" w:afterLines="50"/>
                    <w:rPr>
                      <w:rFonts w:ascii="Times New Roman" w:hAnsi="Times New Roman" w:hint="eastAsia"/>
                      <w:color w:val="auto"/>
                      <w:highlight w:val="none"/>
                    </w:rPr>
                  </w:pPr>
                </w:p>
              </w:tc>
              <w:tc>
                <w:tcPr>
                  <w:tcW w:w="3452" w:type="dxa"/>
                  <w:noWrap w:val="0"/>
                  <w:vAlign w:val="center"/>
                </w:tcPr>
                <w:p>
                  <w:pPr>
                    <w:adjustRightInd w:val="0"/>
                    <w:snapToGrid w:val="0"/>
                    <w:spacing w:before="120" w:beforeLines="50" w:after="120" w:afterLines="50"/>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为满足区域地表水环境容量要求，应调整园区规划的污水处理工艺和排水方案，对废水做进一步处理，园区污水排放应符合《地表水环境质量标准》(GB3838-2002)Ⅳ类水质标准要求。</w:t>
                  </w:r>
                </w:p>
              </w:tc>
              <w:tc>
                <w:tcPr>
                  <w:tcW w:w="2464" w:type="dxa"/>
                  <w:noWrap w:val="0"/>
                  <w:vAlign w:val="center"/>
                </w:tcPr>
                <w:p>
                  <w:pPr>
                    <w:adjustRightInd w:val="0"/>
                    <w:snapToGrid w:val="0"/>
                    <w:spacing w:before="120" w:beforeLines="50" w:after="120" w:afterLines="50"/>
                    <w:rPr>
                      <w:rFonts w:hAnsi="宋体" w:hint="eastAsia"/>
                      <w:color w:val="auto"/>
                      <w:kern w:val="0"/>
                      <w:highlight w:val="none"/>
                    </w:rPr>
                  </w:pPr>
                  <w:r>
                    <w:rPr>
                      <w:rFonts w:hAnsi="宋体" w:hint="eastAsia"/>
                      <w:color w:val="auto"/>
                      <w:kern w:val="0"/>
                      <w:szCs w:val="21"/>
                      <w:highlight w:val="none"/>
                      <w:lang w:val="en-US" w:eastAsia="zh-CN"/>
                    </w:rPr>
                    <w:t>本项目无生产废水，生活污水经隔油池+化粪池达标处理后排入市政污水管网，最终排入富平第二污水处理厂</w:t>
                  </w:r>
                </w:p>
              </w:tc>
              <w:tc>
                <w:tcPr>
                  <w:tcW w:w="647" w:type="dxa"/>
                  <w:noWrap w:val="0"/>
                  <w:vAlign w:val="center"/>
                </w:tcPr>
                <w:p>
                  <w:pPr>
                    <w:adjustRightInd w:val="0"/>
                    <w:snapToGrid w:val="0"/>
                    <w:spacing w:before="120" w:beforeLines="50" w:after="120" w:afterLines="50"/>
                    <w:rPr>
                      <w:rFonts w:ascii="Times New Roman" w:hAnsi="Times New Roman" w:hint="eastAsia"/>
                      <w:color w:val="auto"/>
                      <w:highlight w:val="none"/>
                    </w:rPr>
                  </w:pPr>
                  <w:r>
                    <w:rPr>
                      <w:rFonts w:ascii="Times New Roman" w:eastAsia="宋体" w:hAnsi="Times New Roman" w:cs="Times New Roman" w:hint="eastAsia"/>
                      <w:color w:val="auto"/>
                      <w:szCs w:val="21"/>
                      <w:highlight w:val="none"/>
                    </w:rPr>
                    <w:t>符合</w:t>
                  </w:r>
                </w:p>
              </w:tc>
            </w:tr>
            <w:tr>
              <w:tblPrEx>
                <w:tblW w:w="7937" w:type="dxa"/>
                <w:jc w:val="center"/>
                <w:tblLayout w:type="fixed"/>
                <w:tblCellMar>
                  <w:top w:w="0" w:type="dxa"/>
                  <w:left w:w="108" w:type="dxa"/>
                  <w:bottom w:w="0" w:type="dxa"/>
                  <w:right w:w="108" w:type="dxa"/>
                </w:tblCellMar>
              </w:tblPrEx>
              <w:trPr>
                <w:trHeight w:val="312"/>
                <w:jc w:val="center"/>
              </w:trPr>
              <w:tc>
                <w:tcPr>
                  <w:tcW w:w="491" w:type="dxa"/>
                  <w:vMerge/>
                  <w:noWrap w:val="0"/>
                  <w:tcMar>
                    <w:top w:w="0" w:type="dxa"/>
                    <w:left w:w="0" w:type="dxa"/>
                    <w:bottom w:w="0" w:type="dxa"/>
                    <w:right w:w="0" w:type="dxa"/>
                  </w:tcMar>
                  <w:vAlign w:val="center"/>
                </w:tcPr>
                <w:p>
                  <w:pPr>
                    <w:adjustRightInd w:val="0"/>
                    <w:snapToGrid w:val="0"/>
                    <w:spacing w:before="120" w:beforeLines="50" w:after="120" w:afterLines="50"/>
                    <w:jc w:val="center"/>
                    <w:rPr>
                      <w:rFonts w:ascii="Times New Roman" w:hAnsi="Times New Roman" w:hint="eastAsia"/>
                      <w:color w:val="auto"/>
                      <w:highlight w:val="none"/>
                    </w:rPr>
                  </w:pPr>
                </w:p>
              </w:tc>
              <w:tc>
                <w:tcPr>
                  <w:tcW w:w="883" w:type="dxa"/>
                  <w:vMerge/>
                  <w:noWrap w:val="0"/>
                  <w:vAlign w:val="center"/>
                </w:tcPr>
                <w:p>
                  <w:pPr>
                    <w:adjustRightInd w:val="0"/>
                    <w:snapToGrid w:val="0"/>
                    <w:spacing w:before="120" w:beforeLines="50" w:after="120" w:afterLines="50"/>
                    <w:rPr>
                      <w:rFonts w:ascii="Times New Roman" w:hAnsi="Times New Roman" w:hint="eastAsia"/>
                      <w:color w:val="auto"/>
                      <w:highlight w:val="none"/>
                    </w:rPr>
                  </w:pPr>
                </w:p>
              </w:tc>
              <w:tc>
                <w:tcPr>
                  <w:tcW w:w="3452" w:type="dxa"/>
                  <w:noWrap w:val="0"/>
                  <w:vAlign w:val="center"/>
                </w:tcPr>
                <w:p>
                  <w:pPr>
                    <w:adjustRightInd w:val="0"/>
                    <w:snapToGrid w:val="0"/>
                    <w:spacing w:before="120" w:beforeLines="50" w:after="0"/>
                    <w:rPr>
                      <w:rFonts w:ascii="Times New Roman" w:hAnsi="Times New Roman" w:hint="default"/>
                      <w:color w:val="auto"/>
                      <w:highlight w:val="none"/>
                    </w:rPr>
                  </w:pPr>
                </w:p>
              </w:tc>
              <w:tc>
                <w:tcPr>
                  <w:tcW w:w="2464" w:type="dxa"/>
                  <w:noWrap w:val="0"/>
                  <w:vAlign w:val="center"/>
                </w:tcPr>
                <w:p>
                  <w:pPr>
                    <w:adjustRightInd w:val="0"/>
                    <w:snapToGrid w:val="0"/>
                    <w:spacing w:before="120" w:beforeLines="50" w:after="0"/>
                    <w:rPr>
                      <w:rFonts w:ascii="Times New Roman" w:hAnsi="Times New Roman" w:hint="default"/>
                      <w:color w:val="auto"/>
                      <w:highlight w:val="none"/>
                    </w:rPr>
                  </w:pPr>
                </w:p>
              </w:tc>
              <w:tc>
                <w:tcPr>
                  <w:tcW w:w="647" w:type="dxa"/>
                  <w:noWrap w:val="0"/>
                  <w:vAlign w:val="center"/>
                </w:tcPr>
                <w:p>
                  <w:pPr>
                    <w:adjustRightInd w:val="0"/>
                    <w:snapToGrid w:val="0"/>
                    <w:spacing w:before="120" w:beforeLines="50" w:after="120" w:afterLines="50"/>
                    <w:rPr>
                      <w:rFonts w:ascii="Times New Roman" w:hAnsi="Times New Roman" w:hint="eastAsia"/>
                      <w:color w:val="auto"/>
                      <w:highlight w:val="none"/>
                    </w:rPr>
                  </w:pPr>
                  <w:r>
                    <w:rPr>
                      <w:rFonts w:ascii="Times New Roman" w:eastAsia="宋体" w:hAnsi="Times New Roman" w:cs="Times New Roman" w:hint="eastAsia"/>
                      <w:color w:val="auto"/>
                      <w:szCs w:val="21"/>
                      <w:highlight w:val="none"/>
                    </w:rPr>
                    <w:t>符合</w:t>
                  </w:r>
                </w:p>
              </w:tc>
            </w:tr>
          </w:tbl>
          <w:p/>
        </w:tc>
      </w:tr>
    </w:tbl>
    <w:p>
      <w:pPr>
        <w:sectPr>
          <w:footerReference w:type="default" r:id="rId6"/>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2"/>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0"/>
        <w:gridCol w:w="8200"/>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687"/>
          <w:jc w:val="center"/>
        </w:trPr>
        <w:tc>
          <w:tcPr>
            <w:tcW w:w="670" w:type="dxa"/>
            <w:noWrap w:val="0"/>
            <w:vAlign w:val="center"/>
          </w:tcPr>
          <w:p/>
        </w:tc>
        <w:tc>
          <w:tcPr>
            <w:tcW w:w="8200" w:type="dxa"/>
            <w:noWrap w:val="0"/>
            <w:vAlign w:val="center"/>
          </w:tcPr>
          <w:tbl>
            <w:tblPr>
              <w:tblStyle w:val="TableNormal"/>
              <w:tblW w:w="7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91"/>
              <w:gridCol w:w="883"/>
              <w:gridCol w:w="3452"/>
              <w:gridCol w:w="2464"/>
              <w:gridCol w:w="647"/>
            </w:tblGrid>
            <w:tr>
              <w:tblPrEx>
                <w:tblW w:w="79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12"/>
                <w:jc w:val="center"/>
              </w:trPr>
              <w:tc>
                <w:tcPr>
                  <w:tcW w:w="491" w:type="dxa"/>
                  <w:vMerge w:val="restart"/>
                  <w:noWrap w:val="0"/>
                  <w:tcMar>
                    <w:top w:w="0" w:type="dxa"/>
                    <w:left w:w="0" w:type="dxa"/>
                    <w:bottom w:w="0" w:type="dxa"/>
                    <w:right w:w="0" w:type="dxa"/>
                  </w:tcMar>
                  <w:vAlign w:val="center"/>
                </w:tcPr>
                <w:p/>
              </w:tc>
              <w:tc>
                <w:tcPr>
                  <w:tcW w:w="883" w:type="dxa"/>
                  <w:vMerge w:val="restart"/>
                  <w:noWrap w:val="0"/>
                  <w:vAlign w:val="center"/>
                </w:tcPr>
                <w:p/>
              </w:tc>
              <w:tc>
                <w:tcPr>
                  <w:tcW w:w="3452" w:type="dxa"/>
                  <w:noWrap w:val="0"/>
                  <w:vAlign w:val="center"/>
                </w:tcPr>
                <w:p>
                  <w:pPr>
                    <w:adjustRightInd w:val="0"/>
                    <w:snapToGrid w:val="0"/>
                    <w:spacing w:before="0" w:after="120" w:afterLines="50"/>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园区应按照循环经济理念设计产业链，固体废物应按“减量化、资源化、无害化”的原则利用和处置。加强固体废物分类管理，防止在储运、处理处置过程中对土壤和地下水造成不利影响。</w:t>
                  </w:r>
                </w:p>
              </w:tc>
              <w:tc>
                <w:tcPr>
                  <w:tcW w:w="2464" w:type="dxa"/>
                  <w:noWrap w:val="0"/>
                  <w:vAlign w:val="center"/>
                </w:tcPr>
                <w:p>
                  <w:pPr>
                    <w:adjustRightInd w:val="0"/>
                    <w:snapToGrid w:val="0"/>
                    <w:spacing w:before="0" w:after="120" w:afterLines="50"/>
                    <w:rPr>
                      <w:rFonts w:ascii="Times New Roman" w:hAnsi="Times New Roman" w:hint="default"/>
                      <w:color w:val="auto"/>
                      <w:highlight w:val="none"/>
                    </w:rPr>
                  </w:pPr>
                  <w:r>
                    <w:rPr>
                      <w:rFonts w:hAnsi="宋体" w:hint="eastAsia"/>
                      <w:color w:val="auto"/>
                      <w:kern w:val="0"/>
                      <w:szCs w:val="21"/>
                      <w:highlight w:val="none"/>
                      <w:lang w:val="en-US" w:eastAsia="zh-CN"/>
                    </w:rPr>
                    <w:t>本项目一般固体废物收集后外售其他单位综合利用；危险废物经危废暂存间收集后交有资质单位处置，所产固体废物均按照“减量化、资源化、无害化”的原则利用和处置</w:t>
                  </w:r>
                </w:p>
              </w:tc>
              <w:tc>
                <w:tcPr>
                  <w:tcW w:w="647" w:type="dxa"/>
                  <w:noWrap w:val="0"/>
                  <w:vAlign w:val="center"/>
                </w:tcPr>
                <w:p/>
              </w:tc>
            </w:tr>
            <w:tr>
              <w:tblPrEx>
                <w:tblW w:w="7937" w:type="dxa"/>
                <w:jc w:val="center"/>
                <w:tblLayout w:type="fixed"/>
                <w:tblCellMar>
                  <w:top w:w="0" w:type="dxa"/>
                  <w:left w:w="108" w:type="dxa"/>
                  <w:bottom w:w="0" w:type="dxa"/>
                  <w:right w:w="108" w:type="dxa"/>
                </w:tblCellMar>
              </w:tblPrEx>
              <w:trPr>
                <w:trHeight w:val="312"/>
                <w:jc w:val="center"/>
              </w:trPr>
              <w:tc>
                <w:tcPr>
                  <w:tcW w:w="491" w:type="dxa"/>
                  <w:vMerge/>
                  <w:noWrap w:val="0"/>
                  <w:tcMar>
                    <w:top w:w="0" w:type="dxa"/>
                    <w:left w:w="0" w:type="dxa"/>
                    <w:bottom w:w="0" w:type="dxa"/>
                    <w:right w:w="0" w:type="dxa"/>
                  </w:tcMar>
                  <w:vAlign w:val="center"/>
                </w:tcPr>
                <w:p>
                  <w:pPr>
                    <w:adjustRightInd w:val="0"/>
                    <w:snapToGrid w:val="0"/>
                    <w:spacing w:before="120" w:beforeLines="50" w:after="120" w:afterLines="50"/>
                    <w:jc w:val="center"/>
                    <w:rPr>
                      <w:rFonts w:ascii="Times New Roman" w:hAnsi="Times New Roman" w:hint="eastAsia"/>
                      <w:color w:val="auto"/>
                      <w:highlight w:val="none"/>
                    </w:rPr>
                  </w:pPr>
                </w:p>
              </w:tc>
              <w:tc>
                <w:tcPr>
                  <w:tcW w:w="883" w:type="dxa"/>
                  <w:vMerge/>
                  <w:noWrap w:val="0"/>
                  <w:vAlign w:val="center"/>
                </w:tcPr>
                <w:p>
                  <w:pPr>
                    <w:adjustRightInd w:val="0"/>
                    <w:snapToGrid w:val="0"/>
                    <w:spacing w:before="120" w:beforeLines="50" w:after="120" w:afterLines="50"/>
                    <w:rPr>
                      <w:rFonts w:ascii="Times New Roman" w:hAnsi="Times New Roman" w:hint="default"/>
                      <w:color w:val="auto"/>
                      <w:highlight w:val="none"/>
                    </w:rPr>
                  </w:pPr>
                </w:p>
              </w:tc>
              <w:tc>
                <w:tcPr>
                  <w:tcW w:w="3452" w:type="dxa"/>
                  <w:noWrap w:val="0"/>
                  <w:vAlign w:val="center"/>
                </w:tcPr>
                <w:p>
                  <w:pPr>
                    <w:adjustRightInd w:val="0"/>
                    <w:snapToGrid w:val="0"/>
                    <w:spacing w:before="120" w:beforeLines="50" w:after="120" w:afterLines="50"/>
                    <w:rPr>
                      <w:rFonts w:ascii="Times New Roman" w:hAnsi="Times New Roman" w:hint="default"/>
                      <w:color w:val="auto"/>
                      <w:highlight w:val="none"/>
                    </w:rPr>
                  </w:pPr>
                  <w:r>
                    <w:rPr>
                      <w:bCs/>
                      <w:color w:val="auto"/>
                      <w:highlight w:val="none"/>
                    </w:rPr>
                    <w:t>对符合入区要求的建设项目应按《建设项目环境影响评价分类管理名录》的规定进行环境影响评价。</w:t>
                  </w:r>
                </w:p>
              </w:tc>
              <w:tc>
                <w:tcPr>
                  <w:tcW w:w="2464" w:type="dxa"/>
                  <w:noWrap w:val="0"/>
                  <w:vAlign w:val="center"/>
                </w:tcPr>
                <w:p>
                  <w:pPr>
                    <w:adjustRightInd w:val="0"/>
                    <w:snapToGrid w:val="0"/>
                    <w:spacing w:before="120" w:beforeLines="50" w:after="120" w:afterLines="50"/>
                    <w:rPr>
                      <w:rFonts w:ascii="Times New Roman" w:hAnsi="Times New Roman" w:hint="eastAsia"/>
                      <w:color w:val="auto"/>
                      <w:highlight w:val="none"/>
                    </w:rPr>
                  </w:pPr>
                  <w:r>
                    <w:rPr>
                      <w:rFonts w:ascii="Times New Roman" w:hAnsi="Times New Roman" w:cs="Times New Roman" w:hint="eastAsia"/>
                      <w:color w:val="auto"/>
                      <w:szCs w:val="21"/>
                      <w:highlight w:val="none"/>
                      <w:lang w:val="en-US" w:eastAsia="zh-CN"/>
                    </w:rPr>
                    <w:t>本项目</w:t>
                  </w:r>
                  <w:r>
                    <w:rPr>
                      <w:bCs/>
                      <w:color w:val="auto"/>
                      <w:highlight w:val="none"/>
                    </w:rPr>
                    <w:t>符合入区要求</w:t>
                  </w:r>
                  <w:r>
                    <w:rPr>
                      <w:rFonts w:hint="eastAsia"/>
                      <w:bCs/>
                      <w:color w:val="auto"/>
                      <w:highlight w:val="none"/>
                      <w:lang w:eastAsia="zh-CN"/>
                    </w:rPr>
                    <w:t>，</w:t>
                  </w:r>
                  <w:r>
                    <w:rPr>
                      <w:rFonts w:ascii="Times New Roman" w:hAnsi="Times New Roman" w:cs="Times New Roman" w:hint="eastAsia"/>
                      <w:color w:val="auto"/>
                      <w:szCs w:val="21"/>
                      <w:highlight w:val="none"/>
                      <w:lang w:val="en-US" w:eastAsia="zh-CN"/>
                    </w:rPr>
                    <w:t>目前根据名录规定类别，正在办理</w:t>
                  </w:r>
                  <w:r>
                    <w:rPr>
                      <w:bCs/>
                      <w:color w:val="auto"/>
                      <w:highlight w:val="none"/>
                    </w:rPr>
                    <w:t>环境影响评价</w:t>
                  </w:r>
                  <w:r>
                    <w:rPr>
                      <w:rFonts w:hint="eastAsia"/>
                      <w:bCs/>
                      <w:color w:val="auto"/>
                      <w:highlight w:val="none"/>
                      <w:lang w:val="en-US" w:eastAsia="zh-CN"/>
                    </w:rPr>
                    <w:t>手续</w:t>
                  </w:r>
                </w:p>
              </w:tc>
              <w:tc>
                <w:tcPr>
                  <w:tcW w:w="647" w:type="dxa"/>
                  <w:noWrap w:val="0"/>
                  <w:vAlign w:val="center"/>
                </w:tcPr>
                <w:p>
                  <w:pPr>
                    <w:adjustRightInd w:val="0"/>
                    <w:snapToGrid w:val="0"/>
                    <w:spacing w:before="120" w:beforeLines="50" w:after="120" w:afterLines="50"/>
                    <w:jc w:val="center"/>
                    <w:rPr>
                      <w:rFonts w:ascii="Times New Roman" w:hAnsi="Times New Roman" w:hint="eastAsia"/>
                      <w:color w:val="auto"/>
                      <w:highlight w:val="none"/>
                    </w:rPr>
                  </w:pPr>
                  <w:r>
                    <w:rPr>
                      <w:rFonts w:ascii="Times New Roman" w:eastAsia="宋体" w:hAnsi="Times New Roman" w:cs="Times New Roman" w:hint="eastAsia"/>
                      <w:color w:val="auto"/>
                      <w:szCs w:val="21"/>
                      <w:highlight w:val="none"/>
                    </w:rPr>
                    <w:t>符合</w:t>
                  </w:r>
                </w:p>
              </w:tc>
            </w:tr>
          </w:tbl>
          <w:p>
            <w:pPr>
              <w:autoSpaceDE w:val="0"/>
              <w:autoSpaceDN w:val="0"/>
              <w:adjustRightInd w:val="0"/>
              <w:snapToGrid w:val="0"/>
              <w:jc w:val="center"/>
              <w:rPr>
                <w:rFonts w:ascii="Times New Roman" w:hAnsi="Times New Roman"/>
                <w:color w:val="auto"/>
                <w:highlight w:val="none"/>
              </w:rPr>
            </w:pPr>
          </w:p>
        </w:tc>
      </w:tr>
      <w:tr>
        <w:tblPrEx>
          <w:tblW w:w="8870" w:type="dxa"/>
          <w:jc w:val="center"/>
          <w:tblLayout w:type="fixed"/>
          <w:tblCellMar>
            <w:top w:w="0" w:type="dxa"/>
            <w:left w:w="108" w:type="dxa"/>
            <w:bottom w:w="0" w:type="dxa"/>
            <w:right w:w="108" w:type="dxa"/>
          </w:tblCellMar>
        </w:tblPrEx>
        <w:trPr>
          <w:trHeight w:val="1843"/>
          <w:jc w:val="center"/>
        </w:trPr>
        <w:tc>
          <w:tcPr>
            <w:tcW w:w="670" w:type="dxa"/>
            <w:noWrap w:val="0"/>
            <w:vAlign w:val="center"/>
          </w:tcPr>
          <w:p>
            <w:pPr>
              <w:autoSpaceDE w:val="0"/>
              <w:autoSpaceDN w:val="0"/>
              <w:adjustRightInd w:val="0"/>
              <w:snapToGrid w:val="0"/>
              <w:jc w:val="center"/>
              <w:rPr>
                <w:rFonts w:ascii="Times New Roman" w:hAnsi="Times New Roman"/>
                <w:b/>
                <w:bCs/>
                <w:color w:val="auto"/>
                <w:highlight w:val="none"/>
              </w:rPr>
            </w:pPr>
            <w:r>
              <w:rPr>
                <w:rFonts w:ascii="Times New Roman" w:hAnsi="Times New Roman" w:cs="Times New Roman"/>
                <w:b/>
                <w:bCs/>
                <w:color w:val="auto"/>
                <w:highlight w:val="none"/>
              </w:rPr>
              <w:t>其他符合性分析</w:t>
            </w:r>
          </w:p>
        </w:tc>
        <w:tc>
          <w:tcPr>
            <w:tcW w:w="8200" w:type="dxa"/>
            <w:noWrap w:val="0"/>
            <w:vAlign w:val="center"/>
          </w:tcPr>
          <w:p>
            <w:pPr>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rPr>
              <w:t>1、产业政策符合性</w:t>
            </w:r>
          </w:p>
          <w:p>
            <w:pPr>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rPr>
              <w:t>根据《产业结构调整指导目录（2019年本）》，</w:t>
            </w:r>
            <w:r>
              <w:rPr>
                <w:rFonts w:ascii="Times New Roman" w:eastAsia="宋体" w:hAnsi="Times New Roman" w:cs="Times New Roman" w:hint="default"/>
                <w:color w:val="auto"/>
                <w:highlight w:val="none"/>
                <w:lang w:val="en-US" w:eastAsia="zh-CN"/>
              </w:rPr>
              <w:t>本项目不属于鼓励、限制和淘汰类行业，属于允许类项目</w:t>
            </w:r>
            <w:r>
              <w:rPr>
                <w:rFonts w:ascii="Times New Roman" w:eastAsia="宋体" w:hAnsi="Times New Roman" w:cs="Times New Roman" w:hint="eastAsia"/>
                <w:color w:val="auto"/>
                <w:highlight w:val="none"/>
              </w:rPr>
              <w:t>。</w:t>
            </w:r>
            <w:r>
              <w:rPr>
                <w:rFonts w:ascii="Times New Roman" w:eastAsia="宋体" w:hAnsi="Times New Roman" w:cs="Times New Roman" w:hint="default"/>
                <w:color w:val="auto"/>
                <w:highlight w:val="none"/>
                <w:lang w:val="en-US" w:eastAsia="zh-CN"/>
              </w:rPr>
              <w:t>项目已于2023年</w:t>
            </w:r>
            <w:r>
              <w:rPr>
                <w:rFonts w:ascii="Times New Roman" w:hAnsi="Times New Roman" w:cs="Times New Roman" w:hint="eastAsia"/>
                <w:color w:val="auto"/>
                <w:highlight w:val="none"/>
                <w:lang w:val="en-US" w:eastAsia="zh-CN"/>
              </w:rPr>
              <w:t>10</w:t>
            </w:r>
            <w:r>
              <w:rPr>
                <w:rFonts w:ascii="Times New Roman" w:eastAsia="宋体" w:hAnsi="Times New Roman" w:cs="Times New Roman" w:hint="default"/>
                <w:color w:val="auto"/>
                <w:highlight w:val="none"/>
                <w:lang w:val="en-US" w:eastAsia="zh-CN"/>
              </w:rPr>
              <w:t>月</w:t>
            </w:r>
            <w:r>
              <w:rPr>
                <w:rFonts w:ascii="Times New Roman" w:hAnsi="Times New Roman" w:cs="Times New Roman" w:hint="eastAsia"/>
                <w:color w:val="auto"/>
                <w:highlight w:val="none"/>
                <w:lang w:val="en-US" w:eastAsia="zh-CN"/>
              </w:rPr>
              <w:t>20</w:t>
            </w:r>
            <w:r>
              <w:rPr>
                <w:rFonts w:ascii="Times New Roman" w:eastAsia="宋体" w:hAnsi="Times New Roman" w:cs="Times New Roman" w:hint="default"/>
                <w:color w:val="auto"/>
                <w:highlight w:val="none"/>
                <w:lang w:val="en-US" w:eastAsia="zh-CN"/>
              </w:rPr>
              <w:t>日经</w:t>
            </w:r>
            <w:r>
              <w:rPr>
                <w:rFonts w:ascii="Times New Roman" w:eastAsia="宋体" w:hAnsi="Times New Roman" w:cs="Times New Roman" w:hint="eastAsia"/>
                <w:color w:val="auto"/>
                <w:highlight w:val="none"/>
                <w:lang w:val="en-US" w:eastAsia="zh-CN"/>
              </w:rPr>
              <w:t>富阎产业合作园区经济发展局</w:t>
            </w:r>
            <w:r>
              <w:rPr>
                <w:rFonts w:ascii="Times New Roman" w:hAnsi="Times New Roman" w:cs="Times New Roman" w:hint="eastAsia"/>
                <w:color w:val="auto"/>
                <w:highlight w:val="none"/>
                <w:lang w:val="en-US" w:eastAsia="zh-CN"/>
              </w:rPr>
              <w:t>备案并</w:t>
            </w:r>
            <w:r>
              <w:rPr>
                <w:rFonts w:ascii="Times New Roman" w:eastAsia="宋体" w:hAnsi="Times New Roman" w:cs="Times New Roman" w:hint="default"/>
                <w:color w:val="auto"/>
                <w:highlight w:val="none"/>
              </w:rPr>
              <w:t>取得</w:t>
            </w:r>
            <w:r>
              <w:rPr>
                <w:rFonts w:ascii="Times New Roman" w:hAnsi="Times New Roman" w:cs="Times New Roman" w:hint="eastAsia"/>
                <w:color w:val="auto"/>
                <w:highlight w:val="none"/>
                <w:lang w:val="en-US" w:eastAsia="zh-CN"/>
              </w:rPr>
              <w:t>了</w:t>
            </w:r>
            <w:r>
              <w:rPr>
                <w:rFonts w:ascii="Times New Roman" w:eastAsia="宋体" w:hAnsi="Times New Roman" w:cs="Times New Roman" w:hint="eastAsia"/>
                <w:color w:val="auto"/>
                <w:highlight w:val="none"/>
              </w:rPr>
              <w:t>陕西省</w:t>
            </w:r>
            <w:r>
              <w:rPr>
                <w:rFonts w:ascii="Times New Roman" w:eastAsia="宋体" w:hAnsi="Times New Roman" w:cs="Times New Roman" w:hint="default"/>
                <w:color w:val="auto"/>
                <w:highlight w:val="none"/>
              </w:rPr>
              <w:t>企业投资项目</w:t>
            </w:r>
            <w:r>
              <w:rPr>
                <w:rFonts w:ascii="Times New Roman" w:eastAsia="宋体" w:hAnsi="Times New Roman" w:cs="Times New Roman" w:hint="eastAsia"/>
                <w:color w:val="auto"/>
                <w:highlight w:val="none"/>
              </w:rPr>
              <w:t>备案</w:t>
            </w:r>
            <w:r>
              <w:rPr>
                <w:rFonts w:ascii="Times New Roman" w:eastAsia="宋体" w:hAnsi="Times New Roman" w:cs="Times New Roman" w:hint="default"/>
                <w:color w:val="auto"/>
                <w:highlight w:val="none"/>
              </w:rPr>
              <w:t>确认书</w:t>
            </w:r>
            <w:r>
              <w:rPr>
                <w:rFonts w:ascii="Times New Roman" w:eastAsia="宋体" w:hAnsi="Times New Roman" w:cs="Times New Roman" w:hint="eastAsia"/>
                <w:color w:val="auto"/>
                <w:highlight w:val="none"/>
              </w:rPr>
              <w:t>（代码</w:t>
            </w:r>
            <w:r>
              <w:rPr>
                <w:rFonts w:ascii="Times New Roman" w:eastAsia="宋体" w:hAnsi="Times New Roman" w:cs="Times New Roman" w:hint="default"/>
                <w:color w:val="auto"/>
                <w:highlight w:val="none"/>
              </w:rPr>
              <w:t>：</w:t>
            </w:r>
            <w:r>
              <w:rPr>
                <w:rFonts w:ascii="Times New Roman" w:eastAsia="宋体" w:hAnsi="Times New Roman" w:cs="Times New Roman" w:hint="default"/>
                <w:color w:val="auto"/>
                <w:highlight w:val="none"/>
                <w:lang w:val="en-US" w:eastAsia="zh-CN"/>
              </w:rPr>
              <w:t>230</w:t>
            </w:r>
            <w:r>
              <w:rPr>
                <w:rFonts w:ascii="Times New Roman" w:hAnsi="Times New Roman" w:cs="Times New Roman" w:hint="eastAsia"/>
                <w:color w:val="auto"/>
                <w:highlight w:val="none"/>
                <w:lang w:val="en-US" w:eastAsia="zh-CN"/>
              </w:rPr>
              <w:t>6</w:t>
            </w:r>
            <w:r>
              <w:rPr>
                <w:rFonts w:ascii="Times New Roman" w:eastAsia="宋体" w:hAnsi="Times New Roman" w:cs="Times New Roman" w:hint="default"/>
                <w:color w:val="auto"/>
                <w:highlight w:val="none"/>
                <w:lang w:val="en-US" w:eastAsia="zh-CN"/>
              </w:rPr>
              <w:t>-610583-04-01-</w:t>
            </w:r>
            <w:r>
              <w:rPr>
                <w:rFonts w:ascii="Times New Roman" w:hAnsi="Times New Roman" w:cs="Times New Roman" w:hint="eastAsia"/>
                <w:color w:val="auto"/>
                <w:highlight w:val="none"/>
                <w:lang w:val="en-US" w:eastAsia="zh-CN"/>
              </w:rPr>
              <w:t>534490</w:t>
            </w:r>
            <w:r>
              <w:rPr>
                <w:rFonts w:ascii="Times New Roman" w:eastAsia="宋体" w:hAnsi="Times New Roman" w:cs="Times New Roman" w:hint="eastAsia"/>
                <w:color w:val="auto"/>
                <w:highlight w:val="none"/>
              </w:rPr>
              <w:t>，</w:t>
            </w:r>
            <w:r>
              <w:rPr>
                <w:rFonts w:ascii="Times New Roman" w:eastAsia="宋体" w:hAnsi="Times New Roman" w:cs="Times New Roman" w:hint="default"/>
                <w:color w:val="auto"/>
                <w:highlight w:val="none"/>
              </w:rPr>
              <w:t>见附件</w:t>
            </w:r>
            <w:r>
              <w:rPr>
                <w:rFonts w:ascii="Times New Roman" w:eastAsia="宋体" w:hAnsi="Times New Roman" w:cs="Times New Roman" w:hint="eastAsia"/>
                <w:color w:val="auto"/>
                <w:highlight w:val="none"/>
              </w:rPr>
              <w:t>2）</w:t>
            </w:r>
            <w:r>
              <w:rPr>
                <w:rFonts w:ascii="Times New Roman" w:eastAsia="宋体" w:hAnsi="Times New Roman" w:cs="Times New Roman" w:hint="default"/>
                <w:color w:val="auto"/>
                <w:highlight w:val="none"/>
              </w:rPr>
              <w:t>，符合国家产业政策的要求。</w:t>
            </w:r>
          </w:p>
          <w:p>
            <w:pPr>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lang w:val="en-US" w:eastAsia="zh-CN"/>
              </w:rPr>
              <w:t>本项目为C</w:t>
            </w:r>
            <w:r>
              <w:rPr>
                <w:rFonts w:ascii="Times New Roman" w:eastAsia="宋体" w:hAnsi="Times New Roman" w:cs="Times New Roman" w:hint="eastAsia"/>
                <w:color w:val="auto"/>
                <w:highlight w:val="none"/>
                <w:lang w:val="en-US" w:eastAsia="zh-CN"/>
              </w:rPr>
              <w:t>3591环境保护专用设备</w:t>
            </w:r>
            <w:r>
              <w:rPr>
                <w:rFonts w:ascii="Times New Roman" w:eastAsia="宋体" w:hAnsi="Times New Roman" w:cs="Times New Roman" w:hint="default"/>
                <w:color w:val="auto"/>
                <w:highlight w:val="none"/>
                <w:lang w:val="en-US" w:eastAsia="zh-CN"/>
              </w:rPr>
              <w:t>制造，</w:t>
            </w:r>
            <w:r>
              <w:rPr>
                <w:rFonts w:ascii="Times New Roman" w:eastAsia="宋体" w:hAnsi="Times New Roman" w:cs="Times New Roman" w:hint="eastAsia"/>
                <w:color w:val="auto"/>
                <w:highlight w:val="none"/>
                <w:lang w:val="en-US" w:eastAsia="zh-CN"/>
              </w:rPr>
              <w:t>不属于</w:t>
            </w:r>
            <w:r>
              <w:rPr>
                <w:rFonts w:ascii="Times New Roman" w:eastAsia="宋体" w:hAnsi="Times New Roman" w:cs="Times New Roman" w:hint="default"/>
                <w:color w:val="auto"/>
                <w:highlight w:val="none"/>
                <w:lang w:val="en-US" w:eastAsia="zh-CN"/>
              </w:rPr>
              <w:t>《</w:t>
            </w:r>
            <w:r>
              <w:rPr>
                <w:rFonts w:ascii="Times New Roman" w:eastAsia="宋体" w:hAnsi="Times New Roman" w:cs="Times New Roman" w:hint="eastAsia"/>
                <w:color w:val="auto"/>
                <w:highlight w:val="none"/>
                <w:lang w:val="en-US" w:eastAsia="zh-CN"/>
              </w:rPr>
              <w:t>市场</w:t>
            </w:r>
            <w:r>
              <w:rPr>
                <w:rFonts w:ascii="Times New Roman" w:eastAsia="宋体" w:hAnsi="Times New Roman" w:cs="Times New Roman" w:hint="default"/>
                <w:color w:val="auto"/>
                <w:highlight w:val="none"/>
                <w:lang w:val="en-US" w:eastAsia="zh-CN"/>
              </w:rPr>
              <w:t>准入负面清单（2022</w:t>
            </w:r>
            <w:r>
              <w:rPr>
                <w:rFonts w:ascii="Times New Roman" w:eastAsia="宋体" w:hAnsi="Times New Roman" w:cs="Times New Roman" w:hint="eastAsia"/>
                <w:color w:val="auto"/>
                <w:highlight w:val="none"/>
                <w:lang w:val="en-US" w:eastAsia="zh-CN"/>
              </w:rPr>
              <w:t>年</w:t>
            </w:r>
            <w:r>
              <w:rPr>
                <w:rFonts w:ascii="Times New Roman" w:eastAsia="宋体" w:hAnsi="Times New Roman" w:cs="Times New Roman" w:hint="default"/>
                <w:color w:val="auto"/>
                <w:highlight w:val="none"/>
                <w:lang w:val="en-US" w:eastAsia="zh-CN"/>
              </w:rPr>
              <w:t>版）》</w:t>
            </w:r>
            <w:r>
              <w:rPr>
                <w:rFonts w:ascii="Times New Roman" w:eastAsia="宋体" w:hAnsi="Times New Roman" w:cs="Times New Roman" w:hint="eastAsia"/>
                <w:color w:val="auto"/>
                <w:highlight w:val="none"/>
                <w:lang w:val="en-US" w:eastAsia="zh-CN"/>
              </w:rPr>
              <w:t>中</w:t>
            </w:r>
            <w:r>
              <w:rPr>
                <w:rFonts w:ascii="Times New Roman" w:eastAsia="宋体" w:hAnsi="Times New Roman" w:cs="Times New Roman" w:hint="default"/>
                <w:color w:val="auto"/>
                <w:highlight w:val="none"/>
                <w:lang w:val="en-US" w:eastAsia="zh-CN"/>
              </w:rPr>
              <w:t>禁止类项目，</w:t>
            </w:r>
            <w:r>
              <w:rPr>
                <w:rFonts w:ascii="Times New Roman" w:eastAsia="宋体" w:hAnsi="Times New Roman" w:cs="Times New Roman" w:hint="eastAsia"/>
                <w:color w:val="auto"/>
                <w:highlight w:val="none"/>
                <w:lang w:val="en-US" w:eastAsia="zh-CN"/>
              </w:rPr>
              <w:t>为</w:t>
            </w:r>
            <w:r>
              <w:rPr>
                <w:rFonts w:ascii="Times New Roman" w:eastAsia="宋体" w:hAnsi="Times New Roman" w:cs="Times New Roman" w:hint="default"/>
                <w:color w:val="auto"/>
                <w:highlight w:val="none"/>
                <w:lang w:val="en-US" w:eastAsia="zh-CN"/>
              </w:rPr>
              <w:t>允许类。</w:t>
            </w:r>
          </w:p>
          <w:p>
            <w:pPr>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rPr>
              <w:t>2、</w:t>
            </w:r>
            <w:r>
              <w:rPr>
                <w:rFonts w:ascii="Times New Roman" w:eastAsia="宋体" w:hAnsi="Times New Roman" w:cs="Times New Roman" w:hint="default"/>
                <w:color w:val="auto"/>
                <w:highlight w:val="none"/>
                <w:lang w:eastAsia="zh-CN"/>
              </w:rPr>
              <w:t>“</w:t>
            </w:r>
            <w:r>
              <w:rPr>
                <w:rFonts w:ascii="Times New Roman" w:eastAsia="宋体" w:hAnsi="Times New Roman" w:cs="Times New Roman" w:hint="default"/>
                <w:color w:val="auto"/>
                <w:highlight w:val="none"/>
                <w:lang w:val="en-US" w:eastAsia="zh-CN"/>
              </w:rPr>
              <w:t>三线一单</w:t>
            </w:r>
            <w:r>
              <w:rPr>
                <w:rFonts w:ascii="Times New Roman" w:eastAsia="宋体" w:hAnsi="Times New Roman" w:cs="Times New Roman" w:hint="default"/>
                <w:color w:val="auto"/>
                <w:highlight w:val="none"/>
                <w:lang w:eastAsia="zh-CN"/>
              </w:rPr>
              <w:t>”</w:t>
            </w:r>
            <w:r>
              <w:rPr>
                <w:rFonts w:ascii="Times New Roman" w:eastAsia="宋体" w:hAnsi="Times New Roman" w:cs="Times New Roman" w:hint="default"/>
                <w:color w:val="auto"/>
                <w:highlight w:val="none"/>
              </w:rPr>
              <w:t>符合性</w:t>
            </w:r>
            <w:r>
              <w:rPr>
                <w:rFonts w:ascii="Times New Roman" w:eastAsia="宋体" w:hAnsi="Times New Roman" w:cs="Times New Roman" w:hint="default"/>
                <w:color w:val="auto"/>
                <w:highlight w:val="none"/>
                <w:lang w:val="en-US" w:eastAsia="zh-CN"/>
              </w:rPr>
              <w:t>分析</w:t>
            </w:r>
          </w:p>
          <w:p>
            <w:pPr>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表1-2    “三线一单”符合性分析</w:t>
            </w:r>
          </w:p>
          <w:tbl>
            <w:tblPr>
              <w:tblStyle w:val="TableNormal"/>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80"/>
              <w:gridCol w:w="5267"/>
              <w:gridCol w:w="925"/>
            </w:tblGrid>
            <w:tr>
              <w:tblPrEx>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3"/>
              </w:trPr>
              <w:tc>
                <w:tcPr>
                  <w:tcW w:w="1116" w:type="pct"/>
                  <w:vAlign w:val="center"/>
                </w:tcPr>
                <w:p>
                  <w:pPr>
                    <w:adjustRightInd w:val="0"/>
                    <w:snapToGrid w:val="0"/>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“三线一单”具体内容</w:t>
                  </w:r>
                </w:p>
              </w:tc>
              <w:tc>
                <w:tcPr>
                  <w:tcW w:w="3302" w:type="pct"/>
                  <w:vAlign w:val="center"/>
                </w:tcPr>
                <w:p>
                  <w:pPr>
                    <w:adjustRightInd w:val="0"/>
                    <w:snapToGrid w:val="0"/>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符合性分析</w:t>
                  </w:r>
                </w:p>
              </w:tc>
              <w:tc>
                <w:tcPr>
                  <w:tcW w:w="580" w:type="pct"/>
                  <w:vAlign w:val="center"/>
                </w:tcPr>
                <w:p>
                  <w:pPr>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相符性</w:t>
                  </w:r>
                </w:p>
              </w:tc>
            </w:tr>
            <w:tr>
              <w:tblPrEx>
                <w:tblW w:w="4999" w:type="pct"/>
                <w:tblInd w:w="0" w:type="dxa"/>
                <w:tblLayout w:type="fixed"/>
                <w:tblCellMar>
                  <w:top w:w="0" w:type="dxa"/>
                  <w:left w:w="108" w:type="dxa"/>
                  <w:bottom w:w="0" w:type="dxa"/>
                  <w:right w:w="108" w:type="dxa"/>
                </w:tblCellMar>
              </w:tblPrEx>
              <w:trPr>
                <w:trHeight w:val="794"/>
              </w:trPr>
              <w:tc>
                <w:tcPr>
                  <w:tcW w:w="1116" w:type="pct"/>
                  <w:vAlign w:val="center"/>
                </w:tcPr>
                <w:p>
                  <w:pPr>
                    <w:adjustRightInd w:val="0"/>
                    <w:snapToGrid w:val="0"/>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生态保护红线</w:t>
                  </w:r>
                </w:p>
              </w:tc>
              <w:tc>
                <w:tcPr>
                  <w:tcW w:w="3302" w:type="pct"/>
                  <w:vAlign w:val="center"/>
                </w:tcPr>
                <w:p>
                  <w:pPr>
                    <w:adjustRightInd w:val="0"/>
                    <w:snapToGrid w:val="0"/>
                    <w:spacing w:before="120" w:beforeLines="50" w:after="120" w:afterLines="50"/>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本项目位于</w:t>
                  </w:r>
                  <w:r>
                    <w:rPr>
                      <w:rFonts w:ascii="Times New Roman" w:eastAsia="宋体" w:hAnsi="Times New Roman" w:cs="Times New Roman" w:hint="eastAsia"/>
                      <w:color w:val="auto"/>
                      <w:highlight w:val="none"/>
                      <w:lang w:val="en-US" w:eastAsia="zh-CN"/>
                    </w:rPr>
                    <w:t>富阎产业合作园区富辰三路以南、富辰四路以北、金粟大道以西无人机整机生产线项目内</w:t>
                  </w:r>
                  <w:r>
                    <w:rPr>
                      <w:rFonts w:ascii="Times New Roman" w:eastAsia="宋体" w:hAnsi="Times New Roman" w:cs="Times New Roman" w:hint="default"/>
                      <w:color w:val="auto"/>
                      <w:szCs w:val="21"/>
                      <w:highlight w:val="none"/>
                    </w:rPr>
                    <w:t>。根据《陕西省人民政府关于加快实施“三线一单”生态环境分区管控的意见》（陕政发【2020】11号）文件要求，本项目位于</w:t>
                  </w:r>
                  <w:r>
                    <w:rPr>
                      <w:rFonts w:ascii="Times New Roman" w:hAnsi="Times New Roman" w:cs="Times New Roman" w:hint="eastAsia"/>
                      <w:color w:val="auto"/>
                      <w:szCs w:val="21"/>
                      <w:highlight w:val="none"/>
                      <w:lang w:val="en-US" w:eastAsia="zh-CN"/>
                    </w:rPr>
                    <w:t>渭南市</w:t>
                  </w:r>
                  <w:r>
                    <w:rPr>
                      <w:rFonts w:ascii="Times New Roman" w:eastAsia="宋体" w:hAnsi="Times New Roman" w:cs="Times New Roman" w:hint="default"/>
                      <w:color w:val="auto"/>
                      <w:szCs w:val="21"/>
                      <w:highlight w:val="none"/>
                    </w:rPr>
                    <w:t>生态环境重点管控单元，不涉及优先保护单元（</w:t>
                  </w:r>
                  <w:r>
                    <w:rPr>
                      <w:rFonts w:ascii="Times New Roman" w:eastAsia="宋体" w:hAnsi="Times New Roman" w:cs="Times New Roman" w:hint="default"/>
                      <w:color w:val="auto"/>
                      <w:kern w:val="0"/>
                      <w:szCs w:val="21"/>
                      <w:highlight w:val="none"/>
                    </w:rPr>
                    <w:t>主要包括生态保护红线、自然保护地、集中式饮用水源保护区等生态功能重要区、生态环境敏感区保护红线、自然保护地、集中式饮用水源保护区等生态功能重要区、生态环境敏感区</w:t>
                  </w:r>
                  <w:r>
                    <w:rPr>
                      <w:rFonts w:ascii="Times New Roman" w:eastAsia="宋体" w:hAnsi="Times New Roman" w:cs="Times New Roman" w:hint="default"/>
                      <w:color w:val="auto"/>
                      <w:szCs w:val="21"/>
                      <w:highlight w:val="none"/>
                    </w:rPr>
                    <w:t>）。本项目建设不涉及生态保护红线。</w:t>
                  </w:r>
                </w:p>
              </w:tc>
              <w:tc>
                <w:tcPr>
                  <w:tcW w:w="580" w:type="pct"/>
                  <w:vAlign w:val="center"/>
                </w:tcPr>
                <w:p>
                  <w:pPr>
                    <w:adjustRightInd w:val="0"/>
                    <w:snapToGrid w:val="0"/>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4999" w:type="pct"/>
                <w:tblInd w:w="0" w:type="dxa"/>
                <w:tblLayout w:type="fixed"/>
                <w:tblCellMar>
                  <w:top w:w="0" w:type="dxa"/>
                  <w:left w:w="108" w:type="dxa"/>
                  <w:bottom w:w="0" w:type="dxa"/>
                  <w:right w:w="108" w:type="dxa"/>
                </w:tblCellMar>
              </w:tblPrEx>
              <w:trPr>
                <w:trHeight w:val="1011"/>
              </w:trPr>
              <w:tc>
                <w:tcPr>
                  <w:tcW w:w="1116" w:type="pct"/>
                  <w:vAlign w:val="center"/>
                </w:tcPr>
                <w:p>
                  <w:pPr>
                    <w:adjustRightInd w:val="0"/>
                    <w:snapToGrid w:val="0"/>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资源利用上线</w:t>
                  </w:r>
                </w:p>
              </w:tc>
              <w:tc>
                <w:tcPr>
                  <w:tcW w:w="3302" w:type="pct"/>
                  <w:vAlign w:val="center"/>
                </w:tcPr>
                <w:p>
                  <w:pPr>
                    <w:adjustRightInd w:val="0"/>
                    <w:snapToGrid w:val="0"/>
                    <w:spacing w:before="120" w:beforeLines="50" w:after="120" w:afterLines="50"/>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重点管控单元以提升资源利用效率、加强污染物减排治理和环境风险防控为重点，解决突出生态环境问题。本项目主要能耗资源为水和电。项目用水由市政管网供给，用电由市政电网供给；项目资源消耗量相对于区域资源利用总量较小，符合资源利用上线要求。</w:t>
                  </w:r>
                </w:p>
              </w:tc>
              <w:tc>
                <w:tcPr>
                  <w:tcW w:w="580" w:type="pct"/>
                  <w:vAlign w:val="center"/>
                </w:tcPr>
                <w:p>
                  <w:pPr>
                    <w:widowControl/>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4999" w:type="pct"/>
                <w:tblInd w:w="0" w:type="dxa"/>
                <w:tblLayout w:type="fixed"/>
                <w:tblCellMar>
                  <w:top w:w="0" w:type="dxa"/>
                  <w:left w:w="108" w:type="dxa"/>
                  <w:bottom w:w="0" w:type="dxa"/>
                  <w:right w:w="108" w:type="dxa"/>
                </w:tblCellMar>
              </w:tblPrEx>
              <w:tc>
                <w:tcPr>
                  <w:tcW w:w="1116" w:type="pct"/>
                  <w:vAlign w:val="center"/>
                </w:tcPr>
                <w:p>
                  <w:pPr>
                    <w:adjustRightInd w:val="0"/>
                    <w:snapToGrid w:val="0"/>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环境质量底线</w:t>
                  </w:r>
                </w:p>
              </w:tc>
              <w:tc>
                <w:tcPr>
                  <w:tcW w:w="3302" w:type="pct"/>
                  <w:vAlign w:val="center"/>
                </w:tcPr>
                <w:p>
                  <w:pPr>
                    <w:adjustRightInd w:val="0"/>
                    <w:snapToGrid w:val="0"/>
                    <w:spacing w:before="120" w:beforeLines="50" w:after="0"/>
                    <w:rPr>
                      <w:rFonts w:ascii="Times New Roman" w:hAnsi="Times New Roman" w:hint="default"/>
                      <w:color w:val="auto"/>
                      <w:highlight w:val="none"/>
                    </w:rPr>
                  </w:pPr>
                </w:p>
              </w:tc>
              <w:tc>
                <w:tcPr>
                  <w:tcW w:w="580" w:type="pct"/>
                  <w:vAlign w:val="center"/>
                </w:tcPr>
                <w:p>
                  <w:pPr>
                    <w:adjustRightInd w:val="0"/>
                    <w:snapToGrid w:val="0"/>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bl>
          <w:p/>
        </w:tc>
      </w:tr>
    </w:tbl>
    <w:p>
      <w:pPr>
        <w:sectPr>
          <w:footerReference w:type="default" r:id="rId7"/>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3"/>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0"/>
        <w:gridCol w:w="8200"/>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843"/>
          <w:jc w:val="center"/>
        </w:trPr>
        <w:tc>
          <w:tcPr>
            <w:tcW w:w="670" w:type="dxa"/>
            <w:noWrap w:val="0"/>
            <w:vAlign w:val="center"/>
          </w:tcPr>
          <w:p/>
        </w:tc>
        <w:tc>
          <w:tcPr>
            <w:tcW w:w="8200" w:type="dxa"/>
            <w:noWrap w:val="0"/>
            <w:vAlign w:val="center"/>
          </w:tcPr>
          <w:tbl>
            <w:tblPr>
              <w:tblStyle w:val="TableNormal"/>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80"/>
              <w:gridCol w:w="5267"/>
              <w:gridCol w:w="925"/>
            </w:tblGrid>
            <w:tr>
              <w:tblPrEx>
                <w:tblW w:w="4999"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116" w:type="pct"/>
                  <w:vAlign w:val="center"/>
                </w:tcPr>
                <w:p/>
              </w:tc>
              <w:tc>
                <w:tcPr>
                  <w:tcW w:w="3302" w:type="pct"/>
                  <w:vAlign w:val="center"/>
                </w:tcPr>
                <w:p>
                  <w:pPr>
                    <w:adjustRightInd w:val="0"/>
                    <w:snapToGrid w:val="0"/>
                    <w:spacing w:before="0" w:after="120" w:afterLines="50"/>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根据陕西省环境保护厅办公室发布的《环保快报》数据结果，</w:t>
                  </w:r>
                  <w:r>
                    <w:rPr>
                      <w:rFonts w:ascii="Times New Roman" w:hAnsi="Times New Roman" w:cs="Times New Roman" w:hint="eastAsia"/>
                      <w:color w:val="auto"/>
                      <w:szCs w:val="21"/>
                      <w:highlight w:val="none"/>
                      <w:lang w:val="en-US" w:eastAsia="zh-CN"/>
                    </w:rPr>
                    <w:t>富平县</w:t>
                  </w:r>
                  <w:r>
                    <w:rPr>
                      <w:rFonts w:ascii="Times New Roman" w:eastAsia="宋体" w:hAnsi="Times New Roman" w:cs="Times New Roman" w:hint="default"/>
                      <w:color w:val="auto"/>
                      <w:szCs w:val="21"/>
                      <w:highlight w:val="none"/>
                    </w:rPr>
                    <w:t>环境空气质量为不达标区。</w:t>
                  </w:r>
                  <w:r>
                    <w:rPr>
                      <w:rFonts w:ascii="Times New Roman" w:eastAsia="宋体" w:hAnsi="Times New Roman" w:cs="Times New Roman" w:hint="default"/>
                      <w:color w:val="auto"/>
                      <w:kern w:val="0"/>
                      <w:szCs w:val="21"/>
                      <w:highlight w:val="none"/>
                    </w:rPr>
                    <w:t>本项目运营期各污染物采取相应的环保措施后能满足达标排放要求，项目建设不会改变区域环境质量，不触及环境质量底线。</w:t>
                  </w:r>
                </w:p>
              </w:tc>
              <w:tc>
                <w:tcPr>
                  <w:tcW w:w="580" w:type="pct"/>
                  <w:vAlign w:val="center"/>
                </w:tcPr>
                <w:p/>
              </w:tc>
            </w:tr>
            <w:tr>
              <w:tblPrEx>
                <w:tblW w:w="4999" w:type="pct"/>
                <w:tblInd w:w="0" w:type="dxa"/>
                <w:tblLayout w:type="fixed"/>
                <w:tblCellMar>
                  <w:top w:w="0" w:type="dxa"/>
                  <w:left w:w="108" w:type="dxa"/>
                  <w:bottom w:w="0" w:type="dxa"/>
                  <w:right w:w="108" w:type="dxa"/>
                </w:tblCellMar>
              </w:tblPrEx>
              <w:trPr>
                <w:trHeight w:val="90"/>
              </w:trPr>
              <w:tc>
                <w:tcPr>
                  <w:tcW w:w="1116" w:type="pct"/>
                  <w:vAlign w:val="center"/>
                </w:tcPr>
                <w:p>
                  <w:pPr>
                    <w:adjustRightInd w:val="0"/>
                    <w:snapToGrid w:val="0"/>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环境准入负面清单</w:t>
                  </w:r>
                </w:p>
              </w:tc>
              <w:tc>
                <w:tcPr>
                  <w:tcW w:w="3302" w:type="pct"/>
                  <w:vAlign w:val="center"/>
                </w:tcPr>
                <w:p>
                  <w:pPr>
                    <w:adjustRightInd w:val="0"/>
                    <w:snapToGrid w:val="0"/>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本项目属</w:t>
                  </w:r>
                  <w:r>
                    <w:rPr>
                      <w:rFonts w:ascii="Times New Roman" w:eastAsia="宋体" w:hAnsi="Times New Roman" w:cs="Times New Roman" w:hint="eastAsia"/>
                      <w:color w:val="auto"/>
                      <w:highlight w:val="none"/>
                      <w:lang w:val="en-US" w:eastAsia="zh-CN"/>
                    </w:rPr>
                    <w:t>环境保护专用设备</w:t>
                  </w:r>
                  <w:r>
                    <w:rPr>
                      <w:rFonts w:ascii="Times New Roman" w:eastAsia="宋体" w:hAnsi="Times New Roman" w:cs="Times New Roman" w:hint="default"/>
                      <w:color w:val="auto"/>
                      <w:highlight w:val="none"/>
                      <w:lang w:val="en-US" w:eastAsia="zh-CN"/>
                    </w:rPr>
                    <w:t>制造</w:t>
                  </w:r>
                  <w:r>
                    <w:rPr>
                      <w:rFonts w:ascii="Times New Roman" w:eastAsia="宋体" w:hAnsi="Times New Roman" w:cs="Times New Roman" w:hint="eastAsia"/>
                      <w:color w:val="auto"/>
                      <w:highlight w:val="none"/>
                      <w:lang w:val="en-US" w:eastAsia="zh-CN"/>
                    </w:rPr>
                    <w:t>业</w:t>
                  </w:r>
                  <w:r>
                    <w:rPr>
                      <w:rFonts w:ascii="Times New Roman" w:eastAsia="宋体" w:hAnsi="Times New Roman" w:cs="Times New Roman" w:hint="default"/>
                      <w:color w:val="auto"/>
                      <w:szCs w:val="21"/>
                      <w:highlight w:val="none"/>
                    </w:rPr>
                    <w:t>，对照《陕西省国家重点生态功能区产业准入负面清单（试行）》中列出的产业目录，项目行业类别不在该功能区的负面清单内。</w:t>
                  </w:r>
                </w:p>
              </w:tc>
              <w:tc>
                <w:tcPr>
                  <w:tcW w:w="580" w:type="pct"/>
                  <w:vAlign w:val="center"/>
                </w:tcPr>
                <w:p>
                  <w:pPr>
                    <w:adjustRightInd w:val="0"/>
                    <w:snapToGrid w:val="0"/>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bl>
          <w:p>
            <w:pPr>
              <w:pStyle w:val="Default"/>
              <w:spacing w:line="360" w:lineRule="auto"/>
              <w:ind w:firstLine="420"/>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根据陕西省生态办公厅“三线一单”数据应用系统给出的项目《陕西省“三线一单”生态环境管控单元对照分析报告》，本项目所属环境管控单元仅涉及重点管控单元，不涉及优先保护单元和一般管控单元。</w:t>
            </w:r>
          </w:p>
          <w:p>
            <w:pPr>
              <w:pStyle w:val="Default"/>
              <w:spacing w:line="360" w:lineRule="auto"/>
              <w:ind w:firstLine="420"/>
              <w:rPr>
                <w:rFonts w:ascii="Times New Roman" w:eastAsia="宋体" w:hAnsi="Times New Roman" w:cs="Times New Roman" w:hint="default"/>
                <w:color w:val="auto"/>
                <w:sz w:val="21"/>
                <w:szCs w:val="21"/>
                <w:highlight w:val="none"/>
              </w:rPr>
            </w:pPr>
            <w:r>
              <w:rPr>
                <w:rFonts w:ascii="Times New Roman" w:eastAsia="宋体" w:hAnsi="Times New Roman" w:cs="Times New Roman" w:hint="eastAsia"/>
                <w:color w:val="auto"/>
                <w:sz w:val="21"/>
                <w:szCs w:val="21"/>
                <w:highlight w:val="none"/>
                <w:lang w:eastAsia="zh-CN"/>
              </w:rPr>
              <w:t>（</w:t>
            </w:r>
            <w:r>
              <w:rPr>
                <w:rFonts w:ascii="Times New Roman" w:eastAsia="宋体" w:hAnsi="Times New Roman" w:cs="Times New Roman" w:hint="eastAsia"/>
                <w:color w:val="auto"/>
                <w:sz w:val="21"/>
                <w:szCs w:val="21"/>
                <w:highlight w:val="none"/>
                <w:lang w:val="en-US" w:eastAsia="zh-CN"/>
              </w:rPr>
              <w:t>1</w:t>
            </w:r>
            <w:r>
              <w:rPr>
                <w:rFonts w:ascii="Times New Roman" w:eastAsia="宋体" w:hAnsi="Times New Roman"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一图</w:t>
            </w:r>
          </w:p>
          <w:p>
            <w:pPr>
              <w:pStyle w:val="Default"/>
              <w:spacing w:line="360" w:lineRule="auto"/>
              <w:jc w:val="center"/>
              <w:rPr>
                <w:rFonts w:ascii="Times New Roman" w:eastAsia="宋体" w:hAnsi="Times New Roman" w:cs="Times New Roman" w:hint="default"/>
                <w:b/>
                <w:color w:val="auto"/>
                <w:sz w:val="21"/>
                <w:szCs w:val="21"/>
                <w:highlight w:val="none"/>
              </w:rPr>
            </w:pPr>
            <w:r>
              <w:rPr>
                <w:color w:val="auto"/>
                <w:sz w:val="24"/>
                <w:highlight w:val="none"/>
              </w:rPr>
              <mc:AlternateContent>
                <mc:Choice Requires="wps">
                  <w:drawing>
                    <wp:anchor distT="0" distB="0" distL="114300" distR="114300" simplePos="0" relativeHeight="251659264" behindDoc="0" locked="0" layoutInCell="1" allowOverlap="1">
                      <wp:simplePos x="0" y="0"/>
                      <wp:positionH relativeFrom="column">
                        <wp:posOffset>2440305</wp:posOffset>
                      </wp:positionH>
                      <wp:positionV relativeFrom="paragraph">
                        <wp:posOffset>700405</wp:posOffset>
                      </wp:positionV>
                      <wp:extent cx="1120775" cy="297180"/>
                      <wp:effectExtent l="6350" t="6350" r="457835" b="336550"/>
                      <wp:wrapNone/>
                      <wp:docPr id="46" name="矩形标注 46"/>
                      <wp:cNvGraphicFramePr/>
                      <a:graphic xmlns:a="http://schemas.openxmlformats.org/drawingml/2006/main">
                        <a:graphicData uri="http://schemas.microsoft.com/office/word/2010/wordprocessingShape">
                          <wps:wsp xmlns:wps="http://schemas.microsoft.com/office/word/2010/wordprocessingShape">
                            <wps:cNvSpPr/>
                            <wps:spPr>
                              <a:xfrm>
                                <a:off x="3818890" y="1930400"/>
                                <a:ext cx="1120775" cy="297180"/>
                              </a:xfrm>
                              <a:prstGeom prst="wedgeRectCallout">
                                <a:avLst>
                                  <a:gd name="adj1" fmla="val 89773"/>
                                  <a:gd name="adj2" fmla="val 158547"/>
                                </a:avLst>
                              </a:prstGeom>
                              <a:noFill/>
                              <a:ln w="12700">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default"/>
                                      <w:color w:val="FF0000"/>
                                    </w:rPr>
                                  </w:pPr>
                                  <w:r>
                                    <w:rPr>
                                      <w:rFonts w:hint="eastAsia"/>
                                      <w:color w:val="FF0000"/>
                                      <w:lang w:val="en-US" w:eastAsia="zh-CN"/>
                                    </w:rPr>
                                    <w:t>项目所在地</w:t>
                                  </w:r>
                                </w:p>
                              </w:txbxContent>
                            </wps:txbx>
                            <wps:bodyPr rot="0" spcFirstLastPara="0" vertOverflow="overflow" horzOverflow="overflow" vert="horz" wrap="square" lIns="91440" tIns="45720" rIns="91440" bIns="45720" numCol="1" spcCol="0" rtlCol="0" fromWordArt="0" anchor="ctr" anchorCtr="0" forceAA="0" compatLnSpc="1"/>
                          </wps:wsp>
                        </a:graphicData>
                      </a:graphic>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矩形标注 46" o:spid="_x0000_s1025" type="#_x0000_t61" style="width:88.25pt;height:23.4pt;margin-top:55.15pt;margin-left:192.15pt;mso-wrap-distance-bottom:0;mso-wrap-distance-left:9pt;mso-wrap-distance-right:9pt;mso-wrap-distance-top:0;position:absolute;v-text-anchor:middle;z-index:251658240" adj="19929,15156" filled="f" fillcolor="this" stroked="t" strokecolor="red" strokeweight="1pt">
                      <v:textbox>
                        <w:txbxContent>
                          <w:p>
                            <w:pPr>
                              <w:jc w:val="center"/>
                              <w:rPr>
                                <w:rFonts w:hint="default"/>
                                <w:color w:val="FF0000"/>
                              </w:rPr>
                            </w:pPr>
                            <w:r>
                              <w:rPr>
                                <w:rFonts w:hint="eastAsia"/>
                                <w:color w:val="FF0000"/>
                                <w:lang w:val="en-US" w:eastAsia="zh-CN"/>
                              </w:rPr>
                              <w:t>项目所在地</w:t>
                            </w:r>
                          </w:p>
                        </w:txbxContent>
                      </v:textbox>
                    </v:shape>
                  </w:pict>
                </mc:Fallback>
              </mc:AlternateContent>
            </w:r>
            <w:r>
              <w:rPr>
                <w:color w:val="auto"/>
                <w:highlight w:val="none"/>
              </w:rPr>
              <w:drawing>
                <wp:inline distT="0" distB="0" distL="114300" distR="114300">
                  <wp:extent cx="5026660" cy="3540125"/>
                  <wp:effectExtent l="9525" t="9525" r="23495" b="16510"/>
                  <wp:docPr id="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
                          <pic:cNvPicPr>
                            <a:picLocks noChangeAspect="1"/>
                          </pic:cNvPicPr>
                        </pic:nvPicPr>
                        <pic:blipFill>
                          <a:blip xmlns:r="http://schemas.openxmlformats.org/officeDocument/2006/relationships" r:embed="rId8"/>
                          <a:stretch>
                            <a:fillRect/>
                          </a:stretch>
                        </pic:blipFill>
                        <pic:spPr>
                          <a:xfrm>
                            <a:off x="0" y="0"/>
                            <a:ext cx="5026660" cy="3540125"/>
                          </a:xfrm>
                          <a:prstGeom prst="rect">
                            <a:avLst/>
                          </a:prstGeom>
                          <a:noFill/>
                          <a:ln>
                            <a:solidFill>
                              <a:schemeClr val="tx1"/>
                            </a:solidFill>
                          </a:ln>
                        </pic:spPr>
                      </pic:pic>
                    </a:graphicData>
                  </a:graphic>
                </wp:inline>
              </w:drawing>
            </w:r>
            <w:r>
              <w:rPr>
                <w:rFonts w:ascii="Times New Roman" w:eastAsia="宋体" w:hAnsi="Times New Roman" w:cs="Times New Roman" w:hint="default"/>
                <w:b/>
                <w:color w:val="auto"/>
                <w:sz w:val="21"/>
                <w:szCs w:val="21"/>
                <w:highlight w:val="none"/>
              </w:rPr>
              <w:t>图1-1   本项目空间冲突分析图</w:t>
            </w:r>
          </w:p>
          <w:p>
            <w:pPr>
              <w:pStyle w:val="Default"/>
              <w:spacing w:line="360" w:lineRule="auto"/>
              <w:ind w:firstLine="420"/>
              <w:rPr>
                <w:rFonts w:ascii="Times New Roman" w:eastAsia="宋体" w:hAnsi="Times New Roman" w:cs="Times New Roman" w:hint="default"/>
                <w:color w:val="auto"/>
                <w:sz w:val="21"/>
                <w:szCs w:val="21"/>
                <w:highlight w:val="none"/>
              </w:rPr>
            </w:pPr>
            <w:r>
              <w:rPr>
                <w:rFonts w:ascii="Times New Roman" w:eastAsia="宋体" w:hAnsi="Times New Roman" w:cs="Times New Roman" w:hint="eastAsia"/>
                <w:color w:val="auto"/>
                <w:sz w:val="21"/>
                <w:szCs w:val="21"/>
                <w:highlight w:val="none"/>
                <w:lang w:eastAsia="zh-CN"/>
              </w:rPr>
              <w:t>（</w:t>
            </w:r>
            <w:r>
              <w:rPr>
                <w:rFonts w:ascii="Times New Roman" w:eastAsia="宋体" w:hAnsi="Times New Roman" w:cs="Times New Roman" w:hint="eastAsia"/>
                <w:color w:val="auto"/>
                <w:sz w:val="21"/>
                <w:szCs w:val="21"/>
                <w:highlight w:val="none"/>
                <w:lang w:val="en-US" w:eastAsia="zh-CN"/>
              </w:rPr>
              <w:t>2</w:t>
            </w:r>
            <w:r>
              <w:rPr>
                <w:rFonts w:ascii="Times New Roman" w:eastAsia="宋体" w:hAnsi="Times New Roman" w:cs="Times New Roman" w:hint="eastAsia"/>
                <w:color w:val="auto"/>
                <w:sz w:val="21"/>
                <w:szCs w:val="21"/>
                <w:highlight w:val="none"/>
                <w:lang w:eastAsia="zh-CN"/>
              </w:rPr>
              <w:t>）</w:t>
            </w:r>
            <w:r>
              <w:rPr>
                <w:rFonts w:ascii="Times New Roman" w:eastAsia="宋体" w:hAnsi="Times New Roman" w:cs="Times New Roman" w:hint="default"/>
                <w:color w:val="auto"/>
                <w:sz w:val="21"/>
                <w:szCs w:val="21"/>
                <w:highlight w:val="none"/>
              </w:rPr>
              <w:t>一表</w:t>
            </w:r>
          </w:p>
          <w:p>
            <w:pPr>
              <w:jc w:val="center"/>
              <w:rPr>
                <w:rFonts w:ascii="Times New Roman" w:hAnsi="Times New Roman" w:hint="default"/>
                <w:b/>
                <w:bCs/>
                <w:color w:val="auto"/>
                <w:highlight w:val="none"/>
              </w:rPr>
            </w:pPr>
            <w:r>
              <w:rPr>
                <w:rFonts w:ascii="Times New Roman" w:eastAsia="宋体" w:hAnsi="Times New Roman" w:cs="Times New Roman" w:hint="default"/>
                <w:b/>
                <w:bCs/>
                <w:color w:val="auto"/>
                <w:szCs w:val="21"/>
                <w:highlight w:val="none"/>
              </w:rPr>
              <w:t>表1-3    与</w:t>
            </w:r>
            <w:r>
              <w:rPr>
                <w:rFonts w:ascii="Times New Roman" w:hAnsi="Times New Roman" w:cs="Times New Roman" w:hint="eastAsia"/>
                <w:b/>
                <w:bCs/>
                <w:color w:val="auto"/>
                <w:szCs w:val="21"/>
                <w:highlight w:val="none"/>
                <w:lang w:val="en-US" w:eastAsia="zh-CN"/>
              </w:rPr>
              <w:t>渭南</w:t>
            </w:r>
            <w:r>
              <w:rPr>
                <w:rFonts w:ascii="Times New Roman" w:eastAsia="宋体" w:hAnsi="Times New Roman" w:cs="Times New Roman" w:hint="default"/>
                <w:b/>
                <w:bCs/>
                <w:color w:val="auto"/>
                <w:szCs w:val="21"/>
                <w:highlight w:val="none"/>
              </w:rPr>
              <w:t>市“三线一单”分区管控方案对比分析</w:t>
            </w:r>
          </w:p>
          <w:tbl>
            <w:tblPr>
              <w:tblStyle w:val="TableNormal"/>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822"/>
              <w:gridCol w:w="680"/>
              <w:gridCol w:w="750"/>
              <w:gridCol w:w="649"/>
              <w:gridCol w:w="2173"/>
              <w:gridCol w:w="1687"/>
              <w:gridCol w:w="773"/>
            </w:tblGrid>
            <w:tr>
              <w:tblPrEx>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3"/>
                <w:jc w:val="center"/>
              </w:trPr>
              <w:tc>
                <w:tcPr>
                  <w:tcW w:w="274" w:type="pct"/>
                  <w:vAlign w:val="center"/>
                </w:tcPr>
                <w:p>
                  <w:pPr>
                    <w:adjustRightInd w:val="0"/>
                    <w:snapToGrid w:val="0"/>
                    <w:jc w:val="center"/>
                    <w:rPr>
                      <w:b/>
                      <w:bCs/>
                      <w:color w:val="auto"/>
                      <w:highlight w:val="none"/>
                    </w:rPr>
                  </w:pPr>
                  <w:r>
                    <w:rPr>
                      <w:rFonts w:hint="eastAsia"/>
                      <w:b/>
                      <w:bCs/>
                      <w:color w:val="auto"/>
                      <w:sz w:val="21"/>
                      <w:szCs w:val="21"/>
                      <w:highlight w:val="none"/>
                    </w:rPr>
                    <w:t>市区县</w:t>
                  </w:r>
                </w:p>
              </w:tc>
              <w:tc>
                <w:tcPr>
                  <w:tcW w:w="515" w:type="pct"/>
                  <w:vAlign w:val="center"/>
                </w:tcPr>
                <w:p>
                  <w:pPr>
                    <w:adjustRightInd w:val="0"/>
                    <w:snapToGrid w:val="0"/>
                    <w:jc w:val="center"/>
                    <w:rPr>
                      <w:b/>
                      <w:bCs/>
                      <w:color w:val="auto"/>
                      <w:highlight w:val="none"/>
                    </w:rPr>
                  </w:pPr>
                  <w:r>
                    <w:rPr>
                      <w:rFonts w:hint="eastAsia"/>
                      <w:b/>
                      <w:bCs/>
                      <w:color w:val="auto"/>
                      <w:sz w:val="21"/>
                      <w:szCs w:val="21"/>
                      <w:highlight w:val="none"/>
                    </w:rPr>
                    <w:t>环境管控单位名称</w:t>
                  </w:r>
                </w:p>
              </w:tc>
              <w:tc>
                <w:tcPr>
                  <w:tcW w:w="426" w:type="pct"/>
                  <w:vAlign w:val="center"/>
                </w:tcPr>
                <w:p>
                  <w:pPr>
                    <w:adjustRightInd w:val="0"/>
                    <w:snapToGrid w:val="0"/>
                    <w:jc w:val="center"/>
                    <w:rPr>
                      <w:b/>
                      <w:bCs/>
                      <w:color w:val="auto"/>
                      <w:highlight w:val="none"/>
                    </w:rPr>
                  </w:pPr>
                  <w:r>
                    <w:rPr>
                      <w:rFonts w:hint="eastAsia"/>
                      <w:b/>
                      <w:bCs/>
                      <w:color w:val="auto"/>
                      <w:sz w:val="21"/>
                      <w:szCs w:val="21"/>
                      <w:highlight w:val="none"/>
                    </w:rPr>
                    <w:t>管控单元分类</w:t>
                  </w:r>
                </w:p>
              </w:tc>
              <w:tc>
                <w:tcPr>
                  <w:tcW w:w="470" w:type="pct"/>
                  <w:vAlign w:val="center"/>
                </w:tcPr>
                <w:p>
                  <w:pPr>
                    <w:adjustRightInd w:val="0"/>
                    <w:snapToGrid w:val="0"/>
                    <w:jc w:val="center"/>
                    <w:rPr>
                      <w:b/>
                      <w:bCs/>
                      <w:color w:val="auto"/>
                      <w:highlight w:val="none"/>
                    </w:rPr>
                  </w:pPr>
                  <w:r>
                    <w:rPr>
                      <w:rFonts w:hint="eastAsia"/>
                      <w:b/>
                      <w:bCs/>
                      <w:color w:val="auto"/>
                      <w:sz w:val="21"/>
                      <w:szCs w:val="21"/>
                      <w:highlight w:val="none"/>
                    </w:rPr>
                    <w:t>单元要素属性</w:t>
                  </w:r>
                </w:p>
              </w:tc>
              <w:tc>
                <w:tcPr>
                  <w:tcW w:w="1769" w:type="pct"/>
                  <w:gridSpan w:val="2"/>
                  <w:vAlign w:val="center"/>
                </w:tcPr>
                <w:p>
                  <w:pPr>
                    <w:adjustRightInd w:val="0"/>
                    <w:snapToGrid w:val="0"/>
                    <w:jc w:val="center"/>
                    <w:rPr>
                      <w:b/>
                      <w:bCs/>
                      <w:color w:val="auto"/>
                      <w:highlight w:val="none"/>
                    </w:rPr>
                  </w:pPr>
                  <w:r>
                    <w:rPr>
                      <w:rFonts w:hint="eastAsia"/>
                      <w:b/>
                      <w:bCs/>
                      <w:color w:val="auto"/>
                      <w:sz w:val="21"/>
                      <w:szCs w:val="21"/>
                      <w:highlight w:val="none"/>
                    </w:rPr>
                    <w:t>管控要求</w:t>
                  </w:r>
                </w:p>
              </w:tc>
              <w:tc>
                <w:tcPr>
                  <w:tcW w:w="1057" w:type="pct"/>
                  <w:vAlign w:val="center"/>
                </w:tcPr>
                <w:p>
                  <w:pPr>
                    <w:adjustRightInd w:val="0"/>
                    <w:snapToGrid w:val="0"/>
                    <w:jc w:val="center"/>
                    <w:rPr>
                      <w:b/>
                      <w:bCs/>
                      <w:color w:val="auto"/>
                      <w:highlight w:val="none"/>
                    </w:rPr>
                  </w:pPr>
                  <w:r>
                    <w:rPr>
                      <w:rFonts w:ascii="宋体" w:hAnsi="宋体" w:cs="宋体"/>
                      <w:b/>
                      <w:bCs/>
                      <w:color w:val="auto"/>
                      <w:spacing w:val="8"/>
                      <w:sz w:val="21"/>
                      <w:szCs w:val="21"/>
                      <w:highlight w:val="none"/>
                    </w:rPr>
                    <w:t>项</w:t>
                  </w:r>
                  <w:r>
                    <w:rPr>
                      <w:rFonts w:ascii="宋体" w:hAnsi="宋体" w:cs="宋体"/>
                      <w:b/>
                      <w:bCs/>
                      <w:color w:val="auto"/>
                      <w:spacing w:val="6"/>
                      <w:sz w:val="21"/>
                      <w:szCs w:val="21"/>
                      <w:highlight w:val="none"/>
                    </w:rPr>
                    <w:t>目情况</w:t>
                  </w:r>
                </w:p>
              </w:tc>
              <w:tc>
                <w:tcPr>
                  <w:tcW w:w="485" w:type="pct"/>
                  <w:vAlign w:val="center"/>
                </w:tcPr>
                <w:p>
                  <w:pPr>
                    <w:adjustRightInd w:val="0"/>
                    <w:snapToGrid w:val="0"/>
                    <w:jc w:val="center"/>
                    <w:rPr>
                      <w:b/>
                      <w:bCs/>
                      <w:color w:val="auto"/>
                      <w:highlight w:val="none"/>
                    </w:rPr>
                  </w:pPr>
                  <w:r>
                    <w:rPr>
                      <w:rFonts w:hint="eastAsia"/>
                      <w:b/>
                      <w:bCs/>
                      <w:color w:val="auto"/>
                      <w:sz w:val="21"/>
                      <w:szCs w:val="21"/>
                      <w:highlight w:val="none"/>
                    </w:rPr>
                    <w:t>面积/长度</w:t>
                  </w:r>
                </w:p>
              </w:tc>
            </w:tr>
            <w:tr>
              <w:tblPrEx>
                <w:tblW w:w="4999" w:type="pct"/>
                <w:jc w:val="center"/>
                <w:tblLayout w:type="fixed"/>
                <w:tblCellMar>
                  <w:top w:w="0" w:type="dxa"/>
                  <w:left w:w="108" w:type="dxa"/>
                  <w:bottom w:w="0" w:type="dxa"/>
                  <w:right w:w="108" w:type="dxa"/>
                </w:tblCellMar>
              </w:tblPrEx>
              <w:trPr>
                <w:trHeight w:val="283"/>
                <w:jc w:val="center"/>
              </w:trPr>
              <w:tc>
                <w:tcPr>
                  <w:tcW w:w="274" w:type="pct"/>
                  <w:vAlign w:val="center"/>
                </w:tcPr>
                <w:p>
                  <w:pPr>
                    <w:adjustRightInd w:val="0"/>
                    <w:snapToGrid w:val="0"/>
                    <w:spacing w:after="0"/>
                    <w:jc w:val="center"/>
                    <w:rPr>
                      <w:rFonts w:hint="eastAsia"/>
                      <w:color w:val="auto"/>
                      <w:highlight w:val="none"/>
                    </w:rPr>
                  </w:pPr>
                </w:p>
              </w:tc>
              <w:tc>
                <w:tcPr>
                  <w:tcW w:w="515" w:type="pct"/>
                  <w:vAlign w:val="center"/>
                </w:tcPr>
                <w:p>
                  <w:pPr>
                    <w:adjustRightInd w:val="0"/>
                    <w:snapToGrid w:val="0"/>
                    <w:spacing w:after="0"/>
                    <w:jc w:val="center"/>
                    <w:rPr>
                      <w:color w:val="auto"/>
                      <w:highlight w:val="none"/>
                    </w:rPr>
                  </w:pPr>
                </w:p>
              </w:tc>
              <w:tc>
                <w:tcPr>
                  <w:tcW w:w="426" w:type="pct"/>
                  <w:vAlign w:val="center"/>
                </w:tcPr>
                <w:p>
                  <w:pPr>
                    <w:adjustRightInd w:val="0"/>
                    <w:snapToGrid w:val="0"/>
                    <w:spacing w:after="0"/>
                    <w:jc w:val="center"/>
                    <w:rPr>
                      <w:color w:val="auto"/>
                      <w:highlight w:val="none"/>
                    </w:rPr>
                  </w:pPr>
                </w:p>
              </w:tc>
              <w:tc>
                <w:tcPr>
                  <w:tcW w:w="470" w:type="pct"/>
                  <w:vAlign w:val="center"/>
                </w:tcPr>
                <w:p>
                  <w:pPr>
                    <w:adjustRightInd w:val="0"/>
                    <w:snapToGrid w:val="0"/>
                    <w:spacing w:after="0"/>
                    <w:jc w:val="center"/>
                    <w:rPr>
                      <w:color w:val="auto"/>
                      <w:highlight w:val="none"/>
                    </w:rPr>
                  </w:pPr>
                </w:p>
              </w:tc>
              <w:tc>
                <w:tcPr>
                  <w:tcW w:w="407" w:type="pct"/>
                  <w:vAlign w:val="center"/>
                </w:tcPr>
                <w:p>
                  <w:pPr>
                    <w:adjustRightInd w:val="0"/>
                    <w:snapToGrid w:val="0"/>
                    <w:spacing w:after="0"/>
                    <w:jc w:val="center"/>
                    <w:rPr>
                      <w:color w:val="auto"/>
                      <w:highlight w:val="none"/>
                    </w:rPr>
                  </w:pPr>
                </w:p>
              </w:tc>
              <w:tc>
                <w:tcPr>
                  <w:tcW w:w="1362" w:type="pct"/>
                  <w:vAlign w:val="center"/>
                </w:tcPr>
                <w:p>
                  <w:pPr>
                    <w:adjustRightInd w:val="0"/>
                    <w:snapToGrid w:val="0"/>
                    <w:spacing w:after="0"/>
                    <w:jc w:val="left"/>
                    <w:rPr>
                      <w:rFonts w:ascii="Times New Roman" w:hAnsi="Times New Roman"/>
                      <w:bCs/>
                      <w:color w:val="auto"/>
                      <w:highlight w:val="none"/>
                      <w:shd w:val="clear" w:color="auto" w:fill="FFFFFF"/>
                    </w:rPr>
                  </w:pPr>
                  <w:r>
                    <w:rPr>
                      <w:rFonts w:ascii="Times New Roman" w:hAnsi="Times New Roman"/>
                      <w:bCs/>
                      <w:color w:val="auto"/>
                      <w:sz w:val="21"/>
                      <w:szCs w:val="21"/>
                      <w:highlight w:val="none"/>
                      <w:shd w:val="clear" w:color="auto" w:fill="FFFFFF"/>
                    </w:rPr>
                    <w:t>1.</w:t>
                  </w:r>
                </w:p>
              </w:tc>
              <w:tc>
                <w:tcPr>
                  <w:tcW w:w="1057" w:type="pct"/>
                  <w:vAlign w:val="center"/>
                </w:tcPr>
                <w:p>
                  <w:pPr>
                    <w:adjustRightInd w:val="0"/>
                    <w:snapToGrid w:val="0"/>
                    <w:spacing w:after="0"/>
                    <w:jc w:val="left"/>
                    <w:rPr>
                      <w:rFonts w:ascii="Times New Roman" w:hAnsi="Times New Roman" w:hint="eastAsia"/>
                      <w:bCs/>
                      <w:color w:val="auto"/>
                      <w:highlight w:val="none"/>
                      <w:shd w:val="clear" w:color="auto" w:fill="FFFFFF"/>
                    </w:rPr>
                  </w:pPr>
                  <w:r>
                    <w:rPr>
                      <w:rFonts w:ascii="Times New Roman" w:eastAsia="宋体" w:hAnsi="Times New Roman" w:cs="Times New Roman" w:hint="eastAsia"/>
                      <w:bCs/>
                      <w:color w:val="auto"/>
                      <w:sz w:val="21"/>
                      <w:szCs w:val="21"/>
                      <w:highlight w:val="none"/>
                      <w:lang w:val="en-US" w:eastAsia="zh-CN"/>
                    </w:rPr>
                    <w:t>1本</w:t>
                  </w:r>
                  <w:r>
                    <w:rPr>
                      <w:rFonts w:ascii="Times New Roman" w:eastAsia="宋体" w:hAnsi="Times New Roman" w:cs="Times New Roman"/>
                      <w:bCs/>
                      <w:color w:val="auto"/>
                      <w:sz w:val="21"/>
                      <w:szCs w:val="21"/>
                      <w:highlight w:val="none"/>
                    </w:rPr>
                    <w:t>项目属于</w:t>
                  </w:r>
                </w:p>
              </w:tc>
              <w:tc>
                <w:tcPr>
                  <w:tcW w:w="485" w:type="pct"/>
                  <w:vAlign w:val="center"/>
                </w:tcPr>
                <w:p>
                  <w:pPr>
                    <w:adjustRightInd w:val="0"/>
                    <w:snapToGrid w:val="0"/>
                    <w:spacing w:after="0"/>
                    <w:jc w:val="center"/>
                    <w:rPr>
                      <w:color w:val="auto"/>
                      <w:highlight w:val="none"/>
                    </w:rPr>
                  </w:pPr>
                  <w:r>
                    <w:rPr>
                      <w:rFonts w:ascii="Times New Roman" w:hAnsi="Times New Roman" w:cs="Times New Roman" w:hint="eastAsia"/>
                      <w:color w:val="auto"/>
                      <w:highlight w:val="none"/>
                      <w:lang w:val="en-US" w:eastAsia="zh-CN"/>
                    </w:rPr>
                    <w:t>13322</w:t>
                  </w:r>
                </w:p>
              </w:tc>
            </w:tr>
          </w:tbl>
          <w:p/>
        </w:tc>
      </w:tr>
    </w:tbl>
    <w:p>
      <w:pPr>
        <w:sectPr>
          <w:footerReference w:type="default" r:id="rId9"/>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4"/>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0"/>
        <w:gridCol w:w="8200"/>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843"/>
          <w:jc w:val="center"/>
        </w:trPr>
        <w:tc>
          <w:tcPr>
            <w:tcW w:w="670" w:type="dxa"/>
            <w:noWrap w:val="0"/>
            <w:vAlign w:val="center"/>
          </w:tcPr>
          <w:p/>
        </w:tc>
        <w:tc>
          <w:tcPr>
            <w:tcW w:w="8200" w:type="dxa"/>
            <w:noWrap w:val="0"/>
            <w:vAlign w:val="center"/>
          </w:tcPr>
          <w:tbl>
            <w:tblPr>
              <w:tblStyle w:val="TableNormal"/>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822"/>
              <w:gridCol w:w="680"/>
              <w:gridCol w:w="750"/>
              <w:gridCol w:w="649"/>
              <w:gridCol w:w="2173"/>
              <w:gridCol w:w="1687"/>
              <w:gridCol w:w="773"/>
            </w:tblGrid>
            <w:tr>
              <w:tblPrEx>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3"/>
                <w:jc w:val="center"/>
              </w:trPr>
              <w:tc>
                <w:tcPr>
                  <w:tcW w:w="274" w:type="pct"/>
                  <w:vMerge w:val="restart"/>
                  <w:vAlign w:val="center"/>
                </w:tcPr>
                <w:p>
                  <w:pPr>
                    <w:adjustRightInd w:val="0"/>
                    <w:snapToGrid w:val="0"/>
                    <w:spacing w:before="0"/>
                    <w:jc w:val="center"/>
                    <w:rPr>
                      <w:rFonts w:hint="eastAsia"/>
                      <w:color w:val="auto"/>
                      <w:highlight w:val="none"/>
                    </w:rPr>
                  </w:pPr>
                  <w:r>
                    <w:rPr>
                      <w:rFonts w:hint="eastAsia"/>
                      <w:color w:val="auto"/>
                      <w:sz w:val="21"/>
                      <w:szCs w:val="21"/>
                      <w:highlight w:val="none"/>
                    </w:rPr>
                    <w:t>渭南市</w:t>
                  </w:r>
                  <w:r>
                    <w:rPr>
                      <w:rFonts w:hint="eastAsia"/>
                      <w:color w:val="auto"/>
                      <w:sz w:val="21"/>
                      <w:szCs w:val="21"/>
                      <w:highlight w:val="none"/>
                      <w:lang w:val="en-US" w:eastAsia="zh-CN"/>
                    </w:rPr>
                    <w:t>富平县</w:t>
                  </w:r>
                </w:p>
              </w:tc>
              <w:tc>
                <w:tcPr>
                  <w:tcW w:w="515" w:type="pct"/>
                  <w:vMerge w:val="restart"/>
                  <w:vAlign w:val="center"/>
                </w:tcPr>
                <w:p>
                  <w:pPr>
                    <w:adjustRightInd w:val="0"/>
                    <w:snapToGrid w:val="0"/>
                    <w:spacing w:before="0"/>
                    <w:jc w:val="center"/>
                    <w:rPr>
                      <w:color w:val="auto"/>
                      <w:highlight w:val="none"/>
                    </w:rPr>
                  </w:pPr>
                  <w:r>
                    <w:rPr>
                      <w:rFonts w:hint="eastAsia"/>
                      <w:color w:val="auto"/>
                      <w:sz w:val="21"/>
                      <w:szCs w:val="21"/>
                      <w:highlight w:val="none"/>
                    </w:rPr>
                    <w:t>渭南市重点管控区</w:t>
                  </w:r>
                </w:p>
              </w:tc>
              <w:tc>
                <w:tcPr>
                  <w:tcW w:w="426" w:type="pct"/>
                  <w:vMerge w:val="restart"/>
                  <w:vAlign w:val="center"/>
                </w:tcPr>
                <w:p>
                  <w:pPr>
                    <w:adjustRightInd w:val="0"/>
                    <w:snapToGrid w:val="0"/>
                    <w:spacing w:before="0"/>
                    <w:jc w:val="center"/>
                    <w:rPr>
                      <w:color w:val="auto"/>
                      <w:highlight w:val="none"/>
                    </w:rPr>
                  </w:pPr>
                  <w:r>
                    <w:rPr>
                      <w:rFonts w:hint="eastAsia"/>
                      <w:color w:val="auto"/>
                      <w:sz w:val="21"/>
                      <w:szCs w:val="21"/>
                      <w:highlight w:val="none"/>
                    </w:rPr>
                    <w:t>重点管控单元</w:t>
                  </w:r>
                </w:p>
              </w:tc>
              <w:tc>
                <w:tcPr>
                  <w:tcW w:w="470" w:type="pct"/>
                  <w:vMerge w:val="restart"/>
                  <w:vAlign w:val="center"/>
                </w:tcPr>
                <w:p>
                  <w:pPr>
                    <w:adjustRightInd w:val="0"/>
                    <w:snapToGrid w:val="0"/>
                    <w:spacing w:before="0"/>
                    <w:jc w:val="center"/>
                    <w:rPr>
                      <w:color w:val="auto"/>
                      <w:highlight w:val="none"/>
                    </w:rPr>
                  </w:pPr>
                  <w:r>
                    <w:rPr>
                      <w:rFonts w:hint="eastAsia"/>
                      <w:color w:val="auto"/>
                      <w:sz w:val="21"/>
                      <w:szCs w:val="21"/>
                      <w:highlight w:val="none"/>
                    </w:rPr>
                    <w:t>大气环境</w:t>
                  </w:r>
                </w:p>
              </w:tc>
              <w:tc>
                <w:tcPr>
                  <w:tcW w:w="407" w:type="pct"/>
                  <w:vAlign w:val="center"/>
                </w:tcPr>
                <w:p>
                  <w:pPr>
                    <w:adjustRightInd w:val="0"/>
                    <w:snapToGrid w:val="0"/>
                    <w:spacing w:before="0"/>
                    <w:jc w:val="center"/>
                    <w:rPr>
                      <w:color w:val="auto"/>
                      <w:highlight w:val="none"/>
                    </w:rPr>
                  </w:pPr>
                  <w:r>
                    <w:rPr>
                      <w:rFonts w:hint="eastAsia"/>
                      <w:color w:val="auto"/>
                      <w:sz w:val="21"/>
                      <w:szCs w:val="21"/>
                      <w:highlight w:val="none"/>
                    </w:rPr>
                    <w:t>空间布局约束</w:t>
                  </w:r>
                </w:p>
              </w:tc>
              <w:tc>
                <w:tcPr>
                  <w:tcW w:w="1362" w:type="pct"/>
                  <w:vAlign w:val="center"/>
                </w:tcPr>
                <w:p>
                  <w:pPr>
                    <w:adjustRightInd w:val="0"/>
                    <w:snapToGrid w:val="0"/>
                    <w:spacing w:before="0"/>
                    <w:jc w:val="left"/>
                    <w:rPr>
                      <w:rFonts w:ascii="Times New Roman" w:hAnsi="Times New Roman"/>
                      <w:bCs/>
                      <w:color w:val="auto"/>
                      <w:highlight w:val="none"/>
                      <w:shd w:val="clear" w:color="auto" w:fill="FFFFFF"/>
                    </w:rPr>
                  </w:pPr>
                  <w:r>
                    <w:rPr>
                      <w:rFonts w:ascii="Times New Roman" w:hAnsi="Times New Roman" w:hint="eastAsia"/>
                      <w:bCs/>
                      <w:color w:val="auto"/>
                      <w:sz w:val="21"/>
                      <w:szCs w:val="21"/>
                      <w:highlight w:val="none"/>
                      <w:shd w:val="clear" w:color="auto" w:fill="FFFFFF"/>
                    </w:rPr>
                    <w:t>严格控制新增煤电、石化、化工、钢铁、有色金属冶炼、建材等</w:t>
                  </w:r>
                  <w:r>
                    <w:rPr>
                      <w:rFonts w:ascii="Times New Roman" w:hAnsi="Times New Roman"/>
                      <w:bCs/>
                      <w:color w:val="auto"/>
                      <w:sz w:val="21"/>
                      <w:szCs w:val="21"/>
                      <w:highlight w:val="none"/>
                      <w:shd w:val="clear" w:color="auto" w:fill="FFFFFF"/>
                    </w:rPr>
                    <w:t>“</w:t>
                  </w:r>
                  <w:r>
                    <w:rPr>
                      <w:rFonts w:ascii="Times New Roman" w:hAnsi="Times New Roman" w:hint="eastAsia"/>
                      <w:bCs/>
                      <w:color w:val="auto"/>
                      <w:sz w:val="21"/>
                      <w:szCs w:val="21"/>
                      <w:highlight w:val="none"/>
                      <w:shd w:val="clear" w:color="auto" w:fill="FFFFFF"/>
                    </w:rPr>
                    <w:t>两高</w:t>
                  </w:r>
                  <w:r>
                    <w:rPr>
                      <w:rFonts w:ascii="Times New Roman" w:hAnsi="Times New Roman"/>
                      <w:bCs/>
                      <w:color w:val="auto"/>
                      <w:sz w:val="21"/>
                      <w:szCs w:val="21"/>
                      <w:highlight w:val="none"/>
                      <w:shd w:val="clear" w:color="auto" w:fill="FFFFFF"/>
                    </w:rPr>
                    <w:t>”</w:t>
                  </w:r>
                  <w:r>
                    <w:rPr>
                      <w:rFonts w:ascii="Times New Roman" w:hAnsi="Times New Roman" w:hint="eastAsia"/>
                      <w:bCs/>
                      <w:color w:val="auto"/>
                      <w:sz w:val="21"/>
                      <w:szCs w:val="21"/>
                      <w:highlight w:val="none"/>
                      <w:shd w:val="clear" w:color="auto" w:fill="FFFFFF"/>
                    </w:rPr>
                    <w:t>行业项目（民生等项目除外，后续对</w:t>
                  </w:r>
                  <w:r>
                    <w:rPr>
                      <w:rFonts w:ascii="Times New Roman" w:hAnsi="Times New Roman"/>
                      <w:bCs/>
                      <w:color w:val="auto"/>
                      <w:sz w:val="21"/>
                      <w:szCs w:val="21"/>
                      <w:highlight w:val="none"/>
                      <w:shd w:val="clear" w:color="auto" w:fill="FFFFFF"/>
                    </w:rPr>
                    <w:t>“</w:t>
                  </w:r>
                  <w:r>
                    <w:rPr>
                      <w:rFonts w:ascii="Times New Roman" w:hAnsi="Times New Roman" w:hint="eastAsia"/>
                      <w:bCs/>
                      <w:color w:val="auto"/>
                      <w:sz w:val="21"/>
                      <w:szCs w:val="21"/>
                      <w:highlight w:val="none"/>
                      <w:shd w:val="clear" w:color="auto" w:fill="FFFFFF"/>
                    </w:rPr>
                    <w:t>两高</w:t>
                  </w:r>
                  <w:r>
                    <w:rPr>
                      <w:rFonts w:ascii="Times New Roman" w:hAnsi="Times New Roman"/>
                      <w:bCs/>
                      <w:color w:val="auto"/>
                      <w:sz w:val="21"/>
                      <w:szCs w:val="21"/>
                      <w:highlight w:val="none"/>
                      <w:shd w:val="clear" w:color="auto" w:fill="FFFFFF"/>
                    </w:rPr>
                    <w:t>”</w:t>
                  </w:r>
                  <w:r>
                    <w:rPr>
                      <w:rFonts w:ascii="Times New Roman" w:hAnsi="Times New Roman" w:hint="eastAsia"/>
                      <w:bCs/>
                      <w:color w:val="auto"/>
                      <w:sz w:val="21"/>
                      <w:szCs w:val="21"/>
                      <w:highlight w:val="none"/>
                      <w:shd w:val="clear" w:color="auto" w:fill="FFFFFF"/>
                    </w:rPr>
                    <w:t>范围国家如有新规定的，从其规定）。</w:t>
                  </w:r>
                </w:p>
                <w:p>
                  <w:pPr>
                    <w:adjustRightInd w:val="0"/>
                    <w:snapToGrid w:val="0"/>
                    <w:jc w:val="left"/>
                    <w:rPr>
                      <w:color w:val="auto"/>
                      <w:highlight w:val="none"/>
                    </w:rPr>
                  </w:pPr>
                  <w:r>
                    <w:rPr>
                      <w:rFonts w:ascii="Times New Roman" w:hAnsi="Times New Roman"/>
                      <w:bCs/>
                      <w:color w:val="auto"/>
                      <w:sz w:val="21"/>
                      <w:szCs w:val="21"/>
                      <w:highlight w:val="none"/>
                      <w:shd w:val="clear" w:color="auto" w:fill="FFFFFF"/>
                    </w:rPr>
                    <w:t>2.</w:t>
                  </w:r>
                  <w:r>
                    <w:rPr>
                      <w:rFonts w:ascii="Times New Roman" w:hAnsi="Times New Roman" w:hint="eastAsia"/>
                      <w:bCs/>
                      <w:color w:val="auto"/>
                      <w:sz w:val="21"/>
                      <w:szCs w:val="21"/>
                      <w:highlight w:val="none"/>
                      <w:shd w:val="clear" w:color="auto" w:fill="FFFFFF"/>
                    </w:rPr>
                    <w:t>加快城市建成区重污染企业搬迁改造或关闭退出。</w:t>
                  </w:r>
                </w:p>
              </w:tc>
              <w:tc>
                <w:tcPr>
                  <w:tcW w:w="1057" w:type="pct"/>
                  <w:vAlign w:val="center"/>
                </w:tcPr>
                <w:p>
                  <w:pPr>
                    <w:adjustRightInd w:val="0"/>
                    <w:snapToGrid w:val="0"/>
                    <w:spacing w:before="0"/>
                    <w:jc w:val="left"/>
                    <w:rPr>
                      <w:rFonts w:ascii="Times New Roman" w:hAnsi="Times New Roman" w:hint="eastAsia"/>
                      <w:bCs/>
                      <w:color w:val="auto"/>
                      <w:highlight w:val="none"/>
                      <w:shd w:val="clear" w:color="auto" w:fill="FFFFFF"/>
                    </w:rPr>
                  </w:pPr>
                  <w:r>
                    <w:rPr>
                      <w:rFonts w:ascii="Times New Roman" w:hAnsi="Times New Roman" w:cs="Times New Roman" w:hint="eastAsia"/>
                      <w:bCs/>
                      <w:color w:val="auto"/>
                      <w:sz w:val="21"/>
                      <w:szCs w:val="21"/>
                      <w:highlight w:val="none"/>
                      <w:lang w:val="en-US" w:eastAsia="zh-CN"/>
                    </w:rPr>
                    <w:t>能源钻采高端装备制造项目</w:t>
                  </w:r>
                  <w:r>
                    <w:rPr>
                      <w:rFonts w:ascii="Times New Roman" w:eastAsia="宋体" w:hAnsi="Times New Roman" w:cs="Times New Roman"/>
                      <w:bCs/>
                      <w:color w:val="auto"/>
                      <w:sz w:val="21"/>
                      <w:szCs w:val="21"/>
                      <w:highlight w:val="none"/>
                    </w:rPr>
                    <w:t>，</w:t>
                  </w:r>
                  <w:r>
                    <w:rPr>
                      <w:rFonts w:ascii="Times New Roman" w:hAnsi="Times New Roman"/>
                      <w:bCs/>
                      <w:color w:val="auto"/>
                      <w:sz w:val="21"/>
                      <w:szCs w:val="21"/>
                      <w:highlight w:val="none"/>
                    </w:rPr>
                    <w:t>不属于重点管控区所列的严禁新增</w:t>
                  </w:r>
                  <w:r>
                    <w:rPr>
                      <w:rFonts w:ascii="Times New Roman" w:hAnsi="Times New Roman"/>
                      <w:bCs/>
                      <w:color w:val="auto"/>
                      <w:sz w:val="21"/>
                      <w:szCs w:val="21"/>
                      <w:highlight w:val="none"/>
                      <w:shd w:val="clear" w:color="auto" w:fill="FFFFFF"/>
                    </w:rPr>
                    <w:t>“</w:t>
                  </w:r>
                  <w:r>
                    <w:rPr>
                      <w:rFonts w:ascii="Times New Roman" w:hAnsi="Times New Roman" w:hint="eastAsia"/>
                      <w:bCs/>
                      <w:color w:val="auto"/>
                      <w:sz w:val="21"/>
                      <w:szCs w:val="21"/>
                      <w:highlight w:val="none"/>
                      <w:shd w:val="clear" w:color="auto" w:fill="FFFFFF"/>
                    </w:rPr>
                    <w:t>两高</w:t>
                  </w:r>
                  <w:r>
                    <w:rPr>
                      <w:rFonts w:ascii="Times New Roman" w:hAnsi="Times New Roman"/>
                      <w:bCs/>
                      <w:color w:val="auto"/>
                      <w:sz w:val="21"/>
                      <w:szCs w:val="21"/>
                      <w:highlight w:val="none"/>
                      <w:shd w:val="clear" w:color="auto" w:fill="FFFFFF"/>
                    </w:rPr>
                    <w:t>”</w:t>
                  </w:r>
                  <w:r>
                    <w:rPr>
                      <w:rFonts w:ascii="Times New Roman" w:hAnsi="Times New Roman" w:hint="eastAsia"/>
                      <w:bCs/>
                      <w:color w:val="auto"/>
                      <w:sz w:val="21"/>
                      <w:szCs w:val="21"/>
                      <w:highlight w:val="none"/>
                      <w:shd w:val="clear" w:color="auto" w:fill="FFFFFF"/>
                    </w:rPr>
                    <w:t>行业项目</w:t>
                  </w:r>
                  <w:r>
                    <w:rPr>
                      <w:rFonts w:ascii="Times New Roman" w:hAnsi="Times New Roman" w:hint="eastAsia"/>
                      <w:bCs/>
                      <w:color w:val="auto"/>
                      <w:sz w:val="21"/>
                      <w:szCs w:val="21"/>
                      <w:highlight w:val="none"/>
                      <w:shd w:val="clear" w:color="auto" w:fill="FFFFFF"/>
                      <w:lang w:eastAsia="zh-CN"/>
                    </w:rPr>
                    <w:t>；</w:t>
                  </w:r>
                </w:p>
                <w:p>
                  <w:pPr>
                    <w:adjustRightInd w:val="0"/>
                    <w:snapToGrid w:val="0"/>
                    <w:jc w:val="left"/>
                    <w:rPr>
                      <w:color w:val="auto"/>
                      <w:highlight w:val="none"/>
                    </w:rPr>
                  </w:pPr>
                  <w:r>
                    <w:rPr>
                      <w:rFonts w:ascii="Times New Roman" w:hAnsi="Times New Roman" w:hint="eastAsia"/>
                      <w:bCs/>
                      <w:color w:val="auto"/>
                      <w:sz w:val="21"/>
                      <w:szCs w:val="21"/>
                      <w:highlight w:val="none"/>
                      <w:shd w:val="clear" w:color="auto" w:fill="FFFFFF"/>
                      <w:lang w:val="en-US" w:eastAsia="zh-CN"/>
                    </w:rPr>
                    <w:t>2本项目不涉及搬迁改造</w:t>
                  </w:r>
                </w:p>
              </w:tc>
              <w:tc>
                <w:tcPr>
                  <w:tcW w:w="485" w:type="pct"/>
                  <w:vMerge w:val="restart"/>
                  <w:vAlign w:val="center"/>
                </w:tcPr>
                <w:p>
                  <w:pPr>
                    <w:adjustRightInd w:val="0"/>
                    <w:snapToGrid w:val="0"/>
                    <w:spacing w:before="0"/>
                    <w:jc w:val="center"/>
                    <w:rPr>
                      <w:color w:val="auto"/>
                      <w:highlight w:val="none"/>
                    </w:rPr>
                  </w:pPr>
                  <w:r>
                    <w:rPr>
                      <w:rFonts w:ascii="Times New Roman" w:hAnsi="Times New Roman" w:hint="eastAsia"/>
                      <w:color w:val="auto"/>
                      <w:sz w:val="21"/>
                      <w:szCs w:val="21"/>
                      <w:highlight w:val="none"/>
                    </w:rPr>
                    <w:t>m</w:t>
                  </w:r>
                  <w:r>
                    <w:rPr>
                      <w:rFonts w:ascii="Times New Roman" w:hAnsi="Times New Roman" w:hint="eastAsia"/>
                      <w:color w:val="auto"/>
                      <w:sz w:val="21"/>
                      <w:szCs w:val="21"/>
                      <w:highlight w:val="none"/>
                      <w:vertAlign w:val="superscript"/>
                    </w:rPr>
                    <w:t>2</w:t>
                  </w:r>
                </w:p>
              </w:tc>
            </w:tr>
            <w:tr>
              <w:tblPrEx>
                <w:tblW w:w="4999" w:type="pct"/>
                <w:jc w:val="center"/>
                <w:tblLayout w:type="fixed"/>
                <w:tblCellMar>
                  <w:top w:w="0" w:type="dxa"/>
                  <w:left w:w="108" w:type="dxa"/>
                  <w:bottom w:w="0" w:type="dxa"/>
                  <w:right w:w="108" w:type="dxa"/>
                </w:tblCellMar>
              </w:tblPrEx>
              <w:trPr>
                <w:trHeight w:val="283"/>
                <w:jc w:val="center"/>
              </w:trPr>
              <w:tc>
                <w:tcPr>
                  <w:tcW w:w="274" w:type="pct"/>
                  <w:vMerge/>
                  <w:vAlign w:val="center"/>
                </w:tcPr>
                <w:p>
                  <w:pPr>
                    <w:adjustRightInd w:val="0"/>
                    <w:snapToGrid w:val="0"/>
                    <w:jc w:val="center"/>
                    <w:rPr>
                      <w:color w:val="auto"/>
                      <w:highlight w:val="none"/>
                    </w:rPr>
                  </w:pPr>
                </w:p>
              </w:tc>
              <w:tc>
                <w:tcPr>
                  <w:tcW w:w="515" w:type="pct"/>
                  <w:vMerge/>
                  <w:vAlign w:val="center"/>
                </w:tcPr>
                <w:p>
                  <w:pPr>
                    <w:adjustRightInd w:val="0"/>
                    <w:snapToGrid w:val="0"/>
                    <w:jc w:val="center"/>
                    <w:rPr>
                      <w:color w:val="auto"/>
                      <w:highlight w:val="none"/>
                    </w:rPr>
                  </w:pPr>
                </w:p>
              </w:tc>
              <w:tc>
                <w:tcPr>
                  <w:tcW w:w="426" w:type="pct"/>
                  <w:vMerge/>
                  <w:vAlign w:val="center"/>
                </w:tcPr>
                <w:p>
                  <w:pPr>
                    <w:adjustRightInd w:val="0"/>
                    <w:snapToGrid w:val="0"/>
                    <w:jc w:val="center"/>
                    <w:rPr>
                      <w:color w:val="auto"/>
                      <w:highlight w:val="none"/>
                    </w:rPr>
                  </w:pPr>
                </w:p>
              </w:tc>
              <w:tc>
                <w:tcPr>
                  <w:tcW w:w="470" w:type="pct"/>
                  <w:vMerge/>
                  <w:vAlign w:val="center"/>
                </w:tcPr>
                <w:p>
                  <w:pPr>
                    <w:adjustRightInd w:val="0"/>
                    <w:snapToGrid w:val="0"/>
                    <w:jc w:val="center"/>
                    <w:rPr>
                      <w:color w:val="auto"/>
                      <w:highlight w:val="none"/>
                    </w:rPr>
                  </w:pPr>
                </w:p>
              </w:tc>
              <w:tc>
                <w:tcPr>
                  <w:tcW w:w="407" w:type="pct"/>
                  <w:vAlign w:val="center"/>
                </w:tcPr>
                <w:p>
                  <w:pPr>
                    <w:adjustRightInd w:val="0"/>
                    <w:snapToGrid w:val="0"/>
                    <w:jc w:val="center"/>
                    <w:rPr>
                      <w:color w:val="auto"/>
                      <w:highlight w:val="none"/>
                    </w:rPr>
                  </w:pPr>
                  <w:r>
                    <w:rPr>
                      <w:rFonts w:hint="eastAsia"/>
                      <w:color w:val="auto"/>
                      <w:sz w:val="21"/>
                      <w:szCs w:val="21"/>
                      <w:highlight w:val="none"/>
                    </w:rPr>
                    <w:t>污染物排放管控</w:t>
                  </w:r>
                </w:p>
              </w:tc>
              <w:tc>
                <w:tcPr>
                  <w:tcW w:w="1362" w:type="pct"/>
                  <w:vAlign w:val="center"/>
                </w:tcPr>
                <w:p>
                  <w:pPr>
                    <w:pStyle w:val="NormalIndent"/>
                    <w:adjustRightInd w:val="0"/>
                    <w:snapToGrid w:val="0"/>
                    <w:ind w:firstLine="0"/>
                    <w:jc w:val="left"/>
                    <w:rPr>
                      <w:bCs/>
                      <w:color w:val="auto"/>
                      <w:sz w:val="21"/>
                      <w:szCs w:val="21"/>
                      <w:highlight w:val="none"/>
                      <w:shd w:val="clear" w:color="auto" w:fill="FFFFFF"/>
                    </w:rPr>
                  </w:pPr>
                  <w:r>
                    <w:rPr>
                      <w:rFonts w:hint="eastAsia"/>
                      <w:bCs/>
                      <w:color w:val="auto"/>
                      <w:sz w:val="21"/>
                      <w:szCs w:val="21"/>
                      <w:highlight w:val="none"/>
                      <w:shd w:val="clear" w:color="auto" w:fill="FFFFFF"/>
                    </w:rPr>
                    <w:t>1.控制氮氧化物、颗粒物、挥发性有机物的排放。</w:t>
                  </w:r>
                </w:p>
                <w:p>
                  <w:pPr>
                    <w:pStyle w:val="NormalIndent"/>
                    <w:adjustRightInd w:val="0"/>
                    <w:snapToGrid w:val="0"/>
                    <w:ind w:firstLine="0"/>
                    <w:jc w:val="left"/>
                    <w:rPr>
                      <w:color w:val="auto"/>
                      <w:sz w:val="21"/>
                      <w:szCs w:val="21"/>
                      <w:highlight w:val="none"/>
                    </w:rPr>
                  </w:pPr>
                  <w:r>
                    <w:rPr>
                      <w:rFonts w:hint="eastAsia"/>
                      <w:bCs/>
                      <w:color w:val="auto"/>
                      <w:sz w:val="21"/>
                      <w:szCs w:val="21"/>
                      <w:highlight w:val="none"/>
                      <w:shd w:val="clear" w:color="auto" w:fill="FFFFFF"/>
                    </w:rPr>
                    <w:t>2.对高能耗高污染行业企业采用更加先进高效的污染控制措施。</w:t>
                  </w:r>
                </w:p>
              </w:tc>
              <w:tc>
                <w:tcPr>
                  <w:tcW w:w="1057" w:type="pct"/>
                  <w:vAlign w:val="center"/>
                </w:tcPr>
                <w:p>
                  <w:pPr>
                    <w:adjustRightInd w:val="0"/>
                    <w:snapToGrid w:val="0"/>
                    <w:jc w:val="left"/>
                    <w:rPr>
                      <w:rFonts w:ascii="Times New Roman" w:hAnsi="Times New Roman" w:hint="eastAsia"/>
                      <w:bCs/>
                      <w:color w:val="auto"/>
                      <w:highlight w:val="none"/>
                    </w:rPr>
                  </w:pPr>
                  <w:r>
                    <w:rPr>
                      <w:rFonts w:ascii="Times New Roman" w:hAnsi="Times New Roman" w:hint="eastAsia"/>
                      <w:bCs/>
                      <w:color w:val="auto"/>
                      <w:sz w:val="21"/>
                      <w:szCs w:val="21"/>
                      <w:highlight w:val="none"/>
                      <w:lang w:val="en-US" w:eastAsia="zh-CN"/>
                    </w:rPr>
                    <w:t>1</w:t>
                  </w:r>
                  <w:r>
                    <w:rPr>
                      <w:rFonts w:ascii="Times New Roman" w:hAnsi="Times New Roman" w:hint="eastAsia"/>
                      <w:bCs/>
                      <w:color w:val="auto"/>
                      <w:sz w:val="21"/>
                      <w:szCs w:val="21"/>
                      <w:highlight w:val="none"/>
                    </w:rPr>
                    <w:t>本</w:t>
                  </w:r>
                  <w:r>
                    <w:rPr>
                      <w:rFonts w:ascii="Times New Roman" w:hAnsi="Times New Roman"/>
                      <w:bCs/>
                      <w:color w:val="auto"/>
                      <w:sz w:val="21"/>
                      <w:szCs w:val="21"/>
                      <w:highlight w:val="none"/>
                    </w:rPr>
                    <w:t>项目</w:t>
                  </w:r>
                  <w:r>
                    <w:rPr>
                      <w:rFonts w:ascii="Times New Roman" w:hAnsi="Times New Roman" w:hint="eastAsia"/>
                      <w:bCs/>
                      <w:color w:val="auto"/>
                      <w:sz w:val="21"/>
                      <w:szCs w:val="21"/>
                      <w:highlight w:val="none"/>
                      <w:lang w:val="en-US" w:eastAsia="zh-CN"/>
                    </w:rPr>
                    <w:t>生产</w:t>
                  </w:r>
                  <w:r>
                    <w:rPr>
                      <w:rFonts w:ascii="Times New Roman" w:eastAsia="宋体" w:hAnsi="Times New Roman" w:cs="Times New Roman" w:hint="eastAsia"/>
                      <w:color w:val="auto"/>
                      <w:kern w:val="0"/>
                      <w:szCs w:val="21"/>
                      <w:highlight w:val="none"/>
                      <w:lang w:val="en-US" w:eastAsia="zh-CN"/>
                    </w:rPr>
                    <w:t>废气</w:t>
                  </w:r>
                  <w:r>
                    <w:rPr>
                      <w:rFonts w:ascii="Times New Roman" w:eastAsia="宋体" w:hAnsi="Times New Roman" w:cs="Times New Roman" w:hint="default"/>
                      <w:color w:val="auto"/>
                      <w:kern w:val="0"/>
                      <w:szCs w:val="21"/>
                      <w:highlight w:val="none"/>
                    </w:rPr>
                    <w:t>污染物</w:t>
                  </w:r>
                  <w:r>
                    <w:rPr>
                      <w:rFonts w:ascii="Times New Roman" w:eastAsia="宋体" w:hAnsi="Times New Roman" w:cs="Times New Roman" w:hint="eastAsia"/>
                      <w:color w:val="auto"/>
                      <w:kern w:val="0"/>
                      <w:szCs w:val="21"/>
                      <w:highlight w:val="none"/>
                      <w:lang w:val="en-US" w:eastAsia="zh-CN"/>
                    </w:rPr>
                    <w:t>颗粒物、挥发性气体均</w:t>
                  </w:r>
                  <w:r>
                    <w:rPr>
                      <w:rFonts w:ascii="Times New Roman" w:eastAsia="宋体" w:hAnsi="Times New Roman" w:cs="Times New Roman" w:hint="default"/>
                      <w:color w:val="auto"/>
                      <w:kern w:val="0"/>
                      <w:szCs w:val="21"/>
                      <w:highlight w:val="none"/>
                    </w:rPr>
                    <w:t>采取相应的环保措施后能满足达标排放要求</w:t>
                  </w:r>
                  <w:r>
                    <w:rPr>
                      <w:rFonts w:ascii="Times New Roman" w:hAnsi="Times New Roman" w:hint="eastAsia"/>
                      <w:bCs/>
                      <w:color w:val="auto"/>
                      <w:sz w:val="21"/>
                      <w:szCs w:val="21"/>
                      <w:highlight w:val="none"/>
                      <w:lang w:eastAsia="zh-CN"/>
                    </w:rPr>
                    <w:t>；</w:t>
                  </w:r>
                </w:p>
                <w:p>
                  <w:pPr>
                    <w:adjustRightInd w:val="0"/>
                    <w:snapToGrid w:val="0"/>
                    <w:jc w:val="left"/>
                    <w:rPr>
                      <w:rFonts w:hint="eastAsia"/>
                      <w:color w:val="auto"/>
                      <w:highlight w:val="none"/>
                    </w:rPr>
                  </w:pPr>
                  <w:r>
                    <w:rPr>
                      <w:rFonts w:ascii="Times New Roman" w:hAnsi="Times New Roman" w:hint="eastAsia"/>
                      <w:bCs/>
                      <w:color w:val="auto"/>
                      <w:sz w:val="21"/>
                      <w:szCs w:val="21"/>
                      <w:highlight w:val="none"/>
                      <w:lang w:val="en-US" w:eastAsia="zh-CN"/>
                    </w:rPr>
                    <w:t>2本</w:t>
                  </w:r>
                  <w:r>
                    <w:rPr>
                      <w:rFonts w:ascii="Times New Roman" w:hAnsi="Times New Roman"/>
                      <w:bCs/>
                      <w:color w:val="auto"/>
                      <w:sz w:val="21"/>
                      <w:szCs w:val="21"/>
                      <w:highlight w:val="none"/>
                    </w:rPr>
                    <w:t>项目</w:t>
                  </w:r>
                  <w:r>
                    <w:rPr>
                      <w:rFonts w:hint="eastAsia"/>
                      <w:color w:val="auto"/>
                      <w:sz w:val="21"/>
                      <w:szCs w:val="21"/>
                      <w:highlight w:val="none"/>
                    </w:rPr>
                    <w:t>不涉及</w:t>
                  </w:r>
                  <w:r>
                    <w:rPr>
                      <w:color w:val="auto"/>
                      <w:sz w:val="21"/>
                      <w:szCs w:val="21"/>
                      <w:highlight w:val="none"/>
                    </w:rPr>
                    <w:t>高能耗高污染企业</w:t>
                  </w:r>
                </w:p>
              </w:tc>
              <w:tc>
                <w:tcPr>
                  <w:tcW w:w="485" w:type="pct"/>
                  <w:vMerge/>
                  <w:vAlign w:val="center"/>
                </w:tcPr>
                <w:p>
                  <w:pPr>
                    <w:adjustRightInd w:val="0"/>
                    <w:snapToGrid w:val="0"/>
                    <w:jc w:val="center"/>
                    <w:rPr>
                      <w:color w:val="auto"/>
                      <w:highlight w:val="none"/>
                    </w:rPr>
                  </w:pPr>
                </w:p>
              </w:tc>
            </w:tr>
            <w:tr>
              <w:tblPrEx>
                <w:tblW w:w="4999" w:type="pct"/>
                <w:jc w:val="center"/>
                <w:tblLayout w:type="fixed"/>
                <w:tblCellMar>
                  <w:top w:w="0" w:type="dxa"/>
                  <w:left w:w="108" w:type="dxa"/>
                  <w:bottom w:w="0" w:type="dxa"/>
                  <w:right w:w="108" w:type="dxa"/>
                </w:tblCellMar>
              </w:tblPrEx>
              <w:trPr>
                <w:trHeight w:val="283"/>
                <w:jc w:val="center"/>
              </w:trPr>
              <w:tc>
                <w:tcPr>
                  <w:tcW w:w="274" w:type="pct"/>
                  <w:vMerge/>
                  <w:vAlign w:val="center"/>
                </w:tcPr>
                <w:p>
                  <w:pPr>
                    <w:adjustRightInd w:val="0"/>
                    <w:snapToGrid w:val="0"/>
                    <w:jc w:val="center"/>
                    <w:rPr>
                      <w:color w:val="auto"/>
                      <w:highlight w:val="none"/>
                    </w:rPr>
                  </w:pPr>
                </w:p>
              </w:tc>
              <w:tc>
                <w:tcPr>
                  <w:tcW w:w="515" w:type="pct"/>
                  <w:vMerge/>
                  <w:vAlign w:val="center"/>
                </w:tcPr>
                <w:p>
                  <w:pPr>
                    <w:adjustRightInd w:val="0"/>
                    <w:snapToGrid w:val="0"/>
                    <w:jc w:val="center"/>
                    <w:rPr>
                      <w:color w:val="auto"/>
                      <w:highlight w:val="none"/>
                    </w:rPr>
                  </w:pPr>
                </w:p>
              </w:tc>
              <w:tc>
                <w:tcPr>
                  <w:tcW w:w="426" w:type="pct"/>
                  <w:vMerge/>
                  <w:vAlign w:val="center"/>
                </w:tcPr>
                <w:p>
                  <w:pPr>
                    <w:adjustRightInd w:val="0"/>
                    <w:snapToGrid w:val="0"/>
                    <w:jc w:val="center"/>
                    <w:rPr>
                      <w:color w:val="auto"/>
                      <w:highlight w:val="none"/>
                    </w:rPr>
                  </w:pPr>
                </w:p>
              </w:tc>
              <w:tc>
                <w:tcPr>
                  <w:tcW w:w="470" w:type="pct"/>
                  <w:vMerge w:val="restart"/>
                  <w:vAlign w:val="center"/>
                </w:tcPr>
                <w:p>
                  <w:pPr>
                    <w:adjustRightInd w:val="0"/>
                    <w:snapToGrid w:val="0"/>
                    <w:jc w:val="center"/>
                    <w:rPr>
                      <w:color w:val="auto"/>
                      <w:highlight w:val="none"/>
                    </w:rPr>
                  </w:pPr>
                  <w:r>
                    <w:rPr>
                      <w:rFonts w:hint="eastAsia"/>
                      <w:color w:val="auto"/>
                      <w:sz w:val="21"/>
                      <w:szCs w:val="21"/>
                      <w:highlight w:val="none"/>
                    </w:rPr>
                    <w:t>水环境</w:t>
                  </w:r>
                </w:p>
              </w:tc>
              <w:tc>
                <w:tcPr>
                  <w:tcW w:w="407" w:type="pct"/>
                  <w:vAlign w:val="center"/>
                </w:tcPr>
                <w:p>
                  <w:pPr>
                    <w:adjustRightInd w:val="0"/>
                    <w:snapToGrid w:val="0"/>
                    <w:jc w:val="center"/>
                    <w:rPr>
                      <w:color w:val="auto"/>
                      <w:highlight w:val="none"/>
                    </w:rPr>
                  </w:pPr>
                  <w:r>
                    <w:rPr>
                      <w:rFonts w:hint="eastAsia"/>
                      <w:color w:val="auto"/>
                      <w:sz w:val="21"/>
                      <w:szCs w:val="21"/>
                      <w:highlight w:val="none"/>
                    </w:rPr>
                    <w:t>空间布局约束</w:t>
                  </w:r>
                </w:p>
              </w:tc>
              <w:tc>
                <w:tcPr>
                  <w:tcW w:w="1362" w:type="pct"/>
                  <w:vAlign w:val="center"/>
                </w:tcPr>
                <w:p>
                  <w:pPr>
                    <w:pStyle w:val="NormalIndent"/>
                    <w:adjustRightInd w:val="0"/>
                    <w:snapToGrid w:val="0"/>
                    <w:ind w:firstLine="0"/>
                    <w:jc w:val="left"/>
                    <w:rPr>
                      <w:bCs/>
                      <w:color w:val="auto"/>
                      <w:sz w:val="21"/>
                      <w:szCs w:val="21"/>
                      <w:highlight w:val="none"/>
                      <w:shd w:val="clear" w:color="auto" w:fill="FFFFFF"/>
                    </w:rPr>
                  </w:pPr>
                  <w:r>
                    <w:rPr>
                      <w:rFonts w:hint="eastAsia"/>
                      <w:bCs/>
                      <w:color w:val="auto"/>
                      <w:sz w:val="21"/>
                      <w:szCs w:val="21"/>
                      <w:highlight w:val="none"/>
                      <w:shd w:val="clear" w:color="auto" w:fill="FFFFFF"/>
                    </w:rPr>
                    <w:t>加快建设城中村、老旧城区、建制镇、城乡结合部等生活污水收集管网，填补污水收集管网空白区。新建居住社区应同步规划、建设污水收集管网，推动支线管网和出户管的连接建设。</w:t>
                  </w:r>
                </w:p>
              </w:tc>
              <w:tc>
                <w:tcPr>
                  <w:tcW w:w="1057" w:type="pct"/>
                  <w:vAlign w:val="center"/>
                </w:tcPr>
                <w:p>
                  <w:pPr>
                    <w:jc w:val="left"/>
                    <w:rPr>
                      <w:rFonts w:hint="eastAsia"/>
                      <w:bCs/>
                      <w:color w:val="auto"/>
                      <w:highlight w:val="none"/>
                    </w:rPr>
                  </w:pPr>
                  <w:r>
                    <w:rPr>
                      <w:rFonts w:ascii="Times New Roman" w:hAnsi="Times New Roman" w:hint="eastAsia"/>
                      <w:color w:val="auto"/>
                      <w:sz w:val="21"/>
                      <w:szCs w:val="21"/>
                      <w:highlight w:val="none"/>
                    </w:rPr>
                    <w:t>本项目</w:t>
                  </w:r>
                  <w:r>
                    <w:rPr>
                      <w:rFonts w:ascii="Times New Roman" w:hAnsi="Times New Roman" w:hint="eastAsia"/>
                      <w:color w:val="auto"/>
                      <w:sz w:val="21"/>
                      <w:szCs w:val="21"/>
                      <w:highlight w:val="none"/>
                      <w:lang w:val="en-US" w:eastAsia="zh-CN"/>
                    </w:rPr>
                    <w:t>不涉及</w:t>
                  </w:r>
                </w:p>
              </w:tc>
              <w:tc>
                <w:tcPr>
                  <w:tcW w:w="485" w:type="pct"/>
                  <w:vMerge/>
                  <w:vAlign w:val="center"/>
                </w:tcPr>
                <w:p>
                  <w:pPr>
                    <w:adjustRightInd w:val="0"/>
                    <w:snapToGrid w:val="0"/>
                    <w:jc w:val="center"/>
                    <w:rPr>
                      <w:color w:val="auto"/>
                      <w:highlight w:val="none"/>
                    </w:rPr>
                  </w:pPr>
                </w:p>
              </w:tc>
            </w:tr>
            <w:tr>
              <w:tblPrEx>
                <w:tblW w:w="4999" w:type="pct"/>
                <w:jc w:val="center"/>
                <w:tblLayout w:type="fixed"/>
                <w:tblCellMar>
                  <w:top w:w="0" w:type="dxa"/>
                  <w:left w:w="108" w:type="dxa"/>
                  <w:bottom w:w="0" w:type="dxa"/>
                  <w:right w:w="108" w:type="dxa"/>
                </w:tblCellMar>
              </w:tblPrEx>
              <w:trPr>
                <w:trHeight w:val="283"/>
                <w:jc w:val="center"/>
              </w:trPr>
              <w:tc>
                <w:tcPr>
                  <w:tcW w:w="274" w:type="pct"/>
                  <w:vMerge/>
                  <w:vAlign w:val="center"/>
                </w:tcPr>
                <w:p>
                  <w:pPr>
                    <w:adjustRightInd w:val="0"/>
                    <w:snapToGrid w:val="0"/>
                    <w:jc w:val="center"/>
                    <w:rPr>
                      <w:color w:val="auto"/>
                      <w:highlight w:val="none"/>
                    </w:rPr>
                  </w:pPr>
                </w:p>
              </w:tc>
              <w:tc>
                <w:tcPr>
                  <w:tcW w:w="515" w:type="pct"/>
                  <w:vMerge/>
                  <w:vAlign w:val="center"/>
                </w:tcPr>
                <w:p>
                  <w:pPr>
                    <w:adjustRightInd w:val="0"/>
                    <w:snapToGrid w:val="0"/>
                    <w:jc w:val="center"/>
                    <w:rPr>
                      <w:color w:val="auto"/>
                      <w:highlight w:val="none"/>
                    </w:rPr>
                  </w:pPr>
                </w:p>
              </w:tc>
              <w:tc>
                <w:tcPr>
                  <w:tcW w:w="426" w:type="pct"/>
                  <w:vMerge/>
                  <w:vAlign w:val="center"/>
                </w:tcPr>
                <w:p>
                  <w:pPr>
                    <w:adjustRightInd w:val="0"/>
                    <w:snapToGrid w:val="0"/>
                    <w:jc w:val="center"/>
                    <w:rPr>
                      <w:color w:val="auto"/>
                      <w:highlight w:val="none"/>
                    </w:rPr>
                  </w:pPr>
                </w:p>
              </w:tc>
              <w:tc>
                <w:tcPr>
                  <w:tcW w:w="470" w:type="pct"/>
                  <w:vMerge/>
                  <w:vAlign w:val="center"/>
                </w:tcPr>
                <w:p>
                  <w:pPr>
                    <w:adjustRightInd w:val="0"/>
                    <w:snapToGrid w:val="0"/>
                    <w:jc w:val="center"/>
                    <w:rPr>
                      <w:color w:val="auto"/>
                      <w:highlight w:val="none"/>
                    </w:rPr>
                  </w:pPr>
                </w:p>
              </w:tc>
              <w:tc>
                <w:tcPr>
                  <w:tcW w:w="407" w:type="pct"/>
                  <w:vAlign w:val="center"/>
                </w:tcPr>
                <w:p>
                  <w:pPr>
                    <w:adjustRightInd w:val="0"/>
                    <w:snapToGrid w:val="0"/>
                    <w:jc w:val="center"/>
                    <w:rPr>
                      <w:color w:val="auto"/>
                      <w:highlight w:val="none"/>
                    </w:rPr>
                  </w:pPr>
                  <w:r>
                    <w:rPr>
                      <w:rFonts w:hint="eastAsia"/>
                      <w:color w:val="auto"/>
                      <w:sz w:val="21"/>
                      <w:szCs w:val="21"/>
                      <w:highlight w:val="none"/>
                    </w:rPr>
                    <w:t>污染物排放管控</w:t>
                  </w:r>
                </w:p>
              </w:tc>
              <w:tc>
                <w:tcPr>
                  <w:tcW w:w="1362" w:type="pct"/>
                  <w:vAlign w:val="center"/>
                </w:tcPr>
                <w:p>
                  <w:pPr>
                    <w:pStyle w:val="NormalIndent"/>
                    <w:adjustRightInd w:val="0"/>
                    <w:snapToGrid w:val="0"/>
                    <w:ind w:firstLine="0"/>
                    <w:jc w:val="left"/>
                    <w:rPr>
                      <w:bCs/>
                      <w:color w:val="auto"/>
                      <w:sz w:val="21"/>
                      <w:szCs w:val="21"/>
                      <w:highlight w:val="none"/>
                      <w:shd w:val="clear" w:color="auto" w:fill="FFFFFF"/>
                    </w:rPr>
                  </w:pPr>
                  <w:r>
                    <w:rPr>
                      <w:rFonts w:hint="eastAsia"/>
                      <w:bCs/>
                      <w:color w:val="auto"/>
                      <w:sz w:val="21"/>
                      <w:szCs w:val="21"/>
                      <w:highlight w:val="none"/>
                      <w:shd w:val="clear" w:color="auto" w:fill="FFFFFF"/>
                    </w:rPr>
                    <w:t>1.城镇新区管网建设及老旧城区管网升级改造中实行雨污分流，推进初期雨水收集、处理和资源化利用。</w:t>
                  </w:r>
                </w:p>
                <w:p>
                  <w:pPr>
                    <w:pStyle w:val="NormalIndent"/>
                    <w:adjustRightInd w:val="0"/>
                    <w:snapToGrid w:val="0"/>
                    <w:ind w:firstLine="0"/>
                    <w:jc w:val="left"/>
                    <w:rPr>
                      <w:bCs/>
                      <w:color w:val="auto"/>
                      <w:sz w:val="21"/>
                      <w:szCs w:val="21"/>
                      <w:highlight w:val="none"/>
                      <w:shd w:val="clear" w:color="auto" w:fill="FFFFFF"/>
                    </w:rPr>
                  </w:pPr>
                  <w:r>
                    <w:rPr>
                      <w:rFonts w:hint="eastAsia"/>
                      <w:bCs/>
                      <w:color w:val="auto"/>
                      <w:sz w:val="21"/>
                      <w:szCs w:val="21"/>
                      <w:highlight w:val="none"/>
                      <w:shd w:val="clear" w:color="auto" w:fill="FFFFFF"/>
                    </w:rPr>
                    <w:t>2.加强污水处理厂运维水平，保证出水水质稳定达到《黄河流域（陕西段）污水综合排放标准》的最新要求。</w:t>
                  </w:r>
                </w:p>
                <w:p>
                  <w:pPr>
                    <w:pStyle w:val="NormalIndent"/>
                    <w:adjustRightInd w:val="0"/>
                    <w:snapToGrid w:val="0"/>
                    <w:ind w:firstLine="0"/>
                    <w:jc w:val="left"/>
                    <w:rPr>
                      <w:bCs/>
                      <w:color w:val="auto"/>
                      <w:sz w:val="21"/>
                      <w:szCs w:val="21"/>
                      <w:highlight w:val="none"/>
                      <w:shd w:val="clear" w:color="auto" w:fill="FFFFFF"/>
                    </w:rPr>
                  </w:pPr>
                  <w:r>
                    <w:rPr>
                      <w:rFonts w:hint="eastAsia"/>
                      <w:bCs/>
                      <w:color w:val="auto"/>
                      <w:sz w:val="21"/>
                      <w:szCs w:val="21"/>
                      <w:highlight w:val="none"/>
                      <w:shd w:val="clear" w:color="auto" w:fill="FFFFFF"/>
                    </w:rPr>
                    <w:t>3.加强排污口长效监管。</w:t>
                  </w:r>
                </w:p>
              </w:tc>
              <w:tc>
                <w:tcPr>
                  <w:tcW w:w="1057" w:type="pct"/>
                  <w:vAlign w:val="center"/>
                </w:tcPr>
                <w:p>
                  <w:pPr>
                    <w:adjustRightInd w:val="0"/>
                    <w:snapToGrid w:val="0"/>
                    <w:jc w:val="left"/>
                    <w:rPr>
                      <w:rFonts w:ascii="Times New Roman" w:hAnsi="Times New Roman"/>
                      <w:bCs/>
                      <w:color w:val="auto"/>
                      <w:highlight w:val="none"/>
                    </w:rPr>
                  </w:pPr>
                  <w:r>
                    <w:rPr>
                      <w:rFonts w:hAnsi="宋体" w:hint="eastAsia"/>
                      <w:color w:val="auto"/>
                      <w:kern w:val="0"/>
                      <w:szCs w:val="21"/>
                      <w:highlight w:val="none"/>
                      <w:lang w:val="en-US" w:eastAsia="zh-CN"/>
                    </w:rPr>
                    <w:t>本项目无生产废水，生活污水经隔油池+化粪池达标处理后排入市政污水管网，最终排入富平第二污水处理厂</w:t>
                  </w:r>
                </w:p>
              </w:tc>
              <w:tc>
                <w:tcPr>
                  <w:tcW w:w="485" w:type="pct"/>
                  <w:vMerge/>
                  <w:vAlign w:val="center"/>
                </w:tcPr>
                <w:p>
                  <w:pPr>
                    <w:adjustRightInd w:val="0"/>
                    <w:snapToGrid w:val="0"/>
                    <w:jc w:val="center"/>
                    <w:rPr>
                      <w:color w:val="auto"/>
                      <w:highlight w:val="none"/>
                    </w:rPr>
                  </w:pPr>
                </w:p>
              </w:tc>
            </w:tr>
          </w:tbl>
          <w:p>
            <w:pPr>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eastAsia"/>
                <w:color w:val="auto"/>
                <w:highlight w:val="none"/>
                <w:lang w:eastAsia="zh-CN"/>
              </w:rPr>
              <w:t>（</w:t>
            </w:r>
            <w:r>
              <w:rPr>
                <w:rFonts w:ascii="Times New Roman" w:eastAsia="宋体" w:hAnsi="Times New Roman" w:cs="Times New Roman" w:hint="eastAsia"/>
                <w:color w:val="auto"/>
                <w:highlight w:val="none"/>
                <w:lang w:val="en-US" w:eastAsia="zh-CN"/>
              </w:rPr>
              <w:t>3</w:t>
            </w:r>
            <w:r>
              <w:rPr>
                <w:rFonts w:ascii="Times New Roman" w:eastAsia="宋体" w:hAnsi="Times New Roman" w:cs="Times New Roman" w:hint="eastAsia"/>
                <w:color w:val="auto"/>
                <w:highlight w:val="none"/>
                <w:lang w:eastAsia="zh-CN"/>
              </w:rPr>
              <w:t>）</w:t>
            </w:r>
            <w:r>
              <w:rPr>
                <w:rFonts w:ascii="Times New Roman" w:eastAsia="宋体" w:hAnsi="Times New Roman" w:cs="Times New Roman" w:hint="default"/>
                <w:color w:val="auto"/>
                <w:highlight w:val="none"/>
              </w:rPr>
              <w:t>一说明</w:t>
            </w:r>
          </w:p>
        </w:tc>
      </w:tr>
    </w:tbl>
    <w:p>
      <w:pPr>
        <w:sectPr>
          <w:footerReference w:type="default" r:id="rId10"/>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5"/>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0"/>
        <w:gridCol w:w="8200"/>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843"/>
          <w:jc w:val="center"/>
        </w:trPr>
        <w:tc>
          <w:tcPr>
            <w:tcW w:w="670" w:type="dxa"/>
            <w:noWrap w:val="0"/>
            <w:vAlign w:val="center"/>
          </w:tcPr>
          <w:p/>
        </w:tc>
        <w:tc>
          <w:tcPr>
            <w:tcW w:w="8200" w:type="dxa"/>
            <w:noWrap w:val="0"/>
            <w:vAlign w:val="center"/>
          </w:tcPr>
          <w:p>
            <w:pPr>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rPr>
              <w:t>根据一图、一表分析可知：本</w:t>
            </w:r>
            <w:r>
              <w:rPr>
                <w:rFonts w:ascii="Times New Roman" w:hAnsi="Times New Roman" w:cs="Times New Roman" w:hint="eastAsia"/>
                <w:color w:val="auto"/>
                <w:highlight w:val="none"/>
                <w:lang w:val="en-US" w:eastAsia="zh-CN"/>
              </w:rPr>
              <w:t>项目</w:t>
            </w:r>
            <w:r>
              <w:rPr>
                <w:rFonts w:ascii="Times New Roman" w:eastAsia="宋体" w:hAnsi="Times New Roman" w:cs="Times New Roman" w:hint="default"/>
                <w:color w:val="auto"/>
                <w:highlight w:val="none"/>
              </w:rPr>
              <w:t>位于</w:t>
            </w:r>
            <w:r>
              <w:rPr>
                <w:rFonts w:hint="eastAsia"/>
                <w:color w:val="auto"/>
                <w:sz w:val="21"/>
                <w:szCs w:val="21"/>
                <w:highlight w:val="none"/>
              </w:rPr>
              <w:t>渭南市重点管控区</w:t>
            </w:r>
            <w:r>
              <w:rPr>
                <w:rFonts w:ascii="Times New Roman" w:eastAsia="宋体" w:hAnsi="Times New Roman" w:cs="Times New Roman" w:hint="default"/>
                <w:color w:val="auto"/>
                <w:highlight w:val="none"/>
              </w:rPr>
              <w:t>，涉及大气环境</w:t>
            </w:r>
            <w:r>
              <w:rPr>
                <w:rFonts w:ascii="Times New Roman" w:hAnsi="Times New Roman" w:cs="Times New Roman" w:hint="eastAsia"/>
                <w:color w:val="auto"/>
                <w:highlight w:val="none"/>
                <w:lang w:eastAsia="zh-CN"/>
              </w:rPr>
              <w:t>、</w:t>
            </w:r>
            <w:r>
              <w:rPr>
                <w:rFonts w:ascii="Times New Roman" w:hAnsi="Times New Roman" w:cs="Times New Roman" w:hint="eastAsia"/>
                <w:color w:val="auto"/>
                <w:highlight w:val="none"/>
                <w:lang w:val="en-US" w:eastAsia="zh-CN"/>
              </w:rPr>
              <w:t>水环境</w:t>
            </w:r>
            <w:r>
              <w:rPr>
                <w:rFonts w:ascii="Times New Roman" w:eastAsia="宋体" w:hAnsi="Times New Roman" w:cs="Times New Roman" w:hint="default"/>
                <w:color w:val="auto"/>
                <w:highlight w:val="none"/>
              </w:rPr>
              <w:t>重点管控区。</w:t>
            </w:r>
            <w:r>
              <w:rPr>
                <w:rFonts w:ascii="Times New Roman" w:hAnsi="Times New Roman" w:cs="Times New Roman" w:hint="eastAsia"/>
                <w:color w:val="auto"/>
                <w:highlight w:val="none"/>
                <w:lang w:val="en-US" w:eastAsia="zh-CN"/>
              </w:rPr>
              <w:t>本项目</w:t>
            </w:r>
            <w:r>
              <w:rPr>
                <w:rFonts w:ascii="Times New Roman" w:eastAsia="宋体" w:hAnsi="Times New Roman" w:cs="Times New Roman" w:hint="default"/>
                <w:color w:val="auto"/>
                <w:highlight w:val="none"/>
              </w:rPr>
              <w:t>满足各单元在空间布局约束、污染物排放管控等管控维度的要求。</w:t>
            </w:r>
          </w:p>
          <w:p>
            <w:pPr>
              <w:spacing w:line="360" w:lineRule="auto"/>
              <w:ind w:firstLine="420" w:firstLineChars="200"/>
              <w:rPr>
                <w:rFonts w:ascii="Times New Roman" w:hAnsi="Times New Roman" w:hint="default"/>
                <w:b/>
                <w:color w:val="auto"/>
                <w:highlight w:val="none"/>
              </w:rPr>
            </w:pPr>
            <w:r>
              <w:rPr>
                <w:rFonts w:ascii="Times New Roman" w:eastAsia="宋体" w:hAnsi="Times New Roman" w:cs="Times New Roman" w:hint="default"/>
                <w:b/>
                <w:color w:val="auto"/>
                <w:highlight w:val="none"/>
              </w:rPr>
              <w:t>3、相关政策符合性分析</w:t>
            </w:r>
          </w:p>
          <w:p>
            <w:pPr>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rPr>
              <w:t>与项目相关环境管理政策相符性分析见表1-4。</w:t>
            </w:r>
          </w:p>
          <w:p>
            <w:pPr>
              <w:autoSpaceDE w:val="0"/>
              <w:autoSpaceDN w:val="0"/>
              <w:adjustRightInd w:val="0"/>
              <w:ind w:firstLine="420" w:firstLineChars="200"/>
              <w:jc w:val="center"/>
              <w:rPr>
                <w:rFonts w:ascii="Times New Roman" w:hAnsi="Times New Roman" w:hint="default"/>
                <w:color w:val="auto"/>
                <w:highlight w:val="none"/>
              </w:rPr>
            </w:pPr>
            <w:r>
              <w:rPr>
                <w:rFonts w:ascii="Times New Roman" w:eastAsia="宋体" w:hAnsi="Times New Roman" w:cs="Times New Roman" w:hint="default"/>
                <w:b/>
                <w:bCs/>
                <w:color w:val="auto"/>
                <w:szCs w:val="21"/>
                <w:highlight w:val="none"/>
              </w:rPr>
              <w:t>表1-4     与项目相关环境管理政策相符性分析</w:t>
            </w:r>
          </w:p>
          <w:tbl>
            <w:tblPr>
              <w:tblStyle w:val="TableNormal"/>
              <w:tblW w:w="7974"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525"/>
              <w:gridCol w:w="3694"/>
              <w:gridCol w:w="2192"/>
              <w:gridCol w:w="563"/>
            </w:tblGrid>
            <w:tr>
              <w:tblPrEx>
                <w:tblW w:w="7974"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Ex>
              <w:trPr>
                <w:trHeight w:val="454"/>
              </w:trPr>
              <w:tc>
                <w:tcPr>
                  <w:tcW w:w="1525" w:type="dxa"/>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文件</w:t>
                  </w:r>
                </w:p>
              </w:tc>
              <w:tc>
                <w:tcPr>
                  <w:tcW w:w="3694"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政策要求</w:t>
                  </w:r>
                </w:p>
              </w:tc>
              <w:tc>
                <w:tcPr>
                  <w:tcW w:w="2192"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本项目情况</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相符性</w:t>
                  </w:r>
                </w:p>
              </w:tc>
            </w:tr>
            <w:tr>
              <w:tblPrEx>
                <w:tblW w:w="7974" w:type="dxa"/>
                <w:tblInd w:w="10" w:type="dxa"/>
                <w:tblLayout w:type="fixed"/>
                <w:tblCellMar>
                  <w:top w:w="0" w:type="dxa"/>
                  <w:left w:w="108" w:type="dxa"/>
                  <w:bottom w:w="0" w:type="dxa"/>
                  <w:right w:w="108" w:type="dxa"/>
                </w:tblCellMar>
              </w:tblPrEx>
              <w:trPr>
                <w:trHeight w:val="454"/>
              </w:trPr>
              <w:tc>
                <w:tcPr>
                  <w:tcW w:w="1525" w:type="dxa"/>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《陕西省</w:t>
                  </w:r>
                  <w:r>
                    <w:rPr>
                      <w:rFonts w:ascii="Times New Roman" w:eastAsia="宋体" w:hAnsi="Times New Roman" w:cs="Times New Roman" w:hint="default"/>
                      <w:color w:val="auto"/>
                      <w:sz w:val="21"/>
                      <w:szCs w:val="21"/>
                      <w:highlight w:val="none"/>
                      <w:lang w:eastAsia="zh-CN"/>
                    </w:rPr>
                    <w:t>“</w:t>
                  </w:r>
                  <w:r>
                    <w:rPr>
                      <w:rFonts w:ascii="Times New Roman" w:eastAsia="宋体" w:hAnsi="Times New Roman" w:cs="Times New Roman" w:hint="default"/>
                      <w:color w:val="auto"/>
                      <w:sz w:val="21"/>
                      <w:szCs w:val="21"/>
                      <w:highlight w:val="none"/>
                    </w:rPr>
                    <w:t>十四五</w:t>
                  </w:r>
                  <w:r>
                    <w:rPr>
                      <w:rFonts w:ascii="Times New Roman" w:eastAsia="宋体" w:hAnsi="Times New Roman" w:cs="Times New Roman" w:hint="default"/>
                      <w:color w:val="auto"/>
                      <w:sz w:val="21"/>
                      <w:szCs w:val="21"/>
                      <w:highlight w:val="none"/>
                      <w:lang w:eastAsia="zh-CN"/>
                    </w:rPr>
                    <w:t>”</w:t>
                  </w:r>
                  <w:r>
                    <w:rPr>
                      <w:rFonts w:ascii="Times New Roman" w:eastAsia="宋体" w:hAnsi="Times New Roman" w:cs="Times New Roman" w:hint="default"/>
                      <w:color w:val="auto"/>
                      <w:sz w:val="21"/>
                      <w:szCs w:val="21"/>
                      <w:highlight w:val="none"/>
                    </w:rPr>
                    <w:t>环境保护规划》2021年9月28日</w:t>
                  </w: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推进重点行业挥发性有机物综合整治。建立石化、化工、工业涂装、包装印刷、家具、电子制造、工程机械制造等重点行源头、过程和末端全过程控制体系，实施挥发性有机物总量制。加大汽修行业餐饮油烟污染治理。在工业涂装和包装印刷等行业全面推进源头潜代，严格落实国家和地方产品挥发性有机物含量限值质量标准。将全面使用符合国家要求的低挥发性有机物含量原辅材料的企业纳入正面清单和政府绿色采购清单。全面落实《挥发性有机物无组织排放控制标准》GB37822-2019要求。</w:t>
                  </w:r>
                </w:p>
              </w:tc>
              <w:tc>
                <w:tcPr>
                  <w:tcW w:w="2192" w:type="dxa"/>
                  <w:vAlign w:val="center"/>
                </w:tcPr>
                <w:p>
                  <w:pPr>
                    <w:rPr>
                      <w:rFonts w:ascii="Times New Roman" w:hAnsi="Times New Roman" w:hint="eastAsia"/>
                      <w:color w:val="auto"/>
                      <w:highlight w:val="none"/>
                    </w:rPr>
                  </w:pPr>
                  <w:r>
                    <w:rPr>
                      <w:rFonts w:ascii="Times New Roman" w:eastAsia="宋体" w:hAnsi="Times New Roman" w:cs="Times New Roman" w:hint="eastAsia"/>
                      <w:color w:val="auto"/>
                      <w:szCs w:val="21"/>
                      <w:highlight w:val="none"/>
                      <w:lang w:val="en-US" w:eastAsia="zh-CN"/>
                    </w:rPr>
                    <w:t>本</w:t>
                  </w:r>
                  <w:r>
                    <w:rPr>
                      <w:rFonts w:ascii="Times New Roman" w:eastAsia="宋体" w:hAnsi="Times New Roman" w:cs="Times New Roman" w:hint="default"/>
                      <w:color w:val="auto"/>
                      <w:szCs w:val="21"/>
                      <w:highlight w:val="none"/>
                    </w:rPr>
                    <w:t>项目采用整体</w:t>
                  </w:r>
                  <w:r>
                    <w:rPr>
                      <w:rFonts w:ascii="Times New Roman" w:hAnsi="Times New Roman" w:cs="Times New Roman" w:hint="eastAsia"/>
                      <w:color w:val="auto"/>
                      <w:szCs w:val="21"/>
                      <w:highlight w:val="none"/>
                      <w:lang w:val="en-US" w:eastAsia="zh-CN"/>
                    </w:rPr>
                    <w:t>密闭</w:t>
                  </w:r>
                  <w:r>
                    <w:rPr>
                      <w:rFonts w:ascii="Times New Roman" w:eastAsia="宋体" w:hAnsi="Times New Roman" w:cs="Times New Roman" w:hint="default"/>
                      <w:color w:val="auto"/>
                      <w:szCs w:val="21"/>
                      <w:highlight w:val="none"/>
                    </w:rPr>
                    <w:t>式喷漆房，调漆</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喷漆、</w:t>
                  </w:r>
                  <w:r>
                    <w:rPr>
                      <w:rFonts w:ascii="Times New Roman" w:eastAsia="宋体" w:hAnsi="Times New Roman" w:cs="Times New Roman" w:hint="eastAsia"/>
                      <w:color w:val="auto"/>
                      <w:szCs w:val="21"/>
                      <w:highlight w:val="none"/>
                      <w:lang w:val="en-US" w:eastAsia="zh-CN"/>
                    </w:rPr>
                    <w:t>烘干等</w:t>
                  </w:r>
                  <w:r>
                    <w:rPr>
                      <w:rFonts w:ascii="Times New Roman" w:eastAsia="宋体" w:hAnsi="Times New Roman" w:cs="Times New Roman" w:hint="default"/>
                      <w:color w:val="auto"/>
                      <w:szCs w:val="21"/>
                      <w:highlight w:val="none"/>
                    </w:rPr>
                    <w:t>过程均在喷漆房内进行，工作时喷漆房处于密闭负压状态，挥发性有机废气微负压收集至</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干式过滤</w:t>
                  </w:r>
                  <w:r>
                    <w:rPr>
                      <w:rFonts w:ascii="Times New Roman" w:hAnsi="Times New Roman" w:cs="Times New Roman" w:hint="eastAsia"/>
                      <w:color w:val="auto"/>
                      <w:szCs w:val="21"/>
                      <w:highlight w:val="none"/>
                      <w:lang w:val="en-US" w:eastAsia="zh-CN"/>
                    </w:rPr>
                    <w:t>棉</w:t>
                  </w:r>
                  <w:r>
                    <w:rPr>
                      <w:rFonts w:ascii="Times New Roman" w:eastAsia="宋体" w:hAnsi="Times New Roman" w:cs="Times New Roman" w:hint="default"/>
                      <w:color w:val="auto"/>
                      <w:szCs w:val="21"/>
                      <w:highlight w:val="none"/>
                    </w:rPr>
                    <w:t>+</w:t>
                  </w:r>
                  <w:r>
                    <w:rPr>
                      <w:rFonts w:ascii="Times New Roman" w:hAnsi="Times New Roman" w:cs="Times New Roman" w:hint="eastAsia"/>
                      <w:color w:val="auto"/>
                      <w:szCs w:val="21"/>
                      <w:highlight w:val="none"/>
                      <w:lang w:val="en-US" w:eastAsia="zh-CN"/>
                    </w:rPr>
                    <w:t>二级活性炭吸附</w:t>
                  </w:r>
                  <w:r>
                    <w:rPr>
                      <w:rFonts w:ascii="Times New Roman" w:eastAsia="宋体" w:hAnsi="Times New Roman" w:cs="Times New Roman" w:hint="default"/>
                      <w:color w:val="auto"/>
                      <w:szCs w:val="21"/>
                      <w:highlight w:val="none"/>
                    </w:rPr>
                    <w:t>装置</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达标处理后</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通过15m排气筒达标排放</w:t>
                  </w:r>
                  <w:r>
                    <w:rPr>
                      <w:rFonts w:ascii="Times New Roman" w:eastAsia="宋体" w:hAnsi="Times New Roman" w:cs="Times New Roman" w:hint="eastAsia"/>
                      <w:color w:val="auto"/>
                      <w:szCs w:val="21"/>
                      <w:highlight w:val="none"/>
                      <w:lang w:eastAsia="zh-CN"/>
                    </w:rPr>
                    <w:t>；</w:t>
                  </w:r>
                </w:p>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本次评价要求企业建立健全VOCs治理设施的运行维护规程，并加强对各类设备的检修维护</w:t>
                  </w:r>
                  <w:r>
                    <w:rPr>
                      <w:rFonts w:ascii="Times New Roman" w:hAnsi="Times New Roman" w:cs="Times New Roman" w:hint="eastAsia"/>
                      <w:color w:val="auto"/>
                      <w:szCs w:val="21"/>
                      <w:highlight w:val="none"/>
                      <w:lang w:eastAsia="zh-CN"/>
                    </w:rPr>
                    <w:t>，</w:t>
                  </w:r>
                  <w:r>
                    <w:rPr>
                      <w:rFonts w:ascii="Times New Roman" w:hAnsi="Times New Roman" w:cs="Times New Roman" w:hint="eastAsia"/>
                      <w:color w:val="auto"/>
                      <w:szCs w:val="21"/>
                      <w:highlight w:val="none"/>
                      <w:lang w:val="en-US" w:eastAsia="zh-CN"/>
                    </w:rPr>
                    <w:t>可完全</w:t>
                  </w:r>
                  <w:r>
                    <w:rPr>
                      <w:rFonts w:ascii="Times New Roman" w:eastAsia="宋体" w:hAnsi="Times New Roman" w:cs="Times New Roman" w:hint="default"/>
                      <w:color w:val="auto"/>
                      <w:szCs w:val="21"/>
                      <w:highlight w:val="none"/>
                    </w:rPr>
                    <w:t>落实《挥发性有机物无组织排放控制标准》GB37822-2019要求。</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《关于印发2023年全省生态环境工作要点的通知</w:t>
                  </w:r>
                </w:p>
                <w:p>
                  <w:pPr>
                    <w:pStyle w:val="Normal18"/>
                    <w:widowControl w:val="0"/>
                    <w:autoSpaceDE w:val="0"/>
                    <w:autoSpaceDN w:val="0"/>
                    <w:spacing w:before="0" w:after="0"/>
                    <w:jc w:val="center"/>
                    <w:rPr>
                      <w:rFonts w:ascii="Times New Roman" w:eastAsia="宋体" w:hAnsi="Times New Roman" w:cs="Times New Roman" w:hint="eastAsia"/>
                      <w:color w:val="auto"/>
                      <w:sz w:val="21"/>
                      <w:szCs w:val="21"/>
                      <w:highlight w:val="none"/>
                      <w:lang w:val="en-US" w:eastAsia="zh-CN"/>
                    </w:rPr>
                  </w:pPr>
                  <w:r>
                    <w:rPr>
                      <w:rFonts w:ascii="Times New Roman" w:eastAsia="宋体" w:hAnsi="Times New Roman" w:cs="Times New Roman" w:hint="default"/>
                      <w:color w:val="auto"/>
                      <w:sz w:val="21"/>
                      <w:szCs w:val="21"/>
                      <w:highlight w:val="none"/>
                    </w:rPr>
                    <w:t>》</w:t>
                  </w:r>
                  <w:r>
                    <w:rPr>
                      <w:rFonts w:ascii="Times New Roman" w:eastAsia="宋体" w:hAnsi="Times New Roman" w:cs="Times New Roman" w:hint="eastAsia"/>
                      <w:color w:val="auto"/>
                      <w:sz w:val="21"/>
                      <w:szCs w:val="21"/>
                      <w:highlight w:val="none"/>
                      <w:lang w:val="en-US" w:eastAsia="zh-CN"/>
                    </w:rPr>
                    <w:t>陕环发〔2023〕19号</w:t>
                  </w:r>
                </w:p>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2023-03-27</w:t>
                  </w:r>
                </w:p>
              </w:tc>
              <w:tc>
                <w:tcPr>
                  <w:tcW w:w="3694" w:type="dxa"/>
                  <w:vAlign w:val="center"/>
                </w:tcPr>
                <w:p>
                  <w:pPr>
                    <w:spacing w:after="0"/>
                    <w:rPr>
                      <w:rFonts w:ascii="Times New Roman" w:hAnsi="Times New Roman" w:hint="default"/>
                      <w:color w:val="auto"/>
                      <w:highlight w:val="none"/>
                    </w:rPr>
                  </w:pPr>
                </w:p>
              </w:tc>
              <w:tc>
                <w:tcPr>
                  <w:tcW w:w="2192" w:type="dxa"/>
                  <w:vAlign w:val="center"/>
                </w:tcPr>
                <w:p>
                  <w:pPr>
                    <w:rPr>
                      <w:rFonts w:ascii="Times New Roman" w:hAnsi="Times New Roman" w:hint="eastAsia"/>
                      <w:color w:val="auto"/>
                      <w:highlight w:val="none"/>
                    </w:rPr>
                  </w:pPr>
                  <w:r>
                    <w:rPr>
                      <w:rFonts w:ascii="Times New Roman" w:eastAsia="宋体" w:hAnsi="Times New Roman" w:cs="Times New Roman" w:hint="default"/>
                      <w:color w:val="auto"/>
                      <w:szCs w:val="21"/>
                      <w:highlight w:val="none"/>
                    </w:rPr>
                    <w:t>本项目为</w:t>
                  </w:r>
                  <w:r>
                    <w:rPr>
                      <w:rFonts w:ascii="Times New Roman" w:hAnsi="Times New Roman" w:cs="Times New Roman" w:hint="eastAsia"/>
                      <w:bCs/>
                      <w:color w:val="auto"/>
                      <w:sz w:val="21"/>
                      <w:szCs w:val="21"/>
                      <w:highlight w:val="none"/>
                      <w:lang w:val="en-US" w:eastAsia="zh-CN"/>
                    </w:rPr>
                    <w:t>能源钻采高端装备制造</w:t>
                  </w:r>
                  <w:r>
                    <w:rPr>
                      <w:rFonts w:ascii="Times New Roman" w:eastAsia="宋体" w:hAnsi="Times New Roman" w:cs="Times New Roman" w:hint="default"/>
                      <w:color w:val="auto"/>
                      <w:szCs w:val="21"/>
                      <w:highlight w:val="none"/>
                    </w:rPr>
                    <w:t>生产</w:t>
                  </w:r>
                  <w:r>
                    <w:rPr>
                      <w:rFonts w:ascii="Times New Roman"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项目</w:t>
                  </w:r>
                  <w:r>
                    <w:rPr>
                      <w:rFonts w:ascii="Times New Roman" w:hAnsi="Times New Roman" w:cs="Times New Roman" w:hint="eastAsia"/>
                      <w:color w:val="auto"/>
                      <w:szCs w:val="21"/>
                      <w:highlight w:val="none"/>
                      <w:lang w:val="en-US" w:eastAsia="zh-CN"/>
                    </w:rPr>
                    <w:t>建设满足</w:t>
                  </w:r>
                  <w:r>
                    <w:rPr>
                      <w:rFonts w:ascii="Times New Roman" w:eastAsia="宋体" w:hAnsi="Times New Roman" w:cs="Times New Roman" w:hint="default"/>
                      <w:color w:val="auto"/>
                      <w:sz w:val="21"/>
                      <w:szCs w:val="21"/>
                      <w:highlight w:val="none"/>
                    </w:rPr>
                    <w:t>《陕西省大气污染治理专项行动方案（2023-2027年）》的</w:t>
                  </w:r>
                  <w:r>
                    <w:rPr>
                      <w:rFonts w:ascii="Times New Roman" w:hAnsi="Times New Roman" w:cs="Times New Roman" w:hint="eastAsia"/>
                      <w:color w:val="auto"/>
                      <w:sz w:val="21"/>
                      <w:szCs w:val="21"/>
                      <w:highlight w:val="none"/>
                      <w:lang w:val="en-US" w:eastAsia="zh-CN"/>
                    </w:rPr>
                    <w:t>要求</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bl>
          <w:p/>
        </w:tc>
      </w:tr>
    </w:tbl>
    <w:p>
      <w:pPr>
        <w:sectPr>
          <w:footerReference w:type="default" r:id="rId11"/>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6"/>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0"/>
        <w:gridCol w:w="8200"/>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843"/>
          <w:jc w:val="center"/>
        </w:trPr>
        <w:tc>
          <w:tcPr>
            <w:tcW w:w="670" w:type="dxa"/>
            <w:noWrap w:val="0"/>
            <w:vAlign w:val="center"/>
          </w:tcPr>
          <w:p/>
        </w:tc>
        <w:tc>
          <w:tcPr>
            <w:tcW w:w="8200" w:type="dxa"/>
            <w:noWrap w:val="0"/>
            <w:vAlign w:val="center"/>
          </w:tcPr>
          <w:tbl>
            <w:tblPr>
              <w:tblStyle w:val="TableNormal"/>
              <w:tblW w:w="7974"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525"/>
              <w:gridCol w:w="3694"/>
              <w:gridCol w:w="2192"/>
              <w:gridCol w:w="563"/>
            </w:tblGrid>
            <w:tr>
              <w:tblPrEx>
                <w:tblW w:w="7974"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Ex>
              <w:trPr>
                <w:trHeight w:val="454"/>
              </w:trPr>
              <w:tc>
                <w:tcPr>
                  <w:tcW w:w="1525" w:type="dxa"/>
                  <w:vMerge w:val="restart"/>
                  <w:vAlign w:val="center"/>
                </w:tcPr>
                <w:p/>
              </w:tc>
              <w:tc>
                <w:tcPr>
                  <w:tcW w:w="3694" w:type="dxa"/>
                  <w:vAlign w:val="center"/>
                </w:tcPr>
                <w:p>
                  <w:pPr>
                    <w:spacing w:before="0"/>
                    <w:rPr>
                      <w:rFonts w:ascii="Times New Roman" w:hAnsi="Times New Roman" w:hint="default"/>
                      <w:color w:val="auto"/>
                      <w:highlight w:val="none"/>
                    </w:rPr>
                  </w:pPr>
                  <w:r>
                    <w:rPr>
                      <w:rFonts w:ascii="Times New Roman" w:eastAsia="宋体" w:hAnsi="Times New Roman" w:cs="Times New Roman" w:hint="eastAsia"/>
                      <w:color w:val="auto"/>
                      <w:szCs w:val="21"/>
                      <w:highlight w:val="none"/>
                    </w:rPr>
                    <w:t>深入打好蓝天保卫战。制定《陕西省大气污染治理专项行动方案（2023-2027年）》，下硬茬推进关中地区大气污染治理，对西安、咸阳、渭南开展细颗粒物专项考核。加强PM2.5和臭氧协同控制，强化“一市一策”、联防联控和标本兼治，着力打好重污染天气消除、臭氧污染防治和柴油货车污染治理攻坚战。修订重污染天气应急预案，加强应急减排清单标准化管理，建立应急响应科学评估体系，精准有效应对重污染天气。持续提升大气污染治理综合监管能力，优化大气重点区域重点行业源头管控，实施典型行业清洁能源替代和低挥发性有机物源头替代，严防“散乱污”企业反弹。</w:t>
                  </w:r>
                </w:p>
              </w:tc>
              <w:tc>
                <w:tcPr>
                  <w:tcW w:w="2192" w:type="dxa"/>
                  <w:vAlign w:val="center"/>
                </w:tcPr>
                <w:p/>
              </w:tc>
              <w:tc>
                <w:tcPr>
                  <w:tcW w:w="563" w:type="dxa"/>
                  <w:vAlign w:val="center"/>
                </w:tcP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eastAsia"/>
                      <w:color w:val="auto"/>
                      <w:szCs w:val="21"/>
                      <w:highlight w:val="none"/>
                    </w:rPr>
                    <w:t>深入打好碧水保卫战。坚持“三水统筹”，实施“一断一策”达标方案精准治污，强化汛期和枯水期污染管控，落实重点流域水污染补偿实施方案，提升重点流域综合治理成效。持续开展黄河、长江流域水生态健康调查评估。逐步建立省级统筹、市县落实的入河排污口规范化管理机制。持续推进水源地规范化建设和乡镇级饮用水水源保护区划定工作。开展2023年城市黑臭水体整治环境保护专项行动。</w:t>
                  </w:r>
                </w:p>
              </w:tc>
              <w:tc>
                <w:tcPr>
                  <w:tcW w:w="2192" w:type="dxa"/>
                  <w:vAlign w:val="center"/>
                </w:tcPr>
                <w:p>
                  <w:pPr>
                    <w:rPr>
                      <w:rFonts w:ascii="Times New Roman" w:hAnsi="Times New Roman" w:hint="default"/>
                      <w:color w:val="auto"/>
                      <w:highlight w:val="none"/>
                    </w:rPr>
                  </w:pPr>
                  <w:r>
                    <w:rPr>
                      <w:rFonts w:hAnsi="宋体" w:hint="eastAsia"/>
                      <w:color w:val="auto"/>
                      <w:kern w:val="0"/>
                      <w:szCs w:val="21"/>
                      <w:highlight w:val="none"/>
                      <w:lang w:val="en-US" w:eastAsia="zh-CN"/>
                    </w:rPr>
                    <w:t>本项目无生产废水，生活污水经隔油池+化粪池达标处理后排入市政污水管网，最终排入富平第二污水处理厂</w:t>
                  </w:r>
                  <w:r>
                    <w:rPr>
                      <w:rFonts w:ascii="Times New Roman" w:eastAsia="宋体" w:hAnsi="Times New Roman" w:cs="Times New Roman" w:hint="default"/>
                      <w:color w:val="auto"/>
                      <w:szCs w:val="21"/>
                      <w:highlight w:val="none"/>
                    </w:rPr>
                    <w:t>。</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2183"/>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eastAsia"/>
                      <w:color w:val="auto"/>
                      <w:szCs w:val="21"/>
                      <w:highlight w:val="none"/>
                    </w:rPr>
                    <w:t>深入打好净土保卫战。加强土壤污染源头防控，稳步推进土壤污染重点监管单位隐患排查“回头看”和周边土壤环境监测，实施土壤污染源头管控示范项目，推进历史遗留固体废物排查整治。强化建设用地准入管理，加强关闭搬迁企业地块土壤污染管控。强化地下水环境质量管理，开展地下水污染防治重点区划定，推进土壤污染防治先行区、地下水污染防治试验区建设。</w:t>
                  </w:r>
                </w:p>
              </w:tc>
              <w:tc>
                <w:tcPr>
                  <w:tcW w:w="2192" w:type="dxa"/>
                  <w:vAlign w:val="center"/>
                </w:tcPr>
                <w:p>
                  <w:pPr>
                    <w:rPr>
                      <w:rFonts w:ascii="Times New Roman" w:hAnsi="Times New Roman" w:hint="default"/>
                      <w:color w:val="auto"/>
                      <w:highlight w:val="none"/>
                    </w:rPr>
                  </w:pPr>
                  <w:r>
                    <w:rPr>
                      <w:rFonts w:cs="Times New Roman" w:hint="eastAsia"/>
                      <w:color w:val="auto"/>
                      <w:sz w:val="21"/>
                      <w:szCs w:val="21"/>
                      <w:highlight w:val="none"/>
                      <w:lang w:val="en-US" w:eastAsia="zh-CN"/>
                    </w:rPr>
                    <w:t>本</w:t>
                  </w:r>
                  <w:r>
                    <w:rPr>
                      <w:rFonts w:eastAsia="宋体" w:cs="Times New Roman" w:hint="default"/>
                      <w:color w:val="auto"/>
                      <w:sz w:val="21"/>
                      <w:szCs w:val="21"/>
                      <w:highlight w:val="none"/>
                      <w:lang w:val="en-US" w:eastAsia="zh-CN"/>
                    </w:rPr>
                    <w:t>项目</w:t>
                  </w:r>
                  <w:r>
                    <w:rPr>
                      <w:rFonts w:eastAsia="宋体" w:cs="Times New Roman" w:hint="eastAsia"/>
                      <w:color w:val="auto"/>
                      <w:sz w:val="21"/>
                      <w:szCs w:val="21"/>
                      <w:highlight w:val="none"/>
                      <w:lang w:val="en-US" w:eastAsia="zh-CN"/>
                    </w:rPr>
                    <w:t>危废暂存间、喷漆房等厂房</w:t>
                  </w:r>
                  <w:r>
                    <w:rPr>
                      <w:rFonts w:eastAsia="宋体" w:cs="Times New Roman" w:hint="default"/>
                      <w:color w:val="auto"/>
                      <w:sz w:val="21"/>
                      <w:szCs w:val="21"/>
                      <w:highlight w:val="none"/>
                      <w:lang w:val="en-US" w:eastAsia="zh-CN"/>
                    </w:rPr>
                    <w:t>地面采用环氧树脂地坪，</w:t>
                  </w:r>
                  <w:r>
                    <w:rPr>
                      <w:rFonts w:eastAsia="宋体" w:cs="Times New Roman" w:hint="eastAsia"/>
                      <w:color w:val="auto"/>
                      <w:sz w:val="21"/>
                      <w:szCs w:val="21"/>
                      <w:highlight w:val="none"/>
                      <w:lang w:val="en-US" w:eastAsia="zh-CN"/>
                    </w:rPr>
                    <w:t>车间地面</w:t>
                  </w:r>
                  <w:r>
                    <w:rPr>
                      <w:rFonts w:eastAsia="宋体" w:cs="Times New Roman" w:hint="default"/>
                      <w:color w:val="auto"/>
                      <w:sz w:val="21"/>
                      <w:szCs w:val="21"/>
                      <w:highlight w:val="none"/>
                      <w:lang w:val="en-US" w:eastAsia="zh-CN"/>
                    </w:rPr>
                    <w:t>涉及区域防渗措施有效可靠，满足防渗要求。</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eastAsia"/>
                      <w:color w:val="auto"/>
                      <w:szCs w:val="21"/>
                      <w:highlight w:val="none"/>
                    </w:rPr>
                    <w:t>持续加强固体废物环境监管。深入推进“无废城市”高质量建设，建立省“无废城市”建设专家库和技术帮扶组，支持西安、咸阳、神木市推进“无废城市”建设。持续推动落实《陕西省强化危险废物监管和利用处置能力改革工作方案》重点工作任务。加快筹建西北地区危险废物风险防控技术中心，推动区域危险废物处置中心建设。巩固危险废物专项整治三年行动成果，持续开展年度危险废物规范化环境管理评估。</w:t>
                  </w:r>
                </w:p>
              </w:tc>
              <w:tc>
                <w:tcPr>
                  <w:tcW w:w="2192" w:type="dxa"/>
                  <w:vAlign w:val="center"/>
                </w:tcPr>
                <w:p>
                  <w:pPr>
                    <w:rPr>
                      <w:rFonts w:ascii="Times New Roman" w:hAnsi="Times New Roman" w:hint="default"/>
                      <w:color w:val="auto"/>
                      <w:highlight w:val="none"/>
                    </w:rPr>
                  </w:pPr>
                  <w:r>
                    <w:rPr>
                      <w:rFonts w:hAnsi="宋体" w:hint="eastAsia"/>
                      <w:color w:val="auto"/>
                      <w:kern w:val="0"/>
                      <w:szCs w:val="21"/>
                      <w:highlight w:val="none"/>
                      <w:lang w:val="en-US" w:eastAsia="zh-CN"/>
                    </w:rPr>
                    <w:t>本项目</w:t>
                  </w:r>
                  <w:r>
                    <w:rPr>
                      <w:rFonts w:cs="Times New Roman" w:hint="eastAsia"/>
                      <w:color w:val="auto"/>
                      <w:sz w:val="21"/>
                      <w:szCs w:val="21"/>
                      <w:highlight w:val="none"/>
                      <w:lang w:val="en-US" w:eastAsia="zh-CN"/>
                    </w:rPr>
                    <w:t>废边角料、废焊渣、除尘灰集中收集，定期外售；</w:t>
                  </w:r>
                  <w:r>
                    <w:rPr>
                      <w:rFonts w:ascii="Times New Roman" w:eastAsia="宋体" w:hAnsi="Times New Roman" w:cs="Times New Roman" w:hint="eastAsia"/>
                      <w:color w:val="auto"/>
                      <w:szCs w:val="21"/>
                      <w:highlight w:val="none"/>
                      <w:lang w:val="en-US" w:eastAsia="zh-CN"/>
                    </w:rPr>
                    <w:t>废切屑液、废机油、</w:t>
                  </w:r>
                  <w:r>
                    <w:rPr>
                      <w:rFonts w:cs="Times New Roman" w:hint="eastAsia"/>
                      <w:color w:val="auto"/>
                      <w:sz w:val="21"/>
                      <w:szCs w:val="21"/>
                      <w:highlight w:val="none"/>
                      <w:lang w:val="en-US" w:eastAsia="zh-CN"/>
                    </w:rPr>
                    <w:t>废过滤棉，废油漆桶、漆渣、废活性炭等危险废物采用</w:t>
                  </w:r>
                  <w:r>
                    <w:rPr>
                      <w:color w:val="auto"/>
                      <w:szCs w:val="21"/>
                      <w:highlight w:val="none"/>
                    </w:rPr>
                    <w:t>专用容器分类收集后暂存于厂区危废暂存间内，定期交有资质单位处置</w:t>
                  </w:r>
                  <w:r>
                    <w:rPr>
                      <w:rFonts w:hint="eastAsia"/>
                      <w:color w:val="auto"/>
                      <w:szCs w:val="21"/>
                      <w:highlight w:val="none"/>
                      <w:lang w:eastAsia="zh-CN"/>
                    </w:rPr>
                    <w:t>；</w:t>
                  </w:r>
                  <w:r>
                    <w:rPr>
                      <w:rFonts w:ascii="Times New Roman" w:hAnsi="Times New Roman" w:hint="eastAsia"/>
                      <w:color w:val="auto"/>
                      <w:highlight w:val="none"/>
                    </w:rPr>
                    <w:t>办公</w:t>
                  </w:r>
                  <w:r>
                    <w:rPr>
                      <w:rFonts w:ascii="Times New Roman" w:hAnsi="Times New Roman"/>
                      <w:color w:val="auto"/>
                      <w:highlight w:val="none"/>
                    </w:rPr>
                    <w:t>生活垃圾采用袋装、垃圾桶等分类收集、固定地点堆放，由环卫部门定期清运</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spacing w:after="0"/>
                    <w:rPr>
                      <w:rFonts w:ascii="Times New Roman" w:hAnsi="Times New Roman" w:hint="default"/>
                      <w:color w:val="auto"/>
                      <w:highlight w:val="none"/>
                    </w:rPr>
                  </w:pP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本项目生产所用能源为电，属清洁能源。</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bl>
          <w:p/>
        </w:tc>
      </w:tr>
    </w:tbl>
    <w:p>
      <w:pPr>
        <w:sectPr>
          <w:footerReference w:type="default" r:id="rId12"/>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7"/>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0"/>
        <w:gridCol w:w="8200"/>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843"/>
          <w:jc w:val="center"/>
        </w:trPr>
        <w:tc>
          <w:tcPr>
            <w:tcW w:w="670" w:type="dxa"/>
            <w:noWrap w:val="0"/>
            <w:vAlign w:val="center"/>
          </w:tcPr>
          <w:p/>
        </w:tc>
        <w:tc>
          <w:tcPr>
            <w:tcW w:w="8200" w:type="dxa"/>
            <w:noWrap w:val="0"/>
            <w:vAlign w:val="center"/>
          </w:tcPr>
          <w:tbl>
            <w:tblPr>
              <w:tblStyle w:val="TableNormal"/>
              <w:tblW w:w="7974"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525"/>
              <w:gridCol w:w="3694"/>
              <w:gridCol w:w="2192"/>
              <w:gridCol w:w="563"/>
            </w:tblGrid>
            <w:tr>
              <w:tblPrEx>
                <w:tblW w:w="7974"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Ex>
              <w:trPr>
                <w:trHeight w:val="454"/>
              </w:trPr>
              <w:tc>
                <w:tcPr>
                  <w:tcW w:w="1525" w:type="dxa"/>
                  <w:vMerge w:val="restart"/>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陕西省人民政府关于印发《陕西省大气污染治理专项行动方案（2023-2027年）》的通知</w:t>
                  </w:r>
                </w:p>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（陕发【2023】4号）</w:t>
                  </w:r>
                </w:p>
              </w:tc>
              <w:tc>
                <w:tcPr>
                  <w:tcW w:w="3694" w:type="dxa"/>
                  <w:vAlign w:val="center"/>
                </w:tcPr>
                <w:p>
                  <w:pPr>
                    <w:spacing w:before="0"/>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能源消费结构调整。到2025年，电能在终端能源消费中的比重提高到27%以上，积极发展非化石能源，关中地区到2025年实现煤炭消费负增长。关中地区严禁新增煤电（含自备电厂）装机规模。</w:t>
                  </w:r>
                </w:p>
              </w:tc>
              <w:tc>
                <w:tcPr>
                  <w:tcW w:w="2192" w:type="dxa"/>
                  <w:vAlign w:val="center"/>
                </w:tcPr>
                <w:p/>
              </w:tc>
              <w:tc>
                <w:tcPr>
                  <w:tcW w:w="563" w:type="dxa"/>
                  <w:vAlign w:val="center"/>
                </w:tcP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产业发展结构调整。关中地区严禁新增钢铁、焦化、水泥熟料、平板玻璃、电解铝、氧化铝、煤化工产能，合理控制煤制油气产能规模，严控新增炼油产能。</w:t>
                  </w: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本项目属</w:t>
                  </w:r>
                  <w:r>
                    <w:rPr>
                      <w:rFonts w:ascii="Times New Roman" w:hAnsi="Times New Roman" w:cs="Times New Roman" w:hint="eastAsia"/>
                      <w:bCs/>
                      <w:color w:val="auto"/>
                      <w:sz w:val="21"/>
                      <w:szCs w:val="21"/>
                      <w:highlight w:val="none"/>
                      <w:lang w:val="en-US" w:eastAsia="zh-CN"/>
                    </w:rPr>
                    <w:t>能源钻采高端装备制造</w:t>
                  </w:r>
                  <w:r>
                    <w:rPr>
                      <w:rFonts w:ascii="Times New Roman" w:eastAsia="宋体" w:hAnsi="Times New Roman" w:cs="Times New Roman" w:hint="default"/>
                      <w:color w:val="auto"/>
                      <w:szCs w:val="21"/>
                      <w:highlight w:val="none"/>
                    </w:rPr>
                    <w:t>生产，不在严禁新增产业目录之内。</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关中地区市辖区及开发区范围内新、改、扩建涉气重点行业企业应达到环保绩效A级、绩效引领性水平，西安市、咸阳市、渭南市的其他区域应达到环保绩效B级及以上水平。</w:t>
                  </w:r>
                </w:p>
              </w:tc>
              <w:tc>
                <w:tcPr>
                  <w:tcW w:w="2192" w:type="dxa"/>
                  <w:vAlign w:val="center"/>
                </w:tcPr>
                <w:p>
                  <w:pPr>
                    <w:rPr>
                      <w:rFonts w:ascii="Times New Roman" w:hAnsi="Times New Roman" w:hint="eastAsia"/>
                      <w:color w:val="auto"/>
                      <w:highlight w:val="none"/>
                    </w:rPr>
                  </w:pPr>
                  <w:r>
                    <w:rPr>
                      <w:rFonts w:ascii="Times New Roman" w:eastAsia="宋体" w:hAnsi="Times New Roman" w:cs="Times New Roman" w:hint="default"/>
                      <w:color w:val="auto"/>
                      <w:szCs w:val="21"/>
                      <w:highlight w:val="none"/>
                    </w:rPr>
                    <w:t>对照《重污染天气重点行业应急减排措施制定技术指南（2020年修订版）》，本项目</w:t>
                  </w:r>
                  <w:r>
                    <w:rPr>
                      <w:rFonts w:ascii="Times New Roman" w:hAnsi="Times New Roman" w:cs="Times New Roman" w:hint="eastAsia"/>
                      <w:color w:val="auto"/>
                      <w:szCs w:val="21"/>
                      <w:highlight w:val="none"/>
                      <w:lang w:val="en-US" w:eastAsia="zh-CN"/>
                    </w:rPr>
                    <w:t>属于</w:t>
                  </w:r>
                  <w:r>
                    <w:rPr>
                      <w:rFonts w:ascii="Times New Roman" w:hAnsi="Times New Roman" w:cs="Times New Roman" w:hint="default"/>
                      <w:color w:val="auto"/>
                      <w:highlight w:val="none"/>
                      <w:lang w:val="en-US" w:eastAsia="zh-CN"/>
                    </w:rPr>
                    <w:t>C</w:t>
                  </w:r>
                  <w:r>
                    <w:rPr>
                      <w:rFonts w:ascii="Times New Roman" w:hAnsi="Times New Roman" w:cs="Times New Roman" w:hint="eastAsia"/>
                      <w:color w:val="auto"/>
                      <w:highlight w:val="none"/>
                      <w:lang w:val="en-US" w:eastAsia="zh-CN"/>
                    </w:rPr>
                    <w:t>3512</w:t>
                  </w:r>
                  <w:r>
                    <w:rPr>
                      <w:rFonts w:ascii="Times New Roman" w:hAnsi="Times New Roman" w:cs="Times New Roman" w:hint="default"/>
                      <w:color w:val="auto"/>
                      <w:highlight w:val="none"/>
                      <w:lang w:val="en-US" w:eastAsia="zh-CN"/>
                    </w:rPr>
                    <w:t>石油钻采专用设备</w:t>
                  </w:r>
                  <w:r>
                    <w:rPr>
                      <w:rFonts w:ascii="Times New Roman" w:hAnsi="Times New Roman" w:cs="Times New Roman" w:hint="eastAsia"/>
                      <w:color w:val="auto"/>
                      <w:highlight w:val="none"/>
                      <w:lang w:val="en-US" w:eastAsia="zh-CN"/>
                    </w:rPr>
                    <w:t>/</w:t>
                  </w:r>
                  <w:r>
                    <w:rPr>
                      <w:rFonts w:ascii="Times New Roman" w:eastAsia="宋体" w:hAnsi="Times New Roman" w:cs="Times New Roman" w:hint="eastAsia"/>
                      <w:color w:val="auto"/>
                      <w:kern w:val="0"/>
                      <w:sz w:val="21"/>
                      <w:szCs w:val="21"/>
                      <w:highlight w:val="none"/>
                      <w:lang w:val="en-US" w:eastAsia="zh-CN"/>
                    </w:rPr>
                    <w:t>C3513深海石油钻探设备制造</w:t>
                  </w:r>
                  <w:r>
                    <w:rPr>
                      <w:rFonts w:ascii="Times New Roman" w:hAnsi="Times New Roman" w:cs="Times New Roman" w:hint="eastAsia"/>
                      <w:color w:val="auto"/>
                      <w:highlight w:val="none"/>
                      <w:lang w:val="en-US" w:eastAsia="zh-CN"/>
                    </w:rPr>
                    <w:t>业，</w:t>
                  </w:r>
                  <w:r>
                    <w:rPr>
                      <w:rFonts w:ascii="Times New Roman" w:hAnsi="Times New Roman" w:cs="Times New Roman" w:hint="eastAsia"/>
                      <w:color w:val="auto"/>
                      <w:szCs w:val="21"/>
                      <w:highlight w:val="none"/>
                      <w:lang w:val="en-US" w:eastAsia="zh-CN"/>
                    </w:rPr>
                    <w:t>不在</w:t>
                  </w:r>
                  <w:r>
                    <w:rPr>
                      <w:rFonts w:ascii="Times New Roman" w:eastAsia="宋体" w:hAnsi="Times New Roman" w:cs="Times New Roman" w:hint="default"/>
                      <w:color w:val="auto"/>
                      <w:szCs w:val="21"/>
                      <w:highlight w:val="none"/>
                    </w:rPr>
                    <w:t>涉气重点行业</w:t>
                  </w:r>
                  <w:r>
                    <w:rPr>
                      <w:rFonts w:ascii="Times New Roman" w:hAnsi="Times New Roman" w:cs="Times New Roman" w:hint="eastAsia"/>
                      <w:color w:val="auto"/>
                      <w:szCs w:val="21"/>
                      <w:highlight w:val="none"/>
                      <w:lang w:val="en-US" w:eastAsia="zh-CN"/>
                    </w:rPr>
                    <w:t xml:space="preserve"> 三十九、工业涂装（专用设备制造业）分类行业范围内</w:t>
                  </w:r>
                  <w:r>
                    <w:rPr>
                      <w:rFonts w:ascii="Times New Roman" w:eastAsia="宋体" w:hAnsi="Times New Roman" w:cs="Times New Roman" w:hint="default"/>
                      <w:color w:val="auto"/>
                      <w:szCs w:val="21"/>
                      <w:highlight w:val="none"/>
                    </w:rPr>
                    <w:t>。</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新建挥发性有机物治理设施不再采用单一低温等离子、光氧化、光催化等治理技术，非水溶性挥发性有机物废气不再采用单一喷淋吸收方式处理。</w:t>
                  </w: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本项目有机废气采用</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干式过滤</w:t>
                  </w:r>
                  <w:r>
                    <w:rPr>
                      <w:rFonts w:ascii="Times New Roman" w:hAnsi="Times New Roman" w:cs="Times New Roman" w:hint="eastAsia"/>
                      <w:color w:val="auto"/>
                      <w:szCs w:val="21"/>
                      <w:highlight w:val="none"/>
                      <w:lang w:val="en-US" w:eastAsia="zh-CN"/>
                    </w:rPr>
                    <w:t>棉</w:t>
                  </w:r>
                  <w:r>
                    <w:rPr>
                      <w:rFonts w:ascii="Times New Roman" w:eastAsia="宋体" w:hAnsi="Times New Roman" w:cs="Times New Roman" w:hint="default"/>
                      <w:color w:val="auto"/>
                      <w:szCs w:val="21"/>
                      <w:highlight w:val="none"/>
                    </w:rPr>
                    <w:t>+</w:t>
                  </w:r>
                  <w:r>
                    <w:rPr>
                      <w:rFonts w:ascii="Times New Roman" w:hAnsi="Times New Roman" w:cs="Times New Roman" w:hint="eastAsia"/>
                      <w:color w:val="auto"/>
                      <w:szCs w:val="21"/>
                      <w:highlight w:val="none"/>
                      <w:lang w:val="en-US" w:eastAsia="zh-CN"/>
                    </w:rPr>
                    <w:t>二级活性炭吸附</w:t>
                  </w:r>
                  <w:r>
                    <w:rPr>
                      <w:rFonts w:ascii="Times New Roman" w:eastAsia="宋体" w:hAnsi="Times New Roman" w:cs="Times New Roman" w:hint="default"/>
                      <w:color w:val="auto"/>
                      <w:szCs w:val="21"/>
                      <w:highlight w:val="none"/>
                    </w:rPr>
                    <w:t>装置</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工艺。</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restart"/>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eastAsia"/>
                      <w:color w:val="auto"/>
                      <w:sz w:val="21"/>
                      <w:szCs w:val="21"/>
                      <w:highlight w:val="none"/>
                      <w:lang w:val="en-US" w:eastAsia="zh-CN"/>
                    </w:rPr>
                    <w:t>渭南市</w:t>
                  </w:r>
                  <w:r>
                    <w:rPr>
                      <w:rFonts w:ascii="Times New Roman" w:eastAsia="宋体" w:hAnsi="Times New Roman" w:cs="Times New Roman" w:hint="default"/>
                      <w:color w:val="auto"/>
                      <w:sz w:val="21"/>
                      <w:szCs w:val="21"/>
                      <w:highlight w:val="none"/>
                    </w:rPr>
                    <w:t>人民政府关于印发《</w:t>
                  </w:r>
                  <w:r>
                    <w:rPr>
                      <w:rFonts w:ascii="Times New Roman" w:eastAsia="宋体" w:hAnsi="Times New Roman" w:cs="Times New Roman" w:hint="eastAsia"/>
                      <w:color w:val="auto"/>
                      <w:sz w:val="21"/>
                      <w:szCs w:val="21"/>
                      <w:highlight w:val="none"/>
                      <w:lang w:val="en-US" w:eastAsia="zh-CN"/>
                    </w:rPr>
                    <w:t>渭南市</w:t>
                  </w:r>
                  <w:r>
                    <w:rPr>
                      <w:rFonts w:ascii="Times New Roman" w:eastAsia="宋体" w:hAnsi="Times New Roman" w:cs="Times New Roman" w:hint="default"/>
                      <w:color w:val="auto"/>
                      <w:sz w:val="21"/>
                      <w:szCs w:val="21"/>
                      <w:highlight w:val="none"/>
                    </w:rPr>
                    <w:t>大气污染治理专项行动方案（2023-2027年）》的通知</w:t>
                  </w:r>
                </w:p>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w:t>
                  </w:r>
                  <w:r>
                    <w:rPr>
                      <w:rFonts w:ascii="Times New Roman" w:eastAsia="宋体" w:hAnsi="Times New Roman" w:cs="Times New Roman" w:hint="eastAsia"/>
                      <w:color w:val="auto"/>
                      <w:sz w:val="21"/>
                      <w:szCs w:val="21"/>
                      <w:highlight w:val="none"/>
                      <w:lang w:val="en-US" w:eastAsia="zh-CN"/>
                    </w:rPr>
                    <w:t>渭市</w:t>
                  </w:r>
                  <w:r>
                    <w:rPr>
                      <w:rFonts w:ascii="Times New Roman" w:eastAsia="宋体" w:hAnsi="Times New Roman" w:cs="Times New Roman" w:hint="default"/>
                      <w:color w:val="auto"/>
                      <w:sz w:val="21"/>
                      <w:szCs w:val="21"/>
                      <w:highlight w:val="none"/>
                    </w:rPr>
                    <w:t>发【2023】</w:t>
                  </w:r>
                  <w:r>
                    <w:rPr>
                      <w:rFonts w:ascii="Times New Roman" w:eastAsia="宋体" w:hAnsi="Times New Roman" w:cs="Times New Roman" w:hint="eastAsia"/>
                      <w:color w:val="auto"/>
                      <w:sz w:val="21"/>
                      <w:szCs w:val="21"/>
                      <w:highlight w:val="none"/>
                      <w:lang w:val="en-US" w:eastAsia="zh-CN"/>
                    </w:rPr>
                    <w:t>5</w:t>
                  </w:r>
                  <w:r>
                    <w:rPr>
                      <w:rFonts w:ascii="Times New Roman" w:eastAsia="宋体" w:hAnsi="Times New Roman" w:cs="Times New Roman" w:hint="default"/>
                      <w:color w:val="auto"/>
                      <w:sz w:val="21"/>
                      <w:szCs w:val="21"/>
                      <w:highlight w:val="none"/>
                    </w:rPr>
                    <w:t>号）</w:t>
                  </w: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lang w:val="en-US" w:eastAsia="zh-CN"/>
                    </w:rPr>
                    <w:t>产业发展结构调整。严禁新增钢铁、焦化、水泥熟料、平板玻璃、电解铝、氧化铝、煤化工产能,合理控制煤制油气产能规模,严控新增炼油产能。</w:t>
                  </w:r>
                </w:p>
                <w:p>
                  <w:pPr>
                    <w:rPr>
                      <w:rFonts w:ascii="Times New Roman" w:hAnsi="Times New Roman" w:hint="default"/>
                      <w:color w:val="auto"/>
                      <w:highlight w:val="none"/>
                    </w:rPr>
                  </w:pP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w:t>
                  </w:r>
                  <w:r>
                    <w:rPr>
                      <w:rFonts w:ascii="Times New Roman" w:hAnsi="Times New Roman" w:cs="Times New Roman" w:hint="eastAsia"/>
                      <w:bCs/>
                      <w:color w:val="auto"/>
                      <w:sz w:val="21"/>
                      <w:szCs w:val="21"/>
                      <w:highlight w:val="none"/>
                      <w:lang w:val="en-US" w:eastAsia="zh-CN"/>
                    </w:rPr>
                    <w:t>能源钻采高端装备制造</w:t>
                  </w:r>
                  <w:r>
                    <w:rPr>
                      <w:rFonts w:ascii="Times New Roman" w:eastAsia="宋体" w:hAnsi="Times New Roman" w:cs="Times New Roman" w:hint="default"/>
                      <w:color w:val="auto"/>
                      <w:szCs w:val="21"/>
                      <w:highlight w:val="none"/>
                    </w:rPr>
                    <w:t>生产，不在严禁新增产业目录之内。</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lang w:val="en-US" w:eastAsia="zh-CN"/>
                    </w:rPr>
                    <w:t>市辖区及开发区范围内新、改、扩建涉气重点行业企业应达到环保绩效A级、绩效引领性水平,其他区域应达到环保绩效B级及以上水平。</w:t>
                  </w: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对照《重污染天气重点行业应急减排措施制定技术指南（2020年修订版）》，本项目</w:t>
                  </w:r>
                  <w:r>
                    <w:rPr>
                      <w:rFonts w:ascii="Times New Roman" w:hAnsi="Times New Roman" w:cs="Times New Roman" w:hint="eastAsia"/>
                      <w:color w:val="auto"/>
                      <w:szCs w:val="21"/>
                      <w:highlight w:val="none"/>
                      <w:lang w:val="en-US" w:eastAsia="zh-CN"/>
                    </w:rPr>
                    <w:t>属于</w:t>
                  </w:r>
                  <w:r>
                    <w:rPr>
                      <w:rFonts w:ascii="Times New Roman" w:hAnsi="Times New Roman" w:cs="Times New Roman" w:hint="default"/>
                      <w:color w:val="auto"/>
                      <w:highlight w:val="none"/>
                      <w:lang w:val="en-US" w:eastAsia="zh-CN"/>
                    </w:rPr>
                    <w:t>C</w:t>
                  </w:r>
                  <w:r>
                    <w:rPr>
                      <w:rFonts w:ascii="Times New Roman" w:hAnsi="Times New Roman" w:cs="Times New Roman" w:hint="eastAsia"/>
                      <w:color w:val="auto"/>
                      <w:highlight w:val="none"/>
                      <w:lang w:val="en-US" w:eastAsia="zh-CN"/>
                    </w:rPr>
                    <w:t>3512</w:t>
                  </w:r>
                  <w:r>
                    <w:rPr>
                      <w:rFonts w:ascii="Times New Roman" w:hAnsi="Times New Roman" w:cs="Times New Roman" w:hint="default"/>
                      <w:color w:val="auto"/>
                      <w:highlight w:val="none"/>
                      <w:lang w:val="en-US" w:eastAsia="zh-CN"/>
                    </w:rPr>
                    <w:t>石油钻采专用设备</w:t>
                  </w:r>
                  <w:r>
                    <w:rPr>
                      <w:rFonts w:ascii="Times New Roman" w:hAnsi="Times New Roman" w:cs="Times New Roman" w:hint="eastAsia"/>
                      <w:color w:val="auto"/>
                      <w:highlight w:val="none"/>
                      <w:lang w:val="en-US" w:eastAsia="zh-CN"/>
                    </w:rPr>
                    <w:t>/</w:t>
                  </w:r>
                  <w:r>
                    <w:rPr>
                      <w:rFonts w:ascii="Times New Roman" w:eastAsia="宋体" w:hAnsi="Times New Roman" w:cs="Times New Roman" w:hint="eastAsia"/>
                      <w:color w:val="auto"/>
                      <w:kern w:val="0"/>
                      <w:sz w:val="21"/>
                      <w:szCs w:val="21"/>
                      <w:highlight w:val="none"/>
                      <w:lang w:val="en-US" w:eastAsia="zh-CN"/>
                    </w:rPr>
                    <w:t>C3513深海石油钻探设备制造</w:t>
                  </w:r>
                  <w:r>
                    <w:rPr>
                      <w:rFonts w:ascii="Times New Roman" w:hAnsi="Times New Roman" w:cs="Times New Roman" w:hint="eastAsia"/>
                      <w:color w:val="auto"/>
                      <w:highlight w:val="none"/>
                      <w:lang w:val="en-US" w:eastAsia="zh-CN"/>
                    </w:rPr>
                    <w:t>业，</w:t>
                  </w:r>
                  <w:r>
                    <w:rPr>
                      <w:rFonts w:ascii="Times New Roman" w:hAnsi="Times New Roman" w:cs="Times New Roman" w:hint="eastAsia"/>
                      <w:color w:val="auto"/>
                      <w:szCs w:val="21"/>
                      <w:highlight w:val="none"/>
                      <w:lang w:val="en-US" w:eastAsia="zh-CN"/>
                    </w:rPr>
                    <w:t>不在</w:t>
                  </w:r>
                  <w:r>
                    <w:rPr>
                      <w:rFonts w:ascii="Times New Roman" w:eastAsia="宋体" w:hAnsi="Times New Roman" w:cs="Times New Roman" w:hint="default"/>
                      <w:color w:val="auto"/>
                      <w:szCs w:val="21"/>
                      <w:highlight w:val="none"/>
                    </w:rPr>
                    <w:t>涉气重点行业</w:t>
                  </w:r>
                  <w:r>
                    <w:rPr>
                      <w:rFonts w:ascii="Times New Roman" w:hAnsi="Times New Roman" w:cs="Times New Roman" w:hint="eastAsia"/>
                      <w:color w:val="auto"/>
                      <w:szCs w:val="21"/>
                      <w:highlight w:val="none"/>
                      <w:lang w:val="en-US" w:eastAsia="zh-CN"/>
                    </w:rPr>
                    <w:t xml:space="preserve"> 三十九、工业涂装（专用设备制造业）分类行业范围内</w:t>
                  </w:r>
                  <w:r>
                    <w:rPr>
                      <w:rFonts w:ascii="Times New Roman" w:eastAsia="宋体" w:hAnsi="Times New Roman" w:cs="Times New Roman" w:hint="default"/>
                      <w:color w:val="auto"/>
                      <w:szCs w:val="21"/>
                      <w:highlight w:val="none"/>
                    </w:rPr>
                    <w:t>。</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spacing w:after="0"/>
                    <w:rPr>
                      <w:rFonts w:ascii="Times New Roman" w:hAnsi="Times New Roman" w:hint="default"/>
                      <w:color w:val="auto"/>
                      <w:highlight w:val="none"/>
                    </w:rPr>
                  </w:pP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本项目有机废气采用</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干式过滤</w:t>
                  </w:r>
                  <w:r>
                    <w:rPr>
                      <w:rFonts w:ascii="Times New Roman" w:hAnsi="Times New Roman" w:cs="Times New Roman" w:hint="eastAsia"/>
                      <w:color w:val="auto"/>
                      <w:szCs w:val="21"/>
                      <w:highlight w:val="none"/>
                      <w:lang w:val="en-US" w:eastAsia="zh-CN"/>
                    </w:rPr>
                    <w:t>棉</w:t>
                  </w:r>
                  <w:r>
                    <w:rPr>
                      <w:rFonts w:ascii="Times New Roman" w:eastAsia="宋体" w:hAnsi="Times New Roman" w:cs="Times New Roman" w:hint="default"/>
                      <w:color w:val="auto"/>
                      <w:szCs w:val="21"/>
                      <w:highlight w:val="none"/>
                    </w:rPr>
                    <w:t>+</w:t>
                  </w:r>
                  <w:r>
                    <w:rPr>
                      <w:rFonts w:ascii="Times New Roman" w:hAnsi="Times New Roman" w:cs="Times New Roman" w:hint="eastAsia"/>
                      <w:color w:val="auto"/>
                      <w:szCs w:val="21"/>
                      <w:highlight w:val="none"/>
                      <w:lang w:val="en-US" w:eastAsia="zh-CN"/>
                    </w:rPr>
                    <w:t>二级活性炭吸附</w:t>
                  </w:r>
                  <w:r>
                    <w:rPr>
                      <w:rFonts w:ascii="Times New Roman" w:eastAsia="宋体" w:hAnsi="Times New Roman" w:cs="Times New Roman" w:hint="default"/>
                      <w:color w:val="auto"/>
                      <w:szCs w:val="21"/>
                      <w:highlight w:val="none"/>
                    </w:rPr>
                    <w:t>装置</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工艺。</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bl>
          <w:p/>
        </w:tc>
      </w:tr>
    </w:tbl>
    <w:p>
      <w:pPr>
        <w:sectPr>
          <w:footerReference w:type="default" r:id="rId13"/>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8"/>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0"/>
        <w:gridCol w:w="8200"/>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843"/>
          <w:jc w:val="center"/>
        </w:trPr>
        <w:tc>
          <w:tcPr>
            <w:tcW w:w="670" w:type="dxa"/>
            <w:noWrap w:val="0"/>
            <w:vAlign w:val="center"/>
          </w:tcPr>
          <w:p/>
        </w:tc>
        <w:tc>
          <w:tcPr>
            <w:tcW w:w="8200" w:type="dxa"/>
            <w:noWrap w:val="0"/>
            <w:vAlign w:val="center"/>
          </w:tcPr>
          <w:tbl>
            <w:tblPr>
              <w:tblStyle w:val="TableNormal"/>
              <w:tblW w:w="7974"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525"/>
              <w:gridCol w:w="3694"/>
              <w:gridCol w:w="2192"/>
              <w:gridCol w:w="563"/>
            </w:tblGrid>
            <w:tr>
              <w:tblPrEx>
                <w:tblW w:w="7974"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Ex>
              <w:trPr>
                <w:trHeight w:val="454"/>
              </w:trPr>
              <w:tc>
                <w:tcPr>
                  <w:tcW w:w="1525" w:type="dxa"/>
                  <w:vMerge w:val="restart"/>
                  <w:vAlign w:val="center"/>
                </w:tcPr>
                <w:p/>
              </w:tc>
              <w:tc>
                <w:tcPr>
                  <w:tcW w:w="3694" w:type="dxa"/>
                  <w:vAlign w:val="center"/>
                </w:tcPr>
                <w:p>
                  <w:pPr>
                    <w:spacing w:before="0"/>
                    <w:rPr>
                      <w:rFonts w:ascii="Times New Roman" w:hAnsi="Times New Roman" w:hint="default"/>
                      <w:color w:val="auto"/>
                      <w:highlight w:val="none"/>
                    </w:rPr>
                  </w:pPr>
                  <w:r>
                    <w:rPr>
                      <w:rFonts w:ascii="Times New Roman" w:eastAsia="宋体" w:hAnsi="Times New Roman" w:cs="Times New Roman" w:hint="default"/>
                      <w:color w:val="auto"/>
                      <w:szCs w:val="21"/>
                      <w:highlight w:val="none"/>
                      <w:lang w:val="en-US" w:eastAsia="zh-CN"/>
                    </w:rPr>
                    <w:t>新建挥发性有机物治理设施不再采用单一低温等离子、光氧化、光催化等处理方式,非水溶性VOCs废气不再采用喷淋吸收方式处理。2023年完成使用溶剂型涂料、油墨、胶粘剂、清洗剂以及涉及有机化工生产企业的简易低效污染治理设施升级改造。</w:t>
                  </w:r>
                </w:p>
              </w:tc>
              <w:tc>
                <w:tcPr>
                  <w:tcW w:w="2192" w:type="dxa"/>
                  <w:vAlign w:val="center"/>
                </w:tcPr>
                <w:p/>
              </w:tc>
              <w:tc>
                <w:tcPr>
                  <w:tcW w:w="563" w:type="dxa"/>
                  <w:vAlign w:val="center"/>
                </w:tcP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restart"/>
                  <w:vAlign w:val="center"/>
                </w:tcPr>
                <w:p>
                  <w:pPr>
                    <w:pStyle w:val="Normal18"/>
                    <w:widowControl w:val="0"/>
                    <w:autoSpaceDE w:val="0"/>
                    <w:autoSpaceDN w:val="0"/>
                    <w:spacing w:before="0" w:after="0"/>
                    <w:jc w:val="center"/>
                    <w:rPr>
                      <w:rFonts w:ascii="Times New Roman" w:eastAsia="楷体_GB2312" w:hAnsi="Times New Roman" w:cs="Times New Roman" w:hint="default"/>
                      <w:color w:val="auto"/>
                      <w:sz w:val="21"/>
                      <w:szCs w:val="21"/>
                      <w:highlight w:val="none"/>
                      <w:lang w:val="en-US" w:eastAsia="zh-CN"/>
                    </w:rPr>
                  </w:pPr>
                  <w:r>
                    <w:rPr>
                      <w:rFonts w:ascii="Times New Roman" w:eastAsia="宋体" w:hAnsi="Times New Roman" w:cs="Times New Roman" w:hint="eastAsia"/>
                      <w:color w:val="auto"/>
                      <w:sz w:val="21"/>
                      <w:szCs w:val="21"/>
                      <w:highlight w:val="none"/>
                    </w:rPr>
                    <w:t>《渭南市2023年空气质量改善进位方案》</w:t>
                  </w:r>
                  <w:r>
                    <w:rPr>
                      <w:rFonts w:ascii="Times New Roman" w:eastAsia="宋体" w:hAnsi="Times New Roman" w:cs="Times New Roman" w:hint="eastAsia"/>
                      <w:color w:val="auto"/>
                      <w:sz w:val="21"/>
                      <w:szCs w:val="21"/>
                      <w:highlight w:val="none"/>
                      <w:lang w:val="en-US" w:eastAsia="zh-CN"/>
                    </w:rPr>
                    <w:t>2023.4.21</w:t>
                  </w: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eastAsia"/>
                      <w:color w:val="auto"/>
                      <w:szCs w:val="21"/>
                      <w:highlight w:val="none"/>
                      <w:lang w:val="en-US" w:eastAsia="zh-CN"/>
                    </w:rPr>
                    <w:t>市辖区及开发区范围内新、改、扩建涉气重点行业企业应达到环保绩效A级、绩效引领性水平，其它区域应达到环保绩效B级及以上水平。</w:t>
                  </w: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对照《重污染天气重点行业应急减排措施制定技术指南（2020年修订版）》，本项目</w:t>
                  </w:r>
                  <w:r>
                    <w:rPr>
                      <w:rFonts w:ascii="Times New Roman" w:hAnsi="Times New Roman" w:cs="Times New Roman" w:hint="eastAsia"/>
                      <w:color w:val="auto"/>
                      <w:szCs w:val="21"/>
                      <w:highlight w:val="none"/>
                      <w:lang w:val="en-US" w:eastAsia="zh-CN"/>
                    </w:rPr>
                    <w:t>属于</w:t>
                  </w:r>
                  <w:r>
                    <w:rPr>
                      <w:rFonts w:ascii="Times New Roman" w:hAnsi="Times New Roman" w:cs="Times New Roman" w:hint="default"/>
                      <w:color w:val="auto"/>
                      <w:highlight w:val="none"/>
                      <w:lang w:val="en-US" w:eastAsia="zh-CN"/>
                    </w:rPr>
                    <w:t>C</w:t>
                  </w:r>
                  <w:r>
                    <w:rPr>
                      <w:rFonts w:ascii="Times New Roman" w:hAnsi="Times New Roman" w:cs="Times New Roman" w:hint="eastAsia"/>
                      <w:color w:val="auto"/>
                      <w:highlight w:val="none"/>
                      <w:lang w:val="en-US" w:eastAsia="zh-CN"/>
                    </w:rPr>
                    <w:t>3512</w:t>
                  </w:r>
                  <w:r>
                    <w:rPr>
                      <w:rFonts w:ascii="Times New Roman" w:hAnsi="Times New Roman" w:cs="Times New Roman" w:hint="default"/>
                      <w:color w:val="auto"/>
                      <w:highlight w:val="none"/>
                      <w:lang w:val="en-US" w:eastAsia="zh-CN"/>
                    </w:rPr>
                    <w:t>石油钻采专用设备</w:t>
                  </w:r>
                  <w:r>
                    <w:rPr>
                      <w:rFonts w:ascii="Times New Roman" w:hAnsi="Times New Roman" w:cs="Times New Roman" w:hint="eastAsia"/>
                      <w:color w:val="auto"/>
                      <w:highlight w:val="none"/>
                      <w:lang w:val="en-US" w:eastAsia="zh-CN"/>
                    </w:rPr>
                    <w:t>/</w:t>
                  </w:r>
                  <w:r>
                    <w:rPr>
                      <w:rFonts w:ascii="Times New Roman" w:eastAsia="宋体" w:hAnsi="Times New Roman" w:cs="Times New Roman" w:hint="eastAsia"/>
                      <w:color w:val="auto"/>
                      <w:kern w:val="0"/>
                      <w:sz w:val="21"/>
                      <w:szCs w:val="21"/>
                      <w:highlight w:val="none"/>
                      <w:lang w:val="en-US" w:eastAsia="zh-CN"/>
                    </w:rPr>
                    <w:t>C3513深海石油钻探设备制造</w:t>
                  </w:r>
                  <w:r>
                    <w:rPr>
                      <w:rFonts w:ascii="Times New Roman" w:hAnsi="Times New Roman" w:cs="Times New Roman" w:hint="eastAsia"/>
                      <w:color w:val="auto"/>
                      <w:highlight w:val="none"/>
                      <w:lang w:val="en-US" w:eastAsia="zh-CN"/>
                    </w:rPr>
                    <w:t>业，</w:t>
                  </w:r>
                  <w:r>
                    <w:rPr>
                      <w:rFonts w:ascii="Times New Roman" w:hAnsi="Times New Roman" w:cs="Times New Roman" w:hint="eastAsia"/>
                      <w:color w:val="auto"/>
                      <w:szCs w:val="21"/>
                      <w:highlight w:val="none"/>
                      <w:lang w:val="en-US" w:eastAsia="zh-CN"/>
                    </w:rPr>
                    <w:t>不在</w:t>
                  </w:r>
                  <w:r>
                    <w:rPr>
                      <w:rFonts w:ascii="Times New Roman" w:eastAsia="宋体" w:hAnsi="Times New Roman" w:cs="Times New Roman" w:hint="default"/>
                      <w:color w:val="auto"/>
                      <w:szCs w:val="21"/>
                      <w:highlight w:val="none"/>
                    </w:rPr>
                    <w:t>涉气重点行业</w:t>
                  </w:r>
                  <w:r>
                    <w:rPr>
                      <w:rFonts w:ascii="Times New Roman" w:hAnsi="Times New Roman" w:cs="Times New Roman" w:hint="eastAsia"/>
                      <w:color w:val="auto"/>
                      <w:szCs w:val="21"/>
                      <w:highlight w:val="none"/>
                      <w:lang w:val="en-US" w:eastAsia="zh-CN"/>
                    </w:rPr>
                    <w:t xml:space="preserve"> 三十九、工业涂装（专用设备制造业）分类行业范围内</w:t>
                  </w:r>
                  <w:r>
                    <w:rPr>
                      <w:rFonts w:ascii="Times New Roman" w:eastAsia="宋体" w:hAnsi="Times New Roman" w:cs="Times New Roman" w:hint="default"/>
                      <w:color w:val="auto"/>
                      <w:szCs w:val="21"/>
                      <w:highlight w:val="none"/>
                    </w:rPr>
                    <w:t>。</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eastAsia"/>
                      <w:color w:val="auto"/>
                      <w:sz w:val="21"/>
                      <w:szCs w:val="21"/>
                      <w:highlight w:val="none"/>
                    </w:rPr>
                  </w:pP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eastAsia"/>
                      <w:color w:val="auto"/>
                      <w:szCs w:val="21"/>
                      <w:highlight w:val="none"/>
                      <w:lang w:val="en-US" w:eastAsia="zh-CN"/>
                    </w:rPr>
                    <w:t>新建项目不再采用低温等离子、光氧化、光催化等处理方式，非水溶性VOCs废气不再采用喷淋吸收方式处理。</w:t>
                  </w: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本项目有机废气采用</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干式过滤</w:t>
                  </w:r>
                  <w:r>
                    <w:rPr>
                      <w:rFonts w:ascii="Times New Roman" w:hAnsi="Times New Roman" w:cs="Times New Roman" w:hint="eastAsia"/>
                      <w:color w:val="auto"/>
                      <w:szCs w:val="21"/>
                      <w:highlight w:val="none"/>
                      <w:lang w:val="en-US" w:eastAsia="zh-CN"/>
                    </w:rPr>
                    <w:t>棉</w:t>
                  </w:r>
                  <w:r>
                    <w:rPr>
                      <w:rFonts w:ascii="Times New Roman" w:eastAsia="宋体" w:hAnsi="Times New Roman" w:cs="Times New Roman" w:hint="default"/>
                      <w:color w:val="auto"/>
                      <w:szCs w:val="21"/>
                      <w:highlight w:val="none"/>
                    </w:rPr>
                    <w:t>+</w:t>
                  </w:r>
                  <w:r>
                    <w:rPr>
                      <w:rFonts w:ascii="Times New Roman" w:hAnsi="Times New Roman" w:cs="Times New Roman" w:hint="eastAsia"/>
                      <w:color w:val="auto"/>
                      <w:szCs w:val="21"/>
                      <w:highlight w:val="none"/>
                      <w:lang w:val="en-US" w:eastAsia="zh-CN"/>
                    </w:rPr>
                    <w:t>二级活性炭吸附</w:t>
                  </w:r>
                  <w:r>
                    <w:rPr>
                      <w:rFonts w:ascii="Times New Roman" w:eastAsia="宋体" w:hAnsi="Times New Roman" w:cs="Times New Roman" w:hint="default"/>
                      <w:color w:val="auto"/>
                      <w:szCs w:val="21"/>
                      <w:highlight w:val="none"/>
                    </w:rPr>
                    <w:t>装置</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工艺。</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1181"/>
              </w:trPr>
              <w:tc>
                <w:tcPr>
                  <w:tcW w:w="1525" w:type="dxa"/>
                  <w:vMerge w:val="restart"/>
                  <w:vAlign w:val="center"/>
                </w:tcPr>
                <w:p>
                  <w:pPr>
                    <w:pStyle w:val="Normal18"/>
                    <w:widowControl w:val="0"/>
                    <w:autoSpaceDE w:val="0"/>
                    <w:autoSpaceDN w:val="0"/>
                    <w:spacing w:before="0" w:after="0"/>
                    <w:jc w:val="center"/>
                    <w:rPr>
                      <w:rFonts w:ascii="Times New Roman" w:eastAsia="宋体" w:hAnsi="Times New Roman" w:cs="Times New Roman" w:hint="eastAsia"/>
                      <w:color w:val="auto"/>
                      <w:sz w:val="21"/>
                      <w:szCs w:val="21"/>
                      <w:highlight w:val="none"/>
                    </w:rPr>
                  </w:pPr>
                  <w:r>
                    <w:rPr>
                      <w:rFonts w:ascii="Times New Roman" w:eastAsia="宋体" w:hAnsi="Times New Roman" w:cs="Times New Roman" w:hint="eastAsia"/>
                      <w:color w:val="auto"/>
                      <w:sz w:val="21"/>
                      <w:szCs w:val="21"/>
                      <w:highlight w:val="none"/>
                      <w:lang w:val="en-US" w:eastAsia="zh-CN" w:bidi="ar-SA"/>
                    </w:rPr>
                    <w:t>《富平县大气污染治理专项行动方案（2023-2027年）》</w:t>
                  </w:r>
                </w:p>
              </w:tc>
              <w:tc>
                <w:tcPr>
                  <w:tcW w:w="3694" w:type="dxa"/>
                  <w:vAlign w:val="center"/>
                </w:tcPr>
                <w:p>
                  <w:pPr>
                    <w:rPr>
                      <w:rFonts w:ascii="Times New Roman" w:hAnsi="Times New Roman" w:hint="eastAsia"/>
                      <w:color w:val="auto"/>
                      <w:highlight w:val="none"/>
                    </w:rPr>
                  </w:pPr>
                  <w:r>
                    <w:rPr>
                      <w:rFonts w:ascii="Times New Roman" w:eastAsia="宋体" w:hAnsi="Times New Roman" w:cs="Times New Roman" w:hint="eastAsia"/>
                      <w:color w:val="auto"/>
                      <w:szCs w:val="21"/>
                      <w:highlight w:val="none"/>
                      <w:lang w:val="en-US" w:eastAsia="zh-CN"/>
                    </w:rPr>
                    <w:t>县域范围内新、改、扩建涉气重点行业企业应达到环保绩效B级及以上水平。</w:t>
                  </w:r>
                </w:p>
              </w:tc>
              <w:tc>
                <w:tcPr>
                  <w:tcW w:w="2192" w:type="dxa"/>
                  <w:vMerge w:val="restart"/>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对照《重污染天气重点行业应急减排措施制定技术指南（2020年修订版）》，本项目</w:t>
                  </w:r>
                  <w:r>
                    <w:rPr>
                      <w:rFonts w:ascii="Times New Roman" w:hAnsi="Times New Roman" w:cs="Times New Roman" w:hint="eastAsia"/>
                      <w:color w:val="auto"/>
                      <w:szCs w:val="21"/>
                      <w:highlight w:val="none"/>
                      <w:lang w:val="en-US" w:eastAsia="zh-CN"/>
                    </w:rPr>
                    <w:t>属于</w:t>
                  </w:r>
                  <w:r>
                    <w:rPr>
                      <w:rFonts w:ascii="Times New Roman" w:hAnsi="Times New Roman" w:cs="Times New Roman" w:hint="default"/>
                      <w:color w:val="auto"/>
                      <w:highlight w:val="none"/>
                      <w:lang w:val="en-US" w:eastAsia="zh-CN"/>
                    </w:rPr>
                    <w:t>C</w:t>
                  </w:r>
                  <w:r>
                    <w:rPr>
                      <w:rFonts w:ascii="Times New Roman" w:hAnsi="Times New Roman" w:cs="Times New Roman" w:hint="eastAsia"/>
                      <w:color w:val="auto"/>
                      <w:highlight w:val="none"/>
                      <w:lang w:val="en-US" w:eastAsia="zh-CN"/>
                    </w:rPr>
                    <w:t>3512</w:t>
                  </w:r>
                  <w:r>
                    <w:rPr>
                      <w:rFonts w:ascii="Times New Roman" w:hAnsi="Times New Roman" w:cs="Times New Roman" w:hint="default"/>
                      <w:color w:val="auto"/>
                      <w:highlight w:val="none"/>
                      <w:lang w:val="en-US" w:eastAsia="zh-CN"/>
                    </w:rPr>
                    <w:t>石油钻采专用设备</w:t>
                  </w:r>
                  <w:r>
                    <w:rPr>
                      <w:rFonts w:ascii="Times New Roman" w:hAnsi="Times New Roman" w:cs="Times New Roman" w:hint="eastAsia"/>
                      <w:color w:val="auto"/>
                      <w:highlight w:val="none"/>
                      <w:lang w:val="en-US" w:eastAsia="zh-CN"/>
                    </w:rPr>
                    <w:t>/</w:t>
                  </w:r>
                  <w:r>
                    <w:rPr>
                      <w:rFonts w:ascii="Times New Roman" w:eastAsia="宋体" w:hAnsi="Times New Roman" w:cs="Times New Roman" w:hint="eastAsia"/>
                      <w:color w:val="auto"/>
                      <w:kern w:val="0"/>
                      <w:sz w:val="21"/>
                      <w:szCs w:val="21"/>
                      <w:highlight w:val="none"/>
                      <w:lang w:val="en-US" w:eastAsia="zh-CN"/>
                    </w:rPr>
                    <w:t>C3513深海石油钻探设备制造</w:t>
                  </w:r>
                  <w:r>
                    <w:rPr>
                      <w:rFonts w:ascii="Times New Roman" w:hAnsi="Times New Roman" w:cs="Times New Roman" w:hint="eastAsia"/>
                      <w:color w:val="auto"/>
                      <w:highlight w:val="none"/>
                      <w:lang w:val="en-US" w:eastAsia="zh-CN"/>
                    </w:rPr>
                    <w:t>业，</w:t>
                  </w:r>
                  <w:r>
                    <w:rPr>
                      <w:rFonts w:ascii="Times New Roman" w:hAnsi="Times New Roman" w:cs="Times New Roman" w:hint="eastAsia"/>
                      <w:color w:val="auto"/>
                      <w:szCs w:val="21"/>
                      <w:highlight w:val="none"/>
                      <w:lang w:val="en-US" w:eastAsia="zh-CN"/>
                    </w:rPr>
                    <w:t>不在</w:t>
                  </w:r>
                  <w:r>
                    <w:rPr>
                      <w:rFonts w:ascii="Times New Roman" w:eastAsia="宋体" w:hAnsi="Times New Roman" w:cs="Times New Roman" w:hint="default"/>
                      <w:color w:val="auto"/>
                      <w:szCs w:val="21"/>
                      <w:highlight w:val="none"/>
                    </w:rPr>
                    <w:t>涉气重点行业</w:t>
                  </w:r>
                  <w:r>
                    <w:rPr>
                      <w:rFonts w:ascii="Times New Roman" w:hAnsi="Times New Roman" w:cs="Times New Roman" w:hint="eastAsia"/>
                      <w:color w:val="auto"/>
                      <w:szCs w:val="21"/>
                      <w:highlight w:val="none"/>
                      <w:lang w:val="en-US" w:eastAsia="zh-CN"/>
                    </w:rPr>
                    <w:t xml:space="preserve"> 三十九、工业涂装（专用设备制造业）分类行业范围内</w:t>
                  </w:r>
                  <w:r>
                    <w:rPr>
                      <w:rFonts w:ascii="Times New Roman" w:eastAsia="宋体" w:hAnsi="Times New Roman" w:cs="Times New Roman" w:hint="default"/>
                      <w:color w:val="auto"/>
                      <w:szCs w:val="21"/>
                      <w:highlight w:val="none"/>
                    </w:rPr>
                    <w:t>。</w:t>
                  </w:r>
                </w:p>
              </w:tc>
              <w:tc>
                <w:tcPr>
                  <w:tcW w:w="563" w:type="dxa"/>
                  <w:vMerge w:val="restart"/>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eastAsia"/>
                      <w:color w:val="auto"/>
                      <w:sz w:val="21"/>
                      <w:szCs w:val="21"/>
                      <w:highlight w:val="none"/>
                      <w:lang w:val="en-US" w:eastAsia="zh-CN" w:bidi="ar-SA"/>
                    </w:rPr>
                  </w:pPr>
                </w:p>
              </w:tc>
              <w:tc>
                <w:tcPr>
                  <w:tcW w:w="3694" w:type="dxa"/>
                  <w:vAlign w:val="center"/>
                </w:tcPr>
                <w:p>
                  <w:pPr>
                    <w:rPr>
                      <w:rFonts w:ascii="Times New Roman" w:hAnsi="Times New Roman" w:hint="eastAsia"/>
                      <w:color w:val="auto"/>
                      <w:highlight w:val="none"/>
                    </w:rPr>
                  </w:pPr>
                  <w:r>
                    <w:rPr>
                      <w:rFonts w:ascii="Times New Roman" w:eastAsia="宋体" w:hAnsi="Times New Roman" w:cs="Times New Roman" w:hint="eastAsia"/>
                      <w:color w:val="auto"/>
                      <w:szCs w:val="21"/>
                      <w:highlight w:val="none"/>
                      <w:lang w:val="en-US" w:eastAsia="zh-CN"/>
                    </w:rPr>
                    <w:t>2025年底前县城建成区，2027年底前工业园区、产业园区内的涉气重点企业达到B级及以上和引领性环保绩效水平。</w:t>
                  </w:r>
                </w:p>
              </w:tc>
              <w:tc>
                <w:tcPr>
                  <w:tcW w:w="2192" w:type="dxa"/>
                  <w:vMerge/>
                  <w:vAlign w:val="center"/>
                </w:tcPr>
                <w:p>
                  <w:pPr>
                    <w:rPr>
                      <w:rFonts w:ascii="Times New Roman" w:hAnsi="Times New Roman" w:hint="default"/>
                      <w:color w:val="auto"/>
                      <w:highlight w:val="none"/>
                    </w:rPr>
                  </w:pPr>
                </w:p>
              </w:tc>
              <w:tc>
                <w:tcPr>
                  <w:tcW w:w="563" w:type="dxa"/>
                  <w:vMerge/>
                  <w:vAlign w:val="center"/>
                </w:tcPr>
                <w:p>
                  <w:pPr>
                    <w:jc w:val="center"/>
                    <w:rPr>
                      <w:rFonts w:ascii="Times New Roman" w:hAnsi="Times New Roman" w:hint="default"/>
                      <w:color w:val="auto"/>
                      <w:highlight w:val="none"/>
                    </w:rPr>
                  </w:pP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restart"/>
                  <w:vAlign w:val="center"/>
                </w:tcPr>
                <w:p>
                  <w:pPr>
                    <w:rPr>
                      <w:rFonts w:ascii="Times New Roman" w:hAnsi="Times New Roman" w:hint="eastAsia"/>
                      <w:color w:val="auto"/>
                      <w:highlight w:val="none"/>
                    </w:rPr>
                  </w:pPr>
                  <w:r>
                    <w:rPr>
                      <w:rFonts w:ascii="Times New Roman" w:eastAsia="宋体" w:hAnsi="Times New Roman" w:cs="Times New Roman" w:hint="eastAsia"/>
                      <w:color w:val="auto"/>
                      <w:szCs w:val="21"/>
                      <w:highlight w:val="none"/>
                      <w:lang w:val="en-US" w:eastAsia="zh-CN"/>
                    </w:rPr>
                    <w:t>《富平县2023年空气质量改善进位方案》</w:t>
                  </w:r>
                </w:p>
              </w:tc>
              <w:tc>
                <w:tcPr>
                  <w:tcW w:w="3694" w:type="dxa"/>
                  <w:vAlign w:val="center"/>
                </w:tcPr>
                <w:p>
                  <w:pPr>
                    <w:rPr>
                      <w:rFonts w:ascii="Times New Roman" w:hAnsi="Times New Roman" w:hint="eastAsia"/>
                      <w:color w:val="auto"/>
                      <w:highlight w:val="none"/>
                    </w:rPr>
                  </w:pPr>
                  <w:r>
                    <w:rPr>
                      <w:rFonts w:ascii="Times New Roman" w:eastAsia="宋体" w:hAnsi="Times New Roman" w:cs="Times New Roman" w:hint="eastAsia"/>
                      <w:color w:val="auto"/>
                      <w:szCs w:val="21"/>
                      <w:highlight w:val="none"/>
                      <w:lang w:val="en-US" w:eastAsia="zh-CN"/>
                    </w:rPr>
                    <w:t>县辖区及工业园区范围内新、改、扩建涉气重点行业企业应达到环保绩效B级及以上水平。</w:t>
                  </w:r>
                </w:p>
              </w:tc>
              <w:tc>
                <w:tcPr>
                  <w:tcW w:w="2192" w:type="dxa"/>
                  <w:vMerge/>
                  <w:vAlign w:val="center"/>
                </w:tcPr>
                <w:p>
                  <w:pPr>
                    <w:rPr>
                      <w:rFonts w:ascii="Times New Roman" w:hAnsi="Times New Roman" w:hint="default"/>
                      <w:color w:val="auto"/>
                      <w:highlight w:val="none"/>
                    </w:rPr>
                  </w:pP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rPr>
                      <w:rFonts w:ascii="Times New Roman" w:hAnsi="Times New Roman" w:hint="eastAsia"/>
                      <w:color w:val="auto"/>
                      <w:highlight w:val="none"/>
                    </w:rPr>
                  </w:pPr>
                </w:p>
              </w:tc>
              <w:tc>
                <w:tcPr>
                  <w:tcW w:w="3694" w:type="dxa"/>
                  <w:vAlign w:val="center"/>
                </w:tcPr>
                <w:p>
                  <w:pPr>
                    <w:rPr>
                      <w:rFonts w:ascii="Times New Roman" w:hAnsi="Times New Roman" w:hint="eastAsia"/>
                      <w:color w:val="auto"/>
                      <w:highlight w:val="none"/>
                    </w:rPr>
                  </w:pPr>
                  <w:r>
                    <w:rPr>
                      <w:rFonts w:ascii="Times New Roman" w:eastAsia="宋体" w:hAnsi="Times New Roman" w:cs="Times New Roman" w:hint="eastAsia"/>
                      <w:color w:val="auto"/>
                      <w:szCs w:val="21"/>
                      <w:highlight w:val="none"/>
                      <w:lang w:val="en-US" w:eastAsia="zh-CN"/>
                    </w:rPr>
                    <w:t>新建项目不再采用低温等离子、光氧化、光催化等处理方式，非水溶性VOCs废气不再采用喷淋吸收方式处理。</w:t>
                  </w: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本项目有机废气采用</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干式过滤</w:t>
                  </w:r>
                  <w:r>
                    <w:rPr>
                      <w:rFonts w:ascii="Times New Roman" w:hAnsi="Times New Roman" w:cs="Times New Roman" w:hint="eastAsia"/>
                      <w:color w:val="auto"/>
                      <w:szCs w:val="21"/>
                      <w:highlight w:val="none"/>
                      <w:lang w:val="en-US" w:eastAsia="zh-CN"/>
                    </w:rPr>
                    <w:t>棉</w:t>
                  </w:r>
                  <w:r>
                    <w:rPr>
                      <w:rFonts w:ascii="Times New Roman" w:eastAsia="宋体" w:hAnsi="Times New Roman" w:cs="Times New Roman" w:hint="default"/>
                      <w:color w:val="auto"/>
                      <w:szCs w:val="21"/>
                      <w:highlight w:val="none"/>
                    </w:rPr>
                    <w:t>+</w:t>
                  </w:r>
                  <w:r>
                    <w:rPr>
                      <w:rFonts w:ascii="Times New Roman" w:hAnsi="Times New Roman" w:cs="Times New Roman" w:hint="eastAsia"/>
                      <w:color w:val="auto"/>
                      <w:szCs w:val="21"/>
                      <w:highlight w:val="none"/>
                      <w:lang w:val="en-US" w:eastAsia="zh-CN"/>
                    </w:rPr>
                    <w:t>二级活性炭吸附</w:t>
                  </w:r>
                  <w:r>
                    <w:rPr>
                      <w:rFonts w:ascii="Times New Roman" w:eastAsia="宋体" w:hAnsi="Times New Roman" w:cs="Times New Roman" w:hint="default"/>
                      <w:color w:val="auto"/>
                      <w:szCs w:val="21"/>
                      <w:highlight w:val="none"/>
                    </w:rPr>
                    <w:t>装置</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工艺。</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《陕西省生态办公厅关于进一步加强重点地区涉VOCs项目环境影响评价管理工作的通知》陕环环评函【2020】61号</w:t>
                  </w: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一、重点地区范围包括西安市、宝鸡市、咸阳市、铜川市、渭南市（含韩城市）、杨凌示范区、西咸新区全域。</w:t>
                  </w:r>
                </w:p>
                <w:p>
                  <w:pPr>
                    <w:spacing w:after="0"/>
                    <w:rPr>
                      <w:rFonts w:ascii="Times New Roman" w:hAnsi="Times New Roman" w:hint="default"/>
                      <w:color w:val="auto"/>
                      <w:highlight w:val="none"/>
                    </w:rPr>
                  </w:pP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本项目位于</w:t>
                  </w:r>
                  <w:r>
                    <w:rPr>
                      <w:rFonts w:ascii="Times New Roman" w:hAnsi="Times New Roman" w:cs="Times New Roman" w:hint="eastAsia"/>
                      <w:color w:val="auto"/>
                      <w:szCs w:val="21"/>
                      <w:highlight w:val="none"/>
                      <w:lang w:val="en-US" w:eastAsia="zh-CN"/>
                    </w:rPr>
                    <w:t>渭南市富平县</w:t>
                  </w:r>
                  <w:r>
                    <w:rPr>
                      <w:rFonts w:ascii="Times New Roman" w:eastAsia="宋体" w:hAnsi="Times New Roman" w:cs="Times New Roman" w:hint="default"/>
                      <w:color w:val="auto"/>
                      <w:szCs w:val="21"/>
                      <w:highlight w:val="none"/>
                    </w:rPr>
                    <w:t>，行业类别为</w:t>
                  </w:r>
                  <w:r>
                    <w:rPr>
                      <w:rFonts w:ascii="Times New Roman" w:hAnsi="Times New Roman" w:cs="Times New Roman" w:hint="eastAsia"/>
                      <w:color w:val="auto"/>
                      <w:szCs w:val="21"/>
                      <w:highlight w:val="none"/>
                      <w:lang w:val="en-US" w:eastAsia="zh-CN"/>
                    </w:rPr>
                    <w:t>专用设备</w:t>
                  </w:r>
                  <w:r>
                    <w:rPr>
                      <w:rFonts w:ascii="Times New Roman" w:eastAsia="宋体" w:hAnsi="Times New Roman" w:cs="Times New Roman" w:hint="eastAsia"/>
                      <w:color w:val="auto"/>
                      <w:highlight w:val="none"/>
                      <w:lang w:val="en-US" w:eastAsia="zh-CN"/>
                    </w:rPr>
                    <w:t>制造</w:t>
                  </w:r>
                  <w:r>
                    <w:rPr>
                      <w:rFonts w:ascii="Times New Roman" w:hAnsi="Times New Roman" w:cs="Times New Roman" w:hint="eastAsia"/>
                      <w:color w:val="auto"/>
                      <w:highlight w:val="none"/>
                      <w:lang w:val="en-US" w:eastAsia="zh-CN"/>
                    </w:rPr>
                    <w:t>业</w:t>
                  </w:r>
                  <w:r>
                    <w:rPr>
                      <w:rFonts w:ascii="Times New Roman" w:eastAsia="宋体" w:hAnsi="Times New Roman" w:cs="Times New Roman" w:hint="default"/>
                      <w:color w:val="auto"/>
                      <w:szCs w:val="21"/>
                      <w:highlight w:val="none"/>
                    </w:rPr>
                    <w:t>，本项目在报告中明确了VOCs污染治理措施并预测了排放量。</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bl>
          <w:p/>
        </w:tc>
      </w:tr>
    </w:tbl>
    <w:p>
      <w:pPr>
        <w:sectPr>
          <w:footerReference w:type="default" r:id="rId14"/>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9"/>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0"/>
        <w:gridCol w:w="8200"/>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843"/>
          <w:jc w:val="center"/>
        </w:trPr>
        <w:tc>
          <w:tcPr>
            <w:tcW w:w="670" w:type="dxa"/>
            <w:noWrap w:val="0"/>
            <w:vAlign w:val="center"/>
          </w:tcPr>
          <w:p/>
        </w:tc>
        <w:tc>
          <w:tcPr>
            <w:tcW w:w="8200" w:type="dxa"/>
            <w:noWrap w:val="0"/>
            <w:vAlign w:val="center"/>
          </w:tcPr>
          <w:tbl>
            <w:tblPr>
              <w:tblStyle w:val="TableNormal"/>
              <w:tblW w:w="7974"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
            <w:tblGrid>
              <w:gridCol w:w="1525"/>
              <w:gridCol w:w="3694"/>
              <w:gridCol w:w="2192"/>
              <w:gridCol w:w="563"/>
            </w:tblGrid>
            <w:tr>
              <w:tblPrEx>
                <w:tblW w:w="7974" w:type="dxa"/>
                <w:tblInd w:w="1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0" w:type="dxa"/>
                  <w:left w:w="108" w:type="dxa"/>
                  <w:bottom w:w="0" w:type="dxa"/>
                  <w:right w:w="108" w:type="dxa"/>
                </w:tblCellMar>
              </w:tblPrEx>
              <w:trPr>
                <w:trHeight w:val="454"/>
              </w:trPr>
              <w:tc>
                <w:tcPr>
                  <w:tcW w:w="1525" w:type="dxa"/>
                  <w:vAlign w:val="center"/>
                </w:tcPr>
                <w:p/>
              </w:tc>
              <w:tc>
                <w:tcPr>
                  <w:tcW w:w="3694" w:type="dxa"/>
                  <w:vAlign w:val="center"/>
                </w:tcPr>
                <w:p>
                  <w:pPr>
                    <w:spacing w:before="0"/>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二、严格涉VOCs建设项目环境影响评价，涉VOCs建设项目特别是石化、化工、包装印刷、工业涂装等新增VOCs排放量的建设项目，环评文件应明确VOCs污染防治措施并预测排放量，按照国家和我省具体规定实行区域内VOCs排放等量或倍量消减替代。</w:t>
                  </w:r>
                </w:p>
              </w:tc>
              <w:tc>
                <w:tcPr>
                  <w:tcW w:w="2192" w:type="dxa"/>
                  <w:vAlign w:val="center"/>
                </w:tcPr>
                <w:p/>
              </w:tc>
              <w:tc>
                <w:tcPr>
                  <w:tcW w:w="563" w:type="dxa"/>
                  <w:vAlign w:val="center"/>
                </w:tcP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restart"/>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《挥发性有机物（VOCs）污染防治技术政策》（公告2013年第31号）</w:t>
                  </w: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含VOCs产品的使用过程中，应采取废气收集措施，提高废气收集效率，减少废气的无组织排放与逸散，并对收集后的废气进行回收或处理后达标排放。</w:t>
                  </w:r>
                </w:p>
              </w:tc>
              <w:tc>
                <w:tcPr>
                  <w:tcW w:w="2192" w:type="dxa"/>
                  <w:vMerge w:val="restart"/>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lang w:val="en-US" w:eastAsia="zh-CN"/>
                    </w:rPr>
                    <w:t>本</w:t>
                  </w:r>
                  <w:r>
                    <w:rPr>
                      <w:rFonts w:ascii="Times New Roman" w:eastAsia="宋体" w:hAnsi="Times New Roman" w:cs="Times New Roman" w:hint="default"/>
                      <w:color w:val="auto"/>
                      <w:szCs w:val="21"/>
                      <w:highlight w:val="none"/>
                    </w:rPr>
                    <w:t>项目采用整体</w:t>
                  </w:r>
                  <w:r>
                    <w:rPr>
                      <w:rFonts w:ascii="Times New Roman" w:eastAsia="宋体" w:hAnsi="Times New Roman" w:cs="Times New Roman" w:hint="default"/>
                      <w:color w:val="auto"/>
                      <w:szCs w:val="21"/>
                      <w:highlight w:val="none"/>
                      <w:lang w:val="en-US" w:eastAsia="zh-CN"/>
                    </w:rPr>
                    <w:t>伸缩</w:t>
                  </w:r>
                  <w:r>
                    <w:rPr>
                      <w:rFonts w:ascii="Times New Roman" w:eastAsia="宋体" w:hAnsi="Times New Roman" w:cs="Times New Roman" w:hint="default"/>
                      <w:color w:val="auto"/>
                      <w:szCs w:val="21"/>
                      <w:highlight w:val="none"/>
                    </w:rPr>
                    <w:t>式喷漆房，调漆</w:t>
                  </w:r>
                  <w:r>
                    <w:rPr>
                      <w:rFonts w:ascii="Times New Roman" w:eastAsia="宋体" w:hAnsi="Times New Roman" w:cs="Times New Roman" w:hint="default"/>
                      <w:color w:val="auto"/>
                      <w:szCs w:val="21"/>
                      <w:highlight w:val="none"/>
                      <w:lang w:eastAsia="zh-CN"/>
                    </w:rPr>
                    <w:t>、</w:t>
                  </w:r>
                  <w:r>
                    <w:rPr>
                      <w:rFonts w:ascii="Times New Roman" w:eastAsia="宋体" w:hAnsi="Times New Roman" w:cs="Times New Roman" w:hint="default"/>
                      <w:color w:val="auto"/>
                      <w:szCs w:val="21"/>
                      <w:highlight w:val="none"/>
                    </w:rPr>
                    <w:t>喷漆、</w:t>
                  </w:r>
                  <w:r>
                    <w:rPr>
                      <w:rFonts w:ascii="Times New Roman" w:eastAsia="宋体" w:hAnsi="Times New Roman" w:cs="Times New Roman" w:hint="default"/>
                      <w:color w:val="auto"/>
                      <w:szCs w:val="21"/>
                      <w:highlight w:val="none"/>
                      <w:lang w:val="en-US" w:eastAsia="zh-CN"/>
                    </w:rPr>
                    <w:t>烘干等</w:t>
                  </w:r>
                  <w:r>
                    <w:rPr>
                      <w:rFonts w:ascii="Times New Roman" w:eastAsia="宋体" w:hAnsi="Times New Roman" w:cs="Times New Roman" w:hint="default"/>
                      <w:color w:val="auto"/>
                      <w:szCs w:val="21"/>
                      <w:highlight w:val="none"/>
                    </w:rPr>
                    <w:t>过程均在喷漆房内进行，工作时喷漆房处于密闭负压状态，挥发性有机废气微负压收集至</w:t>
                  </w:r>
                  <w:r>
                    <w:rPr>
                      <w:rFonts w:ascii="Times New Roman" w:eastAsia="宋体" w:hAnsi="Times New Roman" w:cs="Times New Roman" w:hint="default"/>
                      <w:color w:val="auto"/>
                      <w:szCs w:val="21"/>
                      <w:highlight w:val="none"/>
                      <w:lang w:eastAsia="zh-CN"/>
                    </w:rPr>
                    <w:t>“</w:t>
                  </w:r>
                  <w:r>
                    <w:rPr>
                      <w:rFonts w:ascii="Times New Roman" w:eastAsia="宋体" w:hAnsi="Times New Roman" w:cs="Times New Roman" w:hint="default"/>
                      <w:color w:val="auto"/>
                      <w:szCs w:val="21"/>
                      <w:highlight w:val="none"/>
                    </w:rPr>
                    <w:t>干式过滤</w:t>
                  </w:r>
                  <w:r>
                    <w:rPr>
                      <w:rFonts w:ascii="Times New Roman" w:hAnsi="Times New Roman" w:cs="Times New Roman" w:hint="default"/>
                      <w:color w:val="auto"/>
                      <w:szCs w:val="21"/>
                      <w:highlight w:val="none"/>
                      <w:lang w:val="en-US" w:eastAsia="zh-CN"/>
                    </w:rPr>
                    <w:t>棉</w:t>
                  </w:r>
                  <w:r>
                    <w:rPr>
                      <w:rFonts w:ascii="Times New Roman" w:eastAsia="宋体" w:hAnsi="Times New Roman" w:cs="Times New Roman" w:hint="default"/>
                      <w:color w:val="auto"/>
                      <w:szCs w:val="21"/>
                      <w:highlight w:val="none"/>
                    </w:rPr>
                    <w:t>+</w:t>
                  </w:r>
                  <w:r>
                    <w:rPr>
                      <w:rFonts w:ascii="Times New Roman" w:hAnsi="Times New Roman" w:cs="Times New Roman" w:hint="default"/>
                      <w:color w:val="auto"/>
                      <w:szCs w:val="21"/>
                      <w:highlight w:val="none"/>
                      <w:lang w:val="en-US" w:eastAsia="zh-CN"/>
                    </w:rPr>
                    <w:t>二级活性炭吸附</w:t>
                  </w:r>
                  <w:r>
                    <w:rPr>
                      <w:rFonts w:ascii="Times New Roman" w:eastAsia="宋体" w:hAnsi="Times New Roman" w:cs="Times New Roman" w:hint="default"/>
                      <w:color w:val="auto"/>
                      <w:szCs w:val="21"/>
                      <w:highlight w:val="none"/>
                    </w:rPr>
                    <w:t>装置</w:t>
                  </w:r>
                  <w:r>
                    <w:rPr>
                      <w:rFonts w:ascii="Times New Roman" w:eastAsia="宋体" w:hAnsi="Times New Roman" w:cs="Times New Roman" w:hint="default"/>
                      <w:color w:val="auto"/>
                      <w:szCs w:val="21"/>
                      <w:highlight w:val="none"/>
                      <w:lang w:eastAsia="zh-CN"/>
                    </w:rPr>
                    <w:t>”</w:t>
                  </w:r>
                  <w:r>
                    <w:rPr>
                      <w:rFonts w:ascii="Times New Roman" w:eastAsia="宋体" w:hAnsi="Times New Roman" w:cs="Times New Roman" w:hint="default"/>
                      <w:color w:val="auto"/>
                      <w:szCs w:val="21"/>
                      <w:highlight w:val="none"/>
                    </w:rPr>
                    <w:t>达标处理后</w:t>
                  </w:r>
                  <w:r>
                    <w:rPr>
                      <w:rFonts w:ascii="Times New Roman" w:eastAsia="宋体" w:hAnsi="Times New Roman" w:cs="Times New Roman" w:hint="default"/>
                      <w:color w:val="auto"/>
                      <w:szCs w:val="21"/>
                      <w:highlight w:val="none"/>
                      <w:lang w:eastAsia="zh-CN"/>
                    </w:rPr>
                    <w:t>，</w:t>
                  </w:r>
                  <w:r>
                    <w:rPr>
                      <w:rFonts w:ascii="Times New Roman" w:eastAsia="宋体" w:hAnsi="Times New Roman" w:cs="Times New Roman" w:hint="default"/>
                      <w:color w:val="auto"/>
                      <w:szCs w:val="21"/>
                      <w:highlight w:val="none"/>
                    </w:rPr>
                    <w:t>通过15m排气筒达标排放</w:t>
                  </w:r>
                </w:p>
              </w:tc>
              <w:tc>
                <w:tcPr>
                  <w:tcW w:w="563" w:type="dxa"/>
                  <w:vMerge w:val="restart"/>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rPr>
                      <w:rFonts w:ascii="Times New Roman" w:hAnsi="Times New Roman" w:hint="default"/>
                      <w:color w:val="auto"/>
                      <w:highlight w:val="none"/>
                    </w:rPr>
                  </w:pPr>
                  <w:r>
                    <w:rPr>
                      <w:rFonts w:ascii="Times New Roman" w:hAnsi="Times New Roman" w:cs="Times New Roman" w:hint="default"/>
                      <w:color w:val="auto"/>
                      <w:sz w:val="21"/>
                      <w:szCs w:val="21"/>
                      <w:highlight w:val="none"/>
                      <w:shd w:val="clear" w:color="auto" w:fill="FFFFFF"/>
                    </w:rPr>
                    <w:t>根据涂装工艺的不同，鼓励使用水性涂料、高固份涂料、粉末涂料、紫外光固化（UV）涂料等环保型涂料；推广采用静电喷涂、淋涂、辊涂、浸涂等效率较高的涂装工艺；应尽量避免无VOCs净化、回收措施的露天喷涂作业</w:t>
                  </w:r>
                </w:p>
              </w:tc>
              <w:tc>
                <w:tcPr>
                  <w:tcW w:w="2192" w:type="dxa"/>
                  <w:vMerge/>
                  <w:vAlign w:val="center"/>
                </w:tcPr>
                <w:p>
                  <w:pPr>
                    <w:rPr>
                      <w:rFonts w:ascii="Times New Roman" w:hAnsi="Times New Roman" w:hint="default"/>
                      <w:color w:val="auto"/>
                      <w:highlight w:val="none"/>
                    </w:rPr>
                  </w:pPr>
                </w:p>
              </w:tc>
              <w:tc>
                <w:tcPr>
                  <w:tcW w:w="563" w:type="dxa"/>
                  <w:vMerge/>
                  <w:vAlign w:val="center"/>
                </w:tcPr>
                <w:p>
                  <w:pPr>
                    <w:jc w:val="center"/>
                    <w:rPr>
                      <w:rFonts w:ascii="Times New Roman" w:hAnsi="Times New Roman" w:hint="default"/>
                      <w:color w:val="auto"/>
                      <w:highlight w:val="none"/>
                    </w:rPr>
                  </w:pP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restart"/>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《挥发性有机物无组织排放控制标准》（GB37822</w:t>
                  </w:r>
                </w:p>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r>
                    <w:rPr>
                      <w:rFonts w:ascii="Times New Roman" w:eastAsia="宋体" w:hAnsi="Times New Roman" w:cs="Times New Roman" w:hint="default"/>
                      <w:color w:val="auto"/>
                      <w:sz w:val="21"/>
                      <w:szCs w:val="21"/>
                      <w:highlight w:val="none"/>
                    </w:rPr>
                    <w:t>-2019）</w:t>
                  </w: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VOCs废气收集处理系统应与生产工艺设备同步运行。采用的原辅材料符合国家有关低VOCs含量产品规定的除外。</w:t>
                  </w: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本项目有机废气收集与处理措施与生产工艺设备同时投入使用。</w:t>
                  </w:r>
                </w:p>
                <w:p>
                  <w:pP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本项目使用符合《低挥发性有机化合物含量涂料产品技术要求》(GB/T38597-2020)规定的低VOCs含量涂料产品</w:t>
                  </w:r>
                </w:p>
              </w:tc>
              <w:tc>
                <w:tcPr>
                  <w:tcW w:w="563" w:type="dxa"/>
                  <w:vAlign w:val="center"/>
                </w:tcPr>
                <w:p>
                  <w:pPr>
                    <w:jc w:val="center"/>
                    <w:rPr>
                      <w:rFonts w:ascii="Times New Roman" w:hAnsi="Times New Roman" w:hint="default"/>
                      <w:color w:val="auto"/>
                      <w:highlight w:val="none"/>
                    </w:rPr>
                  </w:pPr>
                  <w:r>
                    <w:rPr>
                      <w:rFonts w:ascii="Times New Roman" w:eastAsia="宋体" w:hAnsi="Times New Roman" w:cs="Times New Roman" w:hint="default"/>
                      <w:color w:val="auto"/>
                      <w:szCs w:val="21"/>
                      <w:highlight w:val="none"/>
                    </w:rPr>
                    <w:t>符合</w:t>
                  </w: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rPr>
                      <w:rFonts w:ascii="Times New Roman" w:hAnsi="Times New Roman" w:hint="default"/>
                      <w:color w:val="auto"/>
                      <w:highlight w:val="none"/>
                    </w:rPr>
                  </w:pPr>
                  <w:r>
                    <w:rPr>
                      <w:rFonts w:ascii="Times New Roman" w:eastAsia="宋体" w:hAnsi="Times New Roman" w:cs="Times New Roman" w:hint="eastAsia"/>
                      <w:color w:val="auto"/>
                      <w:szCs w:val="21"/>
                      <w:highlight w:val="none"/>
                    </w:rPr>
                    <w:t>VOCs物料应储存于密闭的容器、包装袋、储罐、储库、料仓中。</w:t>
                  </w:r>
                </w:p>
              </w:tc>
              <w:tc>
                <w:tcPr>
                  <w:tcW w:w="2192" w:type="dxa"/>
                  <w:vAlign w:val="center"/>
                </w:tcPr>
                <w:p>
                  <w:pPr>
                    <w:rPr>
                      <w:rFonts w:ascii="Times New Roman" w:hAnsi="Times New Roman" w:hint="default"/>
                      <w:color w:val="auto"/>
                      <w:highlight w:val="none"/>
                    </w:rPr>
                  </w:pPr>
                  <w:r>
                    <w:rPr>
                      <w:rFonts w:ascii="Times New Roman" w:eastAsia="宋体" w:hAnsi="Times New Roman" w:cs="Times New Roman" w:hint="eastAsia"/>
                      <w:color w:val="auto"/>
                      <w:szCs w:val="21"/>
                      <w:highlight w:val="none"/>
                      <w:lang w:val="en-US" w:eastAsia="zh-CN"/>
                    </w:rPr>
                    <w:t>本</w:t>
                  </w:r>
                  <w:r>
                    <w:rPr>
                      <w:rFonts w:ascii="Times New Roman" w:eastAsia="宋体" w:hAnsi="Times New Roman" w:cs="Times New Roman" w:hint="eastAsia"/>
                      <w:color w:val="auto"/>
                      <w:szCs w:val="21"/>
                      <w:highlight w:val="none"/>
                    </w:rPr>
                    <w:t>项目</w:t>
                  </w:r>
                  <w:r>
                    <w:rPr>
                      <w:rFonts w:ascii="Times New Roman" w:eastAsia="宋体" w:hAnsi="Times New Roman" w:cs="Times New Roman" w:hint="eastAsia"/>
                      <w:color w:val="auto"/>
                      <w:szCs w:val="21"/>
                      <w:highlight w:val="none"/>
                      <w:lang w:val="en-US" w:eastAsia="zh-CN"/>
                    </w:rPr>
                    <w:t>涉</w:t>
                  </w:r>
                  <w:r>
                    <w:rPr>
                      <w:rFonts w:ascii="Times New Roman" w:eastAsia="宋体" w:hAnsi="Times New Roman" w:cs="Times New Roman" w:hint="eastAsia"/>
                      <w:color w:val="auto"/>
                      <w:szCs w:val="21"/>
                      <w:highlight w:val="none"/>
                    </w:rPr>
                    <w:t>VOCs物料为液体，采用密闭容器储存。</w:t>
                  </w:r>
                </w:p>
              </w:tc>
              <w:tc>
                <w:tcPr>
                  <w:tcW w:w="563" w:type="dxa"/>
                  <w:vAlign w:val="center"/>
                </w:tcPr>
                <w:p>
                  <w:pPr>
                    <w:jc w:val="center"/>
                    <w:rPr>
                      <w:rFonts w:ascii="Times New Roman" w:hAnsi="Times New Roman" w:hint="default"/>
                      <w:color w:val="auto"/>
                      <w:highlight w:val="none"/>
                    </w:rPr>
                  </w:pPr>
                </w:p>
              </w:tc>
            </w:tr>
            <w:tr>
              <w:tblPrEx>
                <w:tblW w:w="7974" w:type="dxa"/>
                <w:tblInd w:w="10" w:type="dxa"/>
                <w:tblLayout w:type="fixed"/>
                <w:tblCellMar>
                  <w:top w:w="0" w:type="dxa"/>
                  <w:left w:w="108" w:type="dxa"/>
                  <w:bottom w:w="0" w:type="dxa"/>
                  <w:right w:w="108" w:type="dxa"/>
                </w:tblCellMar>
              </w:tblPrEx>
              <w:trPr>
                <w:trHeight w:val="454"/>
              </w:trPr>
              <w:tc>
                <w:tcPr>
                  <w:tcW w:w="1525" w:type="dxa"/>
                  <w:vMerge/>
                  <w:vAlign w:val="center"/>
                </w:tcPr>
                <w:p>
                  <w:pPr>
                    <w:pStyle w:val="Normal18"/>
                    <w:widowControl w:val="0"/>
                    <w:autoSpaceDE w:val="0"/>
                    <w:autoSpaceDN w:val="0"/>
                    <w:spacing w:before="0" w:after="0"/>
                    <w:jc w:val="center"/>
                    <w:rPr>
                      <w:rFonts w:ascii="Times New Roman" w:eastAsia="宋体" w:hAnsi="Times New Roman" w:cs="Times New Roman" w:hint="default"/>
                      <w:color w:val="auto"/>
                      <w:sz w:val="21"/>
                      <w:szCs w:val="21"/>
                      <w:highlight w:val="none"/>
                    </w:rPr>
                  </w:pPr>
                </w:p>
              </w:tc>
              <w:tc>
                <w:tcPr>
                  <w:tcW w:w="3694" w:type="dxa"/>
                  <w:vAlign w:val="center"/>
                </w:tcPr>
                <w:p>
                  <w:pPr>
                    <w:rPr>
                      <w:rFonts w:ascii="Times New Roman" w:hAnsi="Times New Roman" w:hint="eastAsia"/>
                      <w:color w:val="auto"/>
                      <w:highlight w:val="none"/>
                    </w:rPr>
                  </w:pPr>
                  <w:r>
                    <w:rPr>
                      <w:rFonts w:ascii="Times New Roman" w:eastAsia="宋体" w:hAnsi="Times New Roman" w:cs="Times New Roman" w:hint="eastAsia"/>
                      <w:color w:val="auto"/>
                      <w:szCs w:val="21"/>
                      <w:highlight w:val="none"/>
                    </w:rPr>
                    <w:t>液态VOCs物料应采用密闭管道输送方式，采用非管道输送方式转移液态VOCs物料室应采用密闭容器、罐车。</w:t>
                  </w:r>
                </w:p>
                <w:p>
                  <w:pPr>
                    <w:rPr>
                      <w:rFonts w:ascii="Times New Roman" w:hAnsi="Times New Roman" w:hint="eastAsia"/>
                      <w:color w:val="auto"/>
                      <w:highlight w:val="none"/>
                    </w:rPr>
                  </w:pPr>
                  <w:r>
                    <w:rPr>
                      <w:rFonts w:ascii="Times New Roman" w:eastAsia="宋体" w:hAnsi="Times New Roman" w:cs="Times New Roman" w:hint="eastAsia"/>
                      <w:color w:val="auto"/>
                      <w:szCs w:val="21"/>
                      <w:highlight w:val="none"/>
                    </w:rPr>
                    <w:t>液态VOCs物料应采用密闭管道输送方式或高位液槽、桶泵等给料风湿密闭投加。无法密闭投加的，应在密闭空间内操作，或进行局部气体收集，废气应排至除尘系统、VOCs废气收集处理系统。</w:t>
                  </w:r>
                </w:p>
              </w:tc>
              <w:tc>
                <w:tcPr>
                  <w:tcW w:w="2192" w:type="dxa"/>
                  <w:vAlign w:val="center"/>
                </w:tcPr>
                <w:p>
                  <w:pPr>
                    <w:rPr>
                      <w:rFonts w:hint="eastAsia"/>
                      <w:color w:val="auto"/>
                      <w:highlight w:val="none"/>
                    </w:rPr>
                  </w:pPr>
                  <w:r>
                    <w:rPr>
                      <w:rFonts w:ascii="Times New Roman" w:eastAsia="宋体" w:hAnsi="Times New Roman" w:cs="Times New Roman" w:hint="eastAsia"/>
                      <w:color w:val="auto"/>
                      <w:szCs w:val="21"/>
                      <w:highlight w:val="none"/>
                      <w:lang w:val="en-US" w:eastAsia="zh-CN"/>
                    </w:rPr>
                    <w:t>本</w:t>
                  </w:r>
                  <w:r>
                    <w:rPr>
                      <w:rFonts w:ascii="Times New Roman" w:eastAsia="宋体" w:hAnsi="Times New Roman" w:cs="Times New Roman" w:hint="default"/>
                      <w:color w:val="auto"/>
                      <w:szCs w:val="21"/>
                      <w:highlight w:val="none"/>
                    </w:rPr>
                    <w:t>项目采用整体</w:t>
                  </w:r>
                  <w:r>
                    <w:rPr>
                      <w:rFonts w:ascii="Times New Roman" w:eastAsia="宋体" w:hAnsi="Times New Roman" w:cs="Times New Roman" w:hint="eastAsia"/>
                      <w:color w:val="auto"/>
                      <w:szCs w:val="21"/>
                      <w:highlight w:val="none"/>
                      <w:lang w:val="en-US" w:eastAsia="zh-CN"/>
                    </w:rPr>
                    <w:t>伸缩</w:t>
                  </w:r>
                  <w:r>
                    <w:rPr>
                      <w:rFonts w:ascii="Times New Roman" w:eastAsia="宋体" w:hAnsi="Times New Roman" w:cs="Times New Roman" w:hint="default"/>
                      <w:color w:val="auto"/>
                      <w:szCs w:val="21"/>
                      <w:highlight w:val="none"/>
                    </w:rPr>
                    <w:t>式喷漆房，调漆</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喷漆、</w:t>
                  </w:r>
                  <w:r>
                    <w:rPr>
                      <w:rFonts w:ascii="Times New Roman" w:eastAsia="宋体" w:hAnsi="Times New Roman" w:cs="Times New Roman" w:hint="eastAsia"/>
                      <w:color w:val="auto"/>
                      <w:szCs w:val="21"/>
                      <w:highlight w:val="none"/>
                      <w:lang w:val="en-US" w:eastAsia="zh-CN"/>
                    </w:rPr>
                    <w:t>烘干等</w:t>
                  </w:r>
                  <w:r>
                    <w:rPr>
                      <w:rFonts w:ascii="Times New Roman" w:eastAsia="宋体" w:hAnsi="Times New Roman" w:cs="Times New Roman" w:hint="default"/>
                      <w:color w:val="auto"/>
                      <w:szCs w:val="21"/>
                      <w:highlight w:val="none"/>
                    </w:rPr>
                    <w:t>过程均在喷漆房内进行，工作时喷漆房处于密闭负压状态，挥发性有机废气微负压收集至</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干式过滤</w:t>
                  </w:r>
                  <w:r>
                    <w:rPr>
                      <w:rFonts w:ascii="Times New Roman" w:hAnsi="Times New Roman" w:cs="Times New Roman" w:hint="eastAsia"/>
                      <w:color w:val="auto"/>
                      <w:szCs w:val="21"/>
                      <w:highlight w:val="none"/>
                      <w:lang w:val="en-US" w:eastAsia="zh-CN"/>
                    </w:rPr>
                    <w:t>棉</w:t>
                  </w:r>
                  <w:r>
                    <w:rPr>
                      <w:rFonts w:ascii="Times New Roman" w:eastAsia="宋体" w:hAnsi="Times New Roman" w:cs="Times New Roman" w:hint="default"/>
                      <w:color w:val="auto"/>
                      <w:szCs w:val="21"/>
                      <w:highlight w:val="none"/>
                    </w:rPr>
                    <w:t>+</w:t>
                  </w:r>
                  <w:r>
                    <w:rPr>
                      <w:rFonts w:ascii="Times New Roman" w:hAnsi="Times New Roman" w:cs="Times New Roman" w:hint="eastAsia"/>
                      <w:color w:val="auto"/>
                      <w:szCs w:val="21"/>
                      <w:highlight w:val="none"/>
                      <w:lang w:val="en-US" w:eastAsia="zh-CN"/>
                    </w:rPr>
                    <w:t>二级活性炭吸附</w:t>
                  </w:r>
                  <w:r>
                    <w:rPr>
                      <w:rFonts w:ascii="Times New Roman" w:eastAsia="宋体" w:hAnsi="Times New Roman" w:cs="Times New Roman" w:hint="default"/>
                      <w:color w:val="auto"/>
                      <w:szCs w:val="21"/>
                      <w:highlight w:val="none"/>
                    </w:rPr>
                    <w:t>装置</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达标处理后</w:t>
                  </w:r>
                  <w:r>
                    <w:rPr>
                      <w:rFonts w:ascii="Times New Roman" w:eastAsia="宋体" w:hAnsi="Times New Roman" w:cs="Times New Roman" w:hint="eastAsia"/>
                      <w:color w:val="auto"/>
                      <w:szCs w:val="21"/>
                      <w:highlight w:val="none"/>
                      <w:lang w:eastAsia="zh-CN"/>
                    </w:rPr>
                    <w:t>，</w:t>
                  </w:r>
                  <w:r>
                    <w:rPr>
                      <w:rFonts w:ascii="Times New Roman" w:eastAsia="宋体" w:hAnsi="Times New Roman" w:cs="Times New Roman" w:hint="default"/>
                      <w:color w:val="auto"/>
                      <w:szCs w:val="21"/>
                      <w:highlight w:val="none"/>
                    </w:rPr>
                    <w:t>通过15m排气筒达标排放</w:t>
                  </w:r>
                </w:p>
              </w:tc>
              <w:tc>
                <w:tcPr>
                  <w:tcW w:w="563" w:type="dxa"/>
                  <w:vAlign w:val="center"/>
                </w:tcPr>
                <w:p>
                  <w:pPr>
                    <w:jc w:val="center"/>
                    <w:rPr>
                      <w:rFonts w:ascii="Times New Roman" w:hAnsi="Times New Roman" w:hint="default"/>
                      <w:color w:val="auto"/>
                      <w:highlight w:val="none"/>
                    </w:rPr>
                  </w:pPr>
                </w:p>
              </w:tc>
            </w:tr>
          </w:tbl>
          <w:p>
            <w:pPr>
              <w:adjustRightInd w:val="0"/>
              <w:snapToGrid w:val="0"/>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eastAsia"/>
                <w:color w:val="auto"/>
                <w:highlight w:val="none"/>
                <w:lang w:val="en-US" w:eastAsia="zh-CN"/>
              </w:rPr>
              <w:t>4</w:t>
            </w:r>
            <w:r>
              <w:rPr>
                <w:rFonts w:ascii="Times New Roman" w:eastAsia="宋体" w:hAnsi="Times New Roman" w:cs="Times New Roman" w:hint="default"/>
                <w:color w:val="auto"/>
                <w:highlight w:val="none"/>
                <w:lang w:val="en-US" w:eastAsia="zh-CN"/>
              </w:rPr>
              <w:t>、选址合理性分析</w:t>
            </w:r>
          </w:p>
          <w:p>
            <w:pPr>
              <w:adjustRightInd w:val="0"/>
              <w:snapToGrid w:val="0"/>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lang w:val="zh-CN" w:eastAsia="zh-CN"/>
              </w:rPr>
              <w:fldChar w:fldCharType="begin"/>
            </w:r>
            <w:r>
              <w:rPr>
                <w:rFonts w:ascii="Times New Roman" w:eastAsia="宋体" w:hAnsi="Times New Roman" w:cs="Times New Roman" w:hint="default"/>
                <w:color w:val="auto"/>
                <w:highlight w:val="none"/>
                <w:lang w:val="zh-CN" w:eastAsia="zh-CN"/>
              </w:rPr>
              <w:instrText xml:space="preserve"> = 1 \* GB3 \* MERGEFORMAT </w:instrText>
            </w:r>
            <w:r>
              <w:rPr>
                <w:rFonts w:ascii="Times New Roman" w:eastAsia="宋体" w:hAnsi="Times New Roman" w:cs="Times New Roman" w:hint="default"/>
                <w:color w:val="auto"/>
                <w:highlight w:val="none"/>
                <w:lang w:val="zh-CN" w:eastAsia="zh-CN"/>
              </w:rPr>
              <w:fldChar w:fldCharType="separate"/>
            </w:r>
            <w:r>
              <w:rPr>
                <w:rFonts w:ascii="Times New Roman" w:eastAsia="宋体" w:hAnsi="Times New Roman" w:cs="Times New Roman" w:hint="default"/>
                <w:color w:val="auto"/>
                <w:highlight w:val="none"/>
                <w:lang w:val="zh-CN" w:eastAsia="zh-CN"/>
              </w:rPr>
              <w:t>①</w:t>
            </w:r>
            <w:r>
              <w:rPr>
                <w:rFonts w:ascii="Times New Roman" w:eastAsia="宋体" w:hAnsi="Times New Roman" w:cs="Times New Roman" w:hint="default"/>
                <w:color w:val="auto"/>
                <w:highlight w:val="none"/>
                <w:lang w:val="zh-CN" w:eastAsia="zh-CN"/>
              </w:rPr>
              <w:fldChar w:fldCharType="end"/>
            </w:r>
            <w:r>
              <w:rPr>
                <w:rFonts w:ascii="Times New Roman" w:eastAsia="宋体" w:hAnsi="Times New Roman" w:cs="Times New Roman" w:hint="default"/>
                <w:color w:val="auto"/>
                <w:highlight w:val="none"/>
                <w:lang w:val="zh-CN" w:eastAsia="zh-CN"/>
              </w:rPr>
              <w:t>区位及交通</w:t>
            </w:r>
          </w:p>
          <w:p>
            <w:pPr>
              <w:adjustRightInd w:val="0"/>
              <w:snapToGrid w:val="0"/>
              <w:spacing w:after="0"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lang w:val="en-US" w:eastAsia="zh-CN"/>
              </w:rPr>
              <w:t>本项目位于</w:t>
            </w:r>
            <w:r>
              <w:rPr>
                <w:rFonts w:ascii="Times New Roman" w:eastAsia="宋体" w:hAnsi="Times New Roman" w:cs="Times New Roman" w:hint="eastAsia"/>
                <w:color w:val="auto"/>
                <w:highlight w:val="none"/>
                <w:lang w:val="en-US" w:eastAsia="zh-CN"/>
              </w:rPr>
              <w:t>富阎产业合作园区，具体厂址位于富辰三路以南、富辰四路以北、金粟大道以西，项目</w:t>
            </w:r>
            <w:r>
              <w:rPr>
                <w:rFonts w:ascii="Times New Roman" w:eastAsia="宋体" w:hAnsi="Times New Roman" w:cs="Times New Roman" w:hint="default"/>
                <w:color w:val="auto"/>
                <w:highlight w:val="none"/>
                <w:lang w:val="en-US" w:eastAsia="zh-CN"/>
              </w:rPr>
              <w:t>北侧为</w:t>
            </w:r>
            <w:r>
              <w:rPr>
                <w:rFonts w:ascii="Times New Roman" w:eastAsia="宋体" w:hAnsi="Times New Roman" w:cs="Times New Roman" w:hint="eastAsia"/>
                <w:color w:val="auto"/>
                <w:highlight w:val="none"/>
                <w:lang w:val="en-US" w:eastAsia="zh-CN"/>
              </w:rPr>
              <w:t>在建厂房</w:t>
            </w:r>
            <w:r>
              <w:rPr>
                <w:rFonts w:ascii="Times New Roman" w:eastAsia="宋体" w:hAnsi="Times New Roman" w:cs="Times New Roman" w:hint="default"/>
                <w:color w:val="auto"/>
                <w:highlight w:val="none"/>
                <w:lang w:val="en-US" w:eastAsia="zh-CN"/>
              </w:rPr>
              <w:t>；东侧为</w:t>
            </w:r>
            <w:r>
              <w:rPr>
                <w:rFonts w:ascii="Times New Roman" w:eastAsia="宋体" w:hAnsi="Times New Roman" w:cs="Times New Roman" w:hint="eastAsia"/>
                <w:color w:val="auto"/>
                <w:highlight w:val="none"/>
                <w:lang w:val="en-US" w:eastAsia="zh-CN"/>
              </w:rPr>
              <w:t>金粟大道</w:t>
            </w:r>
            <w:r>
              <w:rPr>
                <w:rFonts w:ascii="Times New Roman" w:eastAsia="宋体" w:hAnsi="Times New Roman" w:cs="Times New Roman" w:hint="default"/>
                <w:color w:val="auto"/>
                <w:highlight w:val="none"/>
                <w:lang w:val="en-US" w:eastAsia="zh-CN"/>
              </w:rPr>
              <w:t>；南侧为</w:t>
            </w:r>
            <w:r>
              <w:rPr>
                <w:rFonts w:ascii="Times New Roman" w:eastAsia="宋体" w:hAnsi="Times New Roman" w:cs="Times New Roman" w:hint="eastAsia"/>
                <w:color w:val="auto"/>
                <w:highlight w:val="none"/>
                <w:lang w:val="en-US" w:eastAsia="zh-CN"/>
              </w:rPr>
              <w:t>富辰四路</w:t>
            </w:r>
            <w:r>
              <w:rPr>
                <w:rFonts w:ascii="Times New Roman" w:eastAsia="宋体" w:hAnsi="Times New Roman" w:cs="Times New Roman" w:hint="default"/>
                <w:color w:val="auto"/>
                <w:highlight w:val="none"/>
                <w:lang w:val="en-US" w:eastAsia="zh-CN"/>
              </w:rPr>
              <w:t>；西侧为</w:t>
            </w:r>
          </w:p>
        </w:tc>
      </w:tr>
    </w:tbl>
    <w:p>
      <w:pPr>
        <w:sectPr>
          <w:footerReference w:type="default" r:id="rId15"/>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10"/>
          <w:cols w:num="1" w:space="720"/>
          <w:titlePg w:val="0"/>
          <w:docGrid w:linePitch="312" w:charSpace="0"/>
        </w:sectPr>
      </w:pPr>
    </w:p>
    <w:tbl>
      <w:tblPr>
        <w:tblStyle w:val="TableNormal"/>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
      <w:tblGrid>
        <w:gridCol w:w="670"/>
        <w:gridCol w:w="8200"/>
      </w:tblGrid>
      <w:tr>
        <w:tblPrEx>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108" w:type="dxa"/>
            <w:bottom w:w="0" w:type="dxa"/>
            <w:right w:w="108" w:type="dxa"/>
          </w:tblCellMar>
        </w:tblPrEx>
        <w:trPr>
          <w:trHeight w:val="1843"/>
          <w:jc w:val="center"/>
        </w:trPr>
        <w:tc>
          <w:tcPr>
            <w:tcW w:w="670" w:type="dxa"/>
            <w:noWrap w:val="0"/>
            <w:vAlign w:val="center"/>
          </w:tcPr>
          <w:p/>
        </w:tc>
        <w:tc>
          <w:tcPr>
            <w:tcW w:w="8200" w:type="dxa"/>
            <w:noWrap w:val="0"/>
            <w:vAlign w:val="center"/>
          </w:tcPr>
          <w:p>
            <w:pPr>
              <w:adjustRightInd w:val="0"/>
              <w:snapToGrid w:val="0"/>
              <w:spacing w:before="0" w:line="360" w:lineRule="auto"/>
              <w:ind w:firstLine="420" w:firstLineChars="200"/>
              <w:rPr>
                <w:rFonts w:ascii="Times New Roman" w:hAnsi="Times New Roman" w:hint="default"/>
                <w:color w:val="auto"/>
                <w:highlight w:val="none"/>
              </w:rPr>
            </w:pPr>
            <w:r>
              <w:rPr>
                <w:rFonts w:ascii="Times New Roman" w:eastAsia="宋体" w:hAnsi="Times New Roman" w:cs="Times New Roman" w:hint="eastAsia"/>
                <w:color w:val="auto"/>
                <w:highlight w:val="none"/>
                <w:lang w:val="en-US" w:eastAsia="zh-CN"/>
              </w:rPr>
              <w:t>园区预留空地</w:t>
            </w:r>
            <w:r>
              <w:rPr>
                <w:rFonts w:ascii="Times New Roman" w:eastAsia="宋体" w:hAnsi="Times New Roman" w:cs="Times New Roman" w:hint="default"/>
                <w:color w:val="auto"/>
                <w:highlight w:val="none"/>
                <w:lang w:val="en-US" w:eastAsia="zh-CN"/>
              </w:rPr>
              <w:t>；交通便利，地理位置见附图1。</w:t>
            </w:r>
          </w:p>
          <w:p>
            <w:pPr>
              <w:adjustRightInd w:val="0"/>
              <w:snapToGrid w:val="0"/>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lang w:val="zh-CN" w:eastAsia="zh-CN"/>
              </w:rPr>
              <w:fldChar w:fldCharType="begin"/>
            </w:r>
            <w:r>
              <w:rPr>
                <w:rFonts w:ascii="Times New Roman" w:eastAsia="宋体" w:hAnsi="Times New Roman" w:cs="Times New Roman" w:hint="default"/>
                <w:color w:val="auto"/>
                <w:highlight w:val="none"/>
                <w:lang w:val="zh-CN" w:eastAsia="zh-CN"/>
              </w:rPr>
              <w:instrText xml:space="preserve"> = 2 \* GB3 \* MERGEFORMAT </w:instrText>
            </w:r>
            <w:r>
              <w:rPr>
                <w:rFonts w:ascii="Times New Roman" w:eastAsia="宋体" w:hAnsi="Times New Roman" w:cs="Times New Roman" w:hint="default"/>
                <w:color w:val="auto"/>
                <w:highlight w:val="none"/>
                <w:lang w:val="zh-CN" w:eastAsia="zh-CN"/>
              </w:rPr>
              <w:fldChar w:fldCharType="separate"/>
            </w:r>
            <w:r>
              <w:rPr>
                <w:rFonts w:ascii="Times New Roman" w:eastAsia="宋体" w:hAnsi="Times New Roman" w:cs="Times New Roman" w:hint="default"/>
                <w:color w:val="auto"/>
                <w:highlight w:val="none"/>
                <w:lang w:val="zh-CN" w:eastAsia="zh-CN"/>
              </w:rPr>
              <w:t>②</w:t>
            </w:r>
            <w:r>
              <w:rPr>
                <w:rFonts w:ascii="Times New Roman" w:eastAsia="宋体" w:hAnsi="Times New Roman" w:cs="Times New Roman" w:hint="default"/>
                <w:color w:val="auto"/>
                <w:highlight w:val="none"/>
                <w:lang w:val="zh-CN" w:eastAsia="zh-CN"/>
              </w:rPr>
              <w:fldChar w:fldCharType="end"/>
            </w:r>
            <w:r>
              <w:rPr>
                <w:rFonts w:ascii="Times New Roman" w:eastAsia="宋体" w:hAnsi="Times New Roman" w:cs="Times New Roman" w:hint="default"/>
                <w:color w:val="auto"/>
                <w:highlight w:val="none"/>
                <w:lang w:val="zh-CN" w:eastAsia="zh-CN"/>
              </w:rPr>
              <w:t>基础设施条件</w:t>
            </w:r>
          </w:p>
          <w:p>
            <w:pPr>
              <w:adjustRightInd w:val="0"/>
              <w:snapToGrid w:val="0"/>
              <w:spacing w:line="360" w:lineRule="auto"/>
              <w:ind w:firstLine="420" w:firstLineChars="200"/>
              <w:rPr>
                <w:rFonts w:ascii="Times New Roman" w:hAnsi="Times New Roman" w:hint="default"/>
                <w:color w:val="auto"/>
                <w:highlight w:val="none"/>
                <w:lang w:val="zh-CN"/>
              </w:rPr>
            </w:pPr>
            <w:r>
              <w:rPr>
                <w:rFonts w:ascii="Times New Roman" w:eastAsia="宋体" w:hAnsi="Times New Roman" w:cs="Times New Roman" w:hint="default"/>
                <w:color w:val="auto"/>
                <w:highlight w:val="none"/>
                <w:lang w:val="zh-CN" w:eastAsia="zh-CN"/>
              </w:rPr>
              <w:t>经调查，项目所在地供水、供电管网已敷设到位，可基本满足项目运营期的生产及生活需要。</w:t>
            </w:r>
          </w:p>
          <w:p>
            <w:pPr>
              <w:adjustRightInd w:val="0"/>
              <w:snapToGrid w:val="0"/>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lang w:val="zh-CN" w:eastAsia="zh-CN"/>
              </w:rPr>
              <w:fldChar w:fldCharType="begin"/>
            </w:r>
            <w:r>
              <w:rPr>
                <w:rFonts w:ascii="Times New Roman" w:eastAsia="宋体" w:hAnsi="Times New Roman" w:cs="Times New Roman" w:hint="default"/>
                <w:color w:val="auto"/>
                <w:highlight w:val="none"/>
                <w:lang w:val="zh-CN" w:eastAsia="zh-CN"/>
              </w:rPr>
              <w:instrText xml:space="preserve"> = 3 \* GB3 \* MERGEFORMAT </w:instrText>
            </w:r>
            <w:r>
              <w:rPr>
                <w:rFonts w:ascii="Times New Roman" w:eastAsia="宋体" w:hAnsi="Times New Roman" w:cs="Times New Roman" w:hint="default"/>
                <w:color w:val="auto"/>
                <w:highlight w:val="none"/>
                <w:lang w:val="zh-CN" w:eastAsia="zh-CN"/>
              </w:rPr>
              <w:fldChar w:fldCharType="separate"/>
            </w:r>
            <w:r>
              <w:rPr>
                <w:rFonts w:ascii="Times New Roman" w:eastAsia="宋体" w:hAnsi="Times New Roman" w:cs="Times New Roman" w:hint="default"/>
                <w:color w:val="auto"/>
                <w:highlight w:val="none"/>
                <w:lang w:val="zh-CN" w:eastAsia="zh-CN"/>
              </w:rPr>
              <w:t>③</w:t>
            </w:r>
            <w:r>
              <w:rPr>
                <w:rFonts w:ascii="Times New Roman" w:eastAsia="宋体" w:hAnsi="Times New Roman" w:cs="Times New Roman" w:hint="default"/>
                <w:color w:val="auto"/>
                <w:highlight w:val="none"/>
                <w:lang w:val="zh-CN" w:eastAsia="zh-CN"/>
              </w:rPr>
              <w:fldChar w:fldCharType="end"/>
            </w:r>
            <w:r>
              <w:rPr>
                <w:rFonts w:ascii="Times New Roman" w:eastAsia="宋体" w:hAnsi="Times New Roman" w:cs="Times New Roman" w:hint="default"/>
                <w:color w:val="auto"/>
                <w:highlight w:val="none"/>
                <w:lang w:val="zh-CN" w:eastAsia="zh-CN"/>
              </w:rPr>
              <w:t>用地协调</w:t>
            </w:r>
            <w:r>
              <w:rPr>
                <w:rFonts w:ascii="Times New Roman" w:eastAsia="宋体" w:hAnsi="Times New Roman" w:cs="Times New Roman" w:hint="default"/>
                <w:color w:val="auto"/>
                <w:highlight w:val="none"/>
                <w:lang w:val="en-US" w:eastAsia="zh-CN"/>
              </w:rPr>
              <w:t>性</w:t>
            </w:r>
          </w:p>
          <w:p>
            <w:pPr>
              <w:adjustRightInd w:val="0"/>
              <w:snapToGrid w:val="0"/>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lang w:val="en-US" w:eastAsia="zh-CN"/>
              </w:rPr>
              <w:t>本项目位于</w:t>
            </w:r>
            <w:r>
              <w:rPr>
                <w:rFonts w:ascii="Times New Roman" w:eastAsia="宋体" w:hAnsi="Times New Roman" w:cs="Times New Roman" w:hint="eastAsia"/>
                <w:color w:val="auto"/>
                <w:highlight w:val="none"/>
                <w:lang w:val="en-US" w:eastAsia="zh-CN"/>
              </w:rPr>
              <w:t>富阎产业合作园区，租赁园区厂房进行项目建设生产</w:t>
            </w:r>
            <w:r>
              <w:rPr>
                <w:rFonts w:ascii="Times New Roman" w:eastAsia="宋体" w:hAnsi="Times New Roman" w:cs="Times New Roman" w:hint="default"/>
                <w:color w:val="auto"/>
                <w:highlight w:val="none"/>
                <w:lang w:val="en-US" w:eastAsia="zh-CN"/>
              </w:rPr>
              <w:t>，项目建设</w:t>
            </w:r>
            <w:r>
              <w:rPr>
                <w:rFonts w:ascii="Times New Roman" w:eastAsia="宋体" w:hAnsi="Times New Roman" w:cs="Times New Roman" w:hint="eastAsia"/>
                <w:color w:val="auto"/>
                <w:highlight w:val="none"/>
                <w:lang w:val="en-US" w:eastAsia="zh-CN"/>
              </w:rPr>
              <w:t>符合</w:t>
            </w:r>
            <w:r>
              <w:rPr>
                <w:rFonts w:ascii="Times New Roman" w:eastAsia="宋体" w:hAnsi="Times New Roman" w:cs="Times New Roman" w:hint="default"/>
                <w:color w:val="auto"/>
                <w:highlight w:val="none"/>
                <w:lang w:val="en-US" w:eastAsia="zh-CN"/>
              </w:rPr>
              <w:t>用地</w:t>
            </w:r>
            <w:r>
              <w:rPr>
                <w:rFonts w:ascii="Times New Roman" w:eastAsia="宋体" w:hAnsi="Times New Roman" w:cs="Times New Roman" w:hint="eastAsia"/>
                <w:color w:val="auto"/>
                <w:highlight w:val="none"/>
                <w:lang w:val="en-US" w:eastAsia="zh-CN"/>
              </w:rPr>
              <w:t>及产业规划</w:t>
            </w:r>
            <w:r>
              <w:rPr>
                <w:rFonts w:ascii="Times New Roman" w:eastAsia="宋体" w:hAnsi="Times New Roman" w:cs="Times New Roman" w:hint="default"/>
                <w:color w:val="auto"/>
                <w:highlight w:val="none"/>
                <w:lang w:val="en-US" w:eastAsia="zh-CN"/>
              </w:rPr>
              <w:t>，</w:t>
            </w:r>
            <w:r>
              <w:rPr>
                <w:rFonts w:ascii="Times New Roman" w:eastAsia="宋体" w:hAnsi="Times New Roman" w:cs="Times New Roman" w:hint="eastAsia"/>
                <w:color w:val="auto"/>
                <w:highlight w:val="none"/>
                <w:lang w:val="en-US" w:eastAsia="zh-CN"/>
              </w:rPr>
              <w:t>入园协议</w:t>
            </w:r>
            <w:r>
              <w:rPr>
                <w:rFonts w:ascii="Times New Roman" w:eastAsia="宋体" w:hAnsi="Times New Roman" w:cs="Times New Roman" w:hint="default"/>
                <w:color w:val="auto"/>
                <w:highlight w:val="none"/>
                <w:lang w:val="en-US" w:eastAsia="zh-CN"/>
              </w:rPr>
              <w:t>见附件。</w:t>
            </w:r>
          </w:p>
          <w:p>
            <w:pPr>
              <w:adjustRightInd w:val="0"/>
              <w:snapToGrid w:val="0"/>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lang w:val="en-US" w:eastAsia="zh-CN"/>
              </w:rPr>
              <w:t>④环境敏感性</w:t>
            </w:r>
          </w:p>
          <w:p>
            <w:pPr>
              <w:adjustRightInd w:val="0"/>
              <w:snapToGrid w:val="0"/>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lang w:val="en-US" w:eastAsia="zh-CN"/>
              </w:rPr>
              <w:t>项目所在地周边无文物保护区、自然保护区分布；项目实施环评提出的措施后，废气能够达标排放；污水经处理后排入</w:t>
            </w:r>
            <w:r>
              <w:rPr>
                <w:rFonts w:hAnsi="宋体" w:hint="eastAsia"/>
                <w:color w:val="auto"/>
                <w:kern w:val="0"/>
                <w:szCs w:val="21"/>
                <w:highlight w:val="none"/>
                <w:lang w:val="en-US" w:eastAsia="zh-CN"/>
              </w:rPr>
              <w:t>富平第二污水处理厂</w:t>
            </w:r>
            <w:r>
              <w:rPr>
                <w:rFonts w:ascii="Times New Roman" w:eastAsia="宋体" w:hAnsi="Times New Roman" w:cs="Times New Roman" w:hint="default"/>
                <w:color w:val="auto"/>
                <w:highlight w:val="none"/>
                <w:lang w:val="en-US" w:eastAsia="zh-CN"/>
              </w:rPr>
              <w:t>；噪声采取减振、隔声措施后厂界可达标；固废均得到合理处置，不会造成二次污染。</w:t>
            </w:r>
          </w:p>
          <w:p>
            <w:pPr>
              <w:adjustRightInd w:val="0"/>
              <w:snapToGrid w:val="0"/>
              <w:spacing w:line="360" w:lineRule="auto"/>
              <w:ind w:firstLine="420" w:firstLineChars="200"/>
              <w:rPr>
                <w:rFonts w:ascii="Times New Roman" w:hAnsi="Times New Roman" w:hint="default"/>
                <w:color w:val="auto"/>
                <w:highlight w:val="none"/>
              </w:rPr>
            </w:pPr>
            <w:r>
              <w:rPr>
                <w:rFonts w:ascii="Times New Roman" w:eastAsia="宋体" w:hAnsi="Times New Roman" w:cs="Times New Roman" w:hint="default"/>
                <w:color w:val="auto"/>
                <w:highlight w:val="none"/>
                <w:lang w:val="en-US" w:eastAsia="zh-CN"/>
              </w:rPr>
              <w:t>综上所述，</w:t>
            </w:r>
            <w:r>
              <w:rPr>
                <w:rFonts w:ascii="Times New Roman" w:eastAsia="宋体" w:hAnsi="Times New Roman" w:cs="Times New Roman" w:hint="eastAsia"/>
                <w:color w:val="auto"/>
                <w:highlight w:val="none"/>
                <w:lang w:val="en-US" w:eastAsia="zh-CN"/>
              </w:rPr>
              <w:t>项目运营期间产生的各类污染在采取本报告提出的相应环保措施后，项目产生的各类污染物均可实现达标排放和总量控制的要求，不会改变当地环境质量现状，不会对周围环境产生明显影响。本项目</w:t>
            </w:r>
            <w:r>
              <w:rPr>
                <w:rFonts w:ascii="Times New Roman" w:eastAsia="宋体" w:hAnsi="Times New Roman" w:cs="Times New Roman" w:hint="default"/>
                <w:color w:val="auto"/>
                <w:highlight w:val="none"/>
                <w:lang w:val="en-US" w:eastAsia="zh-CN"/>
              </w:rPr>
              <w:t>厂房选址对外环境无特殊要求与距离限制，</w:t>
            </w:r>
            <w:r>
              <w:rPr>
                <w:rFonts w:ascii="Times New Roman" w:eastAsia="宋体" w:hAnsi="Times New Roman" w:cs="Times New Roman" w:hint="eastAsia"/>
                <w:color w:val="auto"/>
                <w:highlight w:val="none"/>
                <w:lang w:val="en-US" w:eastAsia="zh-CN"/>
              </w:rPr>
              <w:t>因此，从环保角度分析，本项目选址合理。</w:t>
            </w: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p>
            <w:pPr>
              <w:pStyle w:val="ListBullet5"/>
              <w:numPr>
                <w:ilvl w:val="0"/>
                <w:numId w:val="0"/>
              </w:numPr>
              <w:ind w:left="1680" w:leftChars="0"/>
              <w:rPr>
                <w:rFonts w:ascii="Times New Roman" w:eastAsia="宋体" w:hAnsi="Times New Roman" w:cs="Times New Roman" w:hint="default"/>
                <w:color w:val="auto"/>
                <w:highlight w:val="none"/>
                <w:lang w:val="en-US" w:eastAsia="zh-CN"/>
              </w:rPr>
            </w:pPr>
          </w:p>
        </w:tc>
      </w:tr>
    </w:tbl>
    <w:p>
      <w:r>
        <w:br/>
      </w:r>
      <w:r>
        <w:br/>
      </w:r>
    </w:p>
    <w:p>
      <w:pPr>
        <w:widowControl/>
        <w:spacing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https://d.book118.com/877116006161006054</w:t>
        </w:r>
      </w:hyperlink>
    </w:p>
    <w:p/>
    <w:sectPr>
      <w:footerReference w:type="default" r:id="rId17"/>
      <w:type w:val="nextPage"/>
      <w:pgSz w:w="11906" w:h="16838"/>
      <w:pgMar w:top="1701" w:right="1531" w:bottom="1701" w:left="1531" w:header="851" w:footer="1077" w:gutter="0"/>
      <w:pgBorders>
        <w:top w:val="none" w:sz="0" w:space="0" w:color="auto"/>
        <w:left w:val="none" w:sz="0" w:space="0" w:color="auto"/>
        <w:bottom w:val="none" w:sz="0" w:space="0" w:color="auto"/>
        <w:right w:val="none" w:sz="0" w:space="0" w:color="auto"/>
      </w:pgBorders>
      <w:pgNumType w:start="11"/>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2</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4</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4</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6</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6</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8</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9</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10</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11</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rPr>
      <w:t xml:space="preserve">  </w:t>
    </w:r>
    <w:r>
      <w:rPr>
        <w:rFonts w:ascii="宋体" w:hAnsi="宋体"/>
        <w:sz w:val="26"/>
        <w:szCs w:val="26"/>
      </w:rPr>
      <w:fldChar w:fldCharType="begin"/>
    </w:r>
    <w:r>
      <w:rPr>
        <w:rStyle w:val="PageNumber"/>
        <w:rFonts w:ascii="宋体" w:hAnsi="宋体"/>
        <w:sz w:val="26"/>
        <w:szCs w:val="26"/>
      </w:rPr>
      <w:instrText xml:space="preserve">PAGE  </w:instrText>
    </w:r>
    <w:r>
      <w:rPr>
        <w:rFonts w:ascii="宋体" w:hAnsi="宋体"/>
        <w:sz w:val="26"/>
        <w:szCs w:val="26"/>
      </w:rPr>
      <w:fldChar w:fldCharType="separate"/>
    </w:r>
    <w:r>
      <w:rPr>
        <w:rStyle w:val="PageNumber"/>
        <w:rFonts w:ascii="宋体" w:hAnsi="宋体"/>
        <w:sz w:val="26"/>
        <w:szCs w:val="26"/>
      </w:rPr>
      <w:t>12</w:t>
    </w:r>
    <w:r>
      <w:rPr>
        <w:rFonts w:ascii="宋体" w:hAnsi="宋体"/>
        <w:sz w:val="26"/>
        <w:szCs w:val="26"/>
      </w:rPr>
      <w:fldChar w:fldCharType="end"/>
    </w:r>
    <w:r>
      <w:rPr>
        <w:rStyle w:val="PageNumber"/>
        <w:rFonts w:ascii="宋体" w:hAnsi="宋体" w:hint="eastAsia"/>
        <w:sz w:val="20"/>
      </w:rPr>
      <w:t xml:space="preserve">  </w:t>
    </w:r>
    <w:r>
      <w:rPr>
        <w:rStyle w:val="PageNumber"/>
        <w:rFonts w:ascii="宋体" w:hAnsi="宋体" w:hint="eastAsia"/>
        <w:sz w:val="28"/>
        <w:szCs w:val="28"/>
      </w:rPr>
      <w:t>—</w:t>
    </w:r>
  </w:p>
  <w:p>
    <w:pPr>
      <w:pStyle w:val="Footer"/>
      <w:ind w:right="360" w:firstLine="360"/>
      <w:jc w:val="cen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1EA0797"/>
    <w:multiLevelType w:val="singleLevel"/>
    <w:tmpl w:val="C1EA0797"/>
    <w:lvl w:ilvl="0">
      <w:start w:val="1"/>
      <w:numFmt w:val="bullet"/>
      <w:pStyle w:val="ListBullet5"/>
      <w:lvlText w:val=""/>
      <w:lvlJc w:val="left"/>
      <w:pPr>
        <w:tabs>
          <w:tab w:val="left" w:pos="2040"/>
        </w:tabs>
        <w:ind w:left="20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drawingGridVerticalSpacing w:val="156"/>
  <w:doNotShadeFormData/>
  <w:noPunctuationKerning/>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8068631C"/>
    <w:rsid w:val="80F0FCCD"/>
    <w:rsid w:val="81C300AB"/>
    <w:rsid w:val="837533A9"/>
    <w:rsid w:val="83B6F22E"/>
    <w:rsid w:val="84F456C3"/>
    <w:rsid w:val="87C93B20"/>
    <w:rsid w:val="87EC0DE2"/>
    <w:rsid w:val="89948310"/>
    <w:rsid w:val="8A7ED975"/>
    <w:rsid w:val="8AD4009E"/>
    <w:rsid w:val="8CAA50CD"/>
    <w:rsid w:val="8CAD361A"/>
    <w:rsid w:val="8E4493A4"/>
    <w:rsid w:val="8EA07DEA"/>
    <w:rsid w:val="8EB91AE7"/>
    <w:rsid w:val="8EFB9BB2"/>
    <w:rsid w:val="8F5F3AD2"/>
    <w:rsid w:val="8FFBEB86"/>
    <w:rsid w:val="908F3C5A"/>
    <w:rsid w:val="91A1B48A"/>
    <w:rsid w:val="91BCC2DE"/>
    <w:rsid w:val="9283A8A7"/>
    <w:rsid w:val="92F1885D"/>
    <w:rsid w:val="93CB7127"/>
    <w:rsid w:val="94F94C14"/>
    <w:rsid w:val="9523F045"/>
    <w:rsid w:val="9777DFB4"/>
    <w:rsid w:val="98BAFE78"/>
    <w:rsid w:val="9919ADE1"/>
    <w:rsid w:val="9CF01868"/>
    <w:rsid w:val="9E99C3DA"/>
    <w:rsid w:val="9EF1F503"/>
    <w:rsid w:val="9F13909A"/>
    <w:rsid w:val="A0288AAA"/>
    <w:rsid w:val="A186B668"/>
    <w:rsid w:val="A1897EAF"/>
    <w:rsid w:val="A357EF33"/>
    <w:rsid w:val="A54BA100"/>
    <w:rsid w:val="A57A9D22"/>
    <w:rsid w:val="A76E2AFD"/>
    <w:rsid w:val="A957E198"/>
    <w:rsid w:val="AABF7E91"/>
    <w:rsid w:val="AB48936B"/>
    <w:rsid w:val="ABAA8B13"/>
    <w:rsid w:val="AC3CF85A"/>
    <w:rsid w:val="AC87245B"/>
    <w:rsid w:val="AFA15E17"/>
    <w:rsid w:val="B0DA449B"/>
    <w:rsid w:val="B161D161"/>
    <w:rsid w:val="B26793F3"/>
    <w:rsid w:val="B2B8D885"/>
    <w:rsid w:val="B2BE0CBC"/>
    <w:rsid w:val="B51253E1"/>
    <w:rsid w:val="B539AF29"/>
    <w:rsid w:val="B5AFF9FF"/>
    <w:rsid w:val="B7DC2C01"/>
    <w:rsid w:val="B85142CB"/>
    <w:rsid w:val="BA8D8A18"/>
    <w:rsid w:val="BBA2BF0E"/>
    <w:rsid w:val="BD39E71E"/>
    <w:rsid w:val="BE207A16"/>
    <w:rsid w:val="C0139DB9"/>
    <w:rsid w:val="C1DCCEAD"/>
    <w:rsid w:val="C291B4A9"/>
    <w:rsid w:val="C3F59AE9"/>
    <w:rsid w:val="C501A7FA"/>
    <w:rsid w:val="C501FB6D"/>
    <w:rsid w:val="C5DC8159"/>
    <w:rsid w:val="C666A663"/>
    <w:rsid w:val="C75BFA07"/>
    <w:rsid w:val="C7C2FA3B"/>
    <w:rsid w:val="C8B98F83"/>
    <w:rsid w:val="C91C29F5"/>
    <w:rsid w:val="C9C6C4D8"/>
    <w:rsid w:val="CA44E1DD"/>
    <w:rsid w:val="CB05C142"/>
    <w:rsid w:val="CD74C19D"/>
    <w:rsid w:val="CDFF20EB"/>
    <w:rsid w:val="CE9BC8B1"/>
    <w:rsid w:val="D20163C0"/>
    <w:rsid w:val="D5D47A72"/>
    <w:rsid w:val="D63FCE72"/>
    <w:rsid w:val="D7B06B60"/>
    <w:rsid w:val="D7D1B69E"/>
    <w:rsid w:val="D9CFACAF"/>
    <w:rsid w:val="D9EAD0D7"/>
    <w:rsid w:val="DC136CE5"/>
    <w:rsid w:val="DCB6BEBE"/>
    <w:rsid w:val="DCDAB9D0"/>
    <w:rsid w:val="DF8D9FE5"/>
    <w:rsid w:val="E2115365"/>
    <w:rsid w:val="E485832B"/>
    <w:rsid w:val="E633AB6C"/>
    <w:rsid w:val="E8E00F08"/>
    <w:rsid w:val="E9B8C06A"/>
    <w:rsid w:val="EA5C630A"/>
    <w:rsid w:val="EAAE73E6"/>
    <w:rsid w:val="EAC364AB"/>
    <w:rsid w:val="EB34000D"/>
    <w:rsid w:val="EBE25D1D"/>
    <w:rsid w:val="EC5518B8"/>
    <w:rsid w:val="ECAC2305"/>
    <w:rsid w:val="F091900D"/>
    <w:rsid w:val="F0B42BAB"/>
    <w:rsid w:val="F0B847FE"/>
    <w:rsid w:val="F29BF9AE"/>
    <w:rsid w:val="F3049ED6"/>
    <w:rsid w:val="F6B2CB58"/>
    <w:rsid w:val="F9399B97"/>
    <w:rsid w:val="FC7443D0"/>
    <w:rsid w:val="FDC52BB4"/>
    <w:rsid w:val="FEB5601C"/>
    <w:rsid w:val="FF544FBE"/>
    <w:rsid w:val="FFA939F2"/>
    <w:rsid w:val="FFCDB756"/>
    <w:rsid w:val="FFD479AA"/>
    <w:rsid w:val="000060B3"/>
    <w:rsid w:val="00041AEA"/>
    <w:rsid w:val="0004364B"/>
    <w:rsid w:val="00046487"/>
    <w:rsid w:val="00061B1F"/>
    <w:rsid w:val="000733C4"/>
    <w:rsid w:val="00074783"/>
    <w:rsid w:val="0008070B"/>
    <w:rsid w:val="000810AC"/>
    <w:rsid w:val="00081A02"/>
    <w:rsid w:val="00082231"/>
    <w:rsid w:val="00092D38"/>
    <w:rsid w:val="0009377B"/>
    <w:rsid w:val="000A20C9"/>
    <w:rsid w:val="000B03FE"/>
    <w:rsid w:val="000B058F"/>
    <w:rsid w:val="000B4467"/>
    <w:rsid w:val="000B4DB9"/>
    <w:rsid w:val="000C09AC"/>
    <w:rsid w:val="000C767F"/>
    <w:rsid w:val="000D5A44"/>
    <w:rsid w:val="000E3ED2"/>
    <w:rsid w:val="00131F42"/>
    <w:rsid w:val="001357F1"/>
    <w:rsid w:val="00140FA8"/>
    <w:rsid w:val="00142FEB"/>
    <w:rsid w:val="001437BE"/>
    <w:rsid w:val="00143A2D"/>
    <w:rsid w:val="00145A41"/>
    <w:rsid w:val="00145BAA"/>
    <w:rsid w:val="00151675"/>
    <w:rsid w:val="00157435"/>
    <w:rsid w:val="0017504D"/>
    <w:rsid w:val="0017671A"/>
    <w:rsid w:val="00177422"/>
    <w:rsid w:val="00184590"/>
    <w:rsid w:val="001870D1"/>
    <w:rsid w:val="0018781E"/>
    <w:rsid w:val="0019262D"/>
    <w:rsid w:val="001A1B35"/>
    <w:rsid w:val="001A48A2"/>
    <w:rsid w:val="001A6F61"/>
    <w:rsid w:val="001B72B8"/>
    <w:rsid w:val="001C69B3"/>
    <w:rsid w:val="001D5595"/>
    <w:rsid w:val="001D603B"/>
    <w:rsid w:val="001D7874"/>
    <w:rsid w:val="001D7F22"/>
    <w:rsid w:val="001F0F17"/>
    <w:rsid w:val="001F3347"/>
    <w:rsid w:val="001F69E4"/>
    <w:rsid w:val="002125B4"/>
    <w:rsid w:val="002155B8"/>
    <w:rsid w:val="00224839"/>
    <w:rsid w:val="002249B2"/>
    <w:rsid w:val="00226574"/>
    <w:rsid w:val="002278EC"/>
    <w:rsid w:val="00232558"/>
    <w:rsid w:val="0023280E"/>
    <w:rsid w:val="002377D1"/>
    <w:rsid w:val="002506BC"/>
    <w:rsid w:val="00254345"/>
    <w:rsid w:val="00264557"/>
    <w:rsid w:val="002805AB"/>
    <w:rsid w:val="00284204"/>
    <w:rsid w:val="00291773"/>
    <w:rsid w:val="002A168C"/>
    <w:rsid w:val="002A3DC7"/>
    <w:rsid w:val="002A6C3F"/>
    <w:rsid w:val="002B49E2"/>
    <w:rsid w:val="002B7B00"/>
    <w:rsid w:val="002B7C44"/>
    <w:rsid w:val="002C2B17"/>
    <w:rsid w:val="002C52D0"/>
    <w:rsid w:val="002D3DD0"/>
    <w:rsid w:val="002E1F3A"/>
    <w:rsid w:val="002E298A"/>
    <w:rsid w:val="00301978"/>
    <w:rsid w:val="0030332C"/>
    <w:rsid w:val="003051C2"/>
    <w:rsid w:val="00312296"/>
    <w:rsid w:val="00314F0E"/>
    <w:rsid w:val="00321D8E"/>
    <w:rsid w:val="00325928"/>
    <w:rsid w:val="00332863"/>
    <w:rsid w:val="0033684D"/>
    <w:rsid w:val="00337B42"/>
    <w:rsid w:val="00341B42"/>
    <w:rsid w:val="0034348F"/>
    <w:rsid w:val="00350CEE"/>
    <w:rsid w:val="00356653"/>
    <w:rsid w:val="0035743F"/>
    <w:rsid w:val="00357BE2"/>
    <w:rsid w:val="0036170C"/>
    <w:rsid w:val="00366E0F"/>
    <w:rsid w:val="00367185"/>
    <w:rsid w:val="00381A72"/>
    <w:rsid w:val="00384676"/>
    <w:rsid w:val="00390857"/>
    <w:rsid w:val="003A4BF3"/>
    <w:rsid w:val="003B420D"/>
    <w:rsid w:val="003C6C16"/>
    <w:rsid w:val="003C7882"/>
    <w:rsid w:val="003D794D"/>
    <w:rsid w:val="003E3058"/>
    <w:rsid w:val="003E76A9"/>
    <w:rsid w:val="003E7AAF"/>
    <w:rsid w:val="003F0809"/>
    <w:rsid w:val="003F6A8C"/>
    <w:rsid w:val="003F755C"/>
    <w:rsid w:val="00406F01"/>
    <w:rsid w:val="00416D50"/>
    <w:rsid w:val="00416FD5"/>
    <w:rsid w:val="00417772"/>
    <w:rsid w:val="00420E6A"/>
    <w:rsid w:val="00425A9E"/>
    <w:rsid w:val="00426D6B"/>
    <w:rsid w:val="00431E6C"/>
    <w:rsid w:val="00433CE7"/>
    <w:rsid w:val="0043781E"/>
    <w:rsid w:val="00450083"/>
    <w:rsid w:val="00452738"/>
    <w:rsid w:val="00456091"/>
    <w:rsid w:val="00466321"/>
    <w:rsid w:val="00484B9B"/>
    <w:rsid w:val="004855F6"/>
    <w:rsid w:val="0048661E"/>
    <w:rsid w:val="00494670"/>
    <w:rsid w:val="004A3823"/>
    <w:rsid w:val="004E6946"/>
    <w:rsid w:val="004F1AD8"/>
    <w:rsid w:val="004F2231"/>
    <w:rsid w:val="004F35E5"/>
    <w:rsid w:val="005039CB"/>
    <w:rsid w:val="0050558F"/>
    <w:rsid w:val="00506286"/>
    <w:rsid w:val="00510813"/>
    <w:rsid w:val="00511990"/>
    <w:rsid w:val="00511DE0"/>
    <w:rsid w:val="00514870"/>
    <w:rsid w:val="00514B9B"/>
    <w:rsid w:val="00517F02"/>
    <w:rsid w:val="00524303"/>
    <w:rsid w:val="005258A2"/>
    <w:rsid w:val="005401AE"/>
    <w:rsid w:val="00540CE1"/>
    <w:rsid w:val="00542E07"/>
    <w:rsid w:val="00545424"/>
    <w:rsid w:val="00554A7B"/>
    <w:rsid w:val="0055572C"/>
    <w:rsid w:val="00557DB5"/>
    <w:rsid w:val="0056106A"/>
    <w:rsid w:val="005720AE"/>
    <w:rsid w:val="005744DC"/>
    <w:rsid w:val="00594D77"/>
    <w:rsid w:val="005969E4"/>
    <w:rsid w:val="005A06B7"/>
    <w:rsid w:val="005A1759"/>
    <w:rsid w:val="005A68A7"/>
    <w:rsid w:val="005B71D4"/>
    <w:rsid w:val="005D36AB"/>
    <w:rsid w:val="00617CC3"/>
    <w:rsid w:val="00634558"/>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C561E"/>
    <w:rsid w:val="006D13B5"/>
    <w:rsid w:val="006E12FF"/>
    <w:rsid w:val="006E607E"/>
    <w:rsid w:val="00703EDF"/>
    <w:rsid w:val="00706C5D"/>
    <w:rsid w:val="00725778"/>
    <w:rsid w:val="00732922"/>
    <w:rsid w:val="0075162E"/>
    <w:rsid w:val="00753566"/>
    <w:rsid w:val="00754034"/>
    <w:rsid w:val="00756556"/>
    <w:rsid w:val="007618C4"/>
    <w:rsid w:val="00767980"/>
    <w:rsid w:val="00770B19"/>
    <w:rsid w:val="0077463F"/>
    <w:rsid w:val="007836EA"/>
    <w:rsid w:val="00784CDA"/>
    <w:rsid w:val="007906C4"/>
    <w:rsid w:val="00792AE6"/>
    <w:rsid w:val="007940EA"/>
    <w:rsid w:val="007967E8"/>
    <w:rsid w:val="007A2170"/>
    <w:rsid w:val="007A22BF"/>
    <w:rsid w:val="007A3323"/>
    <w:rsid w:val="007B72B8"/>
    <w:rsid w:val="007B7A58"/>
    <w:rsid w:val="007C21B5"/>
    <w:rsid w:val="007E4BD2"/>
    <w:rsid w:val="00801393"/>
    <w:rsid w:val="0080291C"/>
    <w:rsid w:val="00802F88"/>
    <w:rsid w:val="0081293E"/>
    <w:rsid w:val="00815465"/>
    <w:rsid w:val="00816423"/>
    <w:rsid w:val="00817E9A"/>
    <w:rsid w:val="008306BD"/>
    <w:rsid w:val="00831A80"/>
    <w:rsid w:val="00833743"/>
    <w:rsid w:val="008340A4"/>
    <w:rsid w:val="00844D17"/>
    <w:rsid w:val="0087135F"/>
    <w:rsid w:val="00872D94"/>
    <w:rsid w:val="00880364"/>
    <w:rsid w:val="00891592"/>
    <w:rsid w:val="00891E9E"/>
    <w:rsid w:val="008A2F68"/>
    <w:rsid w:val="008B4FA6"/>
    <w:rsid w:val="008B5282"/>
    <w:rsid w:val="008B7C17"/>
    <w:rsid w:val="008C2D01"/>
    <w:rsid w:val="008C40E6"/>
    <w:rsid w:val="008D0F7A"/>
    <w:rsid w:val="008D1931"/>
    <w:rsid w:val="008D68E4"/>
    <w:rsid w:val="008E0506"/>
    <w:rsid w:val="008E0CFF"/>
    <w:rsid w:val="008E5D6B"/>
    <w:rsid w:val="008E76F0"/>
    <w:rsid w:val="008F15FE"/>
    <w:rsid w:val="008F2D29"/>
    <w:rsid w:val="008F5187"/>
    <w:rsid w:val="008F60D8"/>
    <w:rsid w:val="00902727"/>
    <w:rsid w:val="0090312B"/>
    <w:rsid w:val="0091417F"/>
    <w:rsid w:val="0091736D"/>
    <w:rsid w:val="009222D2"/>
    <w:rsid w:val="0093037A"/>
    <w:rsid w:val="0094154D"/>
    <w:rsid w:val="0095155F"/>
    <w:rsid w:val="00954429"/>
    <w:rsid w:val="009563CE"/>
    <w:rsid w:val="00965397"/>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D181A"/>
    <w:rsid w:val="009E227D"/>
    <w:rsid w:val="009E5019"/>
    <w:rsid w:val="00A04F1B"/>
    <w:rsid w:val="00A0501B"/>
    <w:rsid w:val="00A14947"/>
    <w:rsid w:val="00A32A83"/>
    <w:rsid w:val="00A368DB"/>
    <w:rsid w:val="00A423AA"/>
    <w:rsid w:val="00A53EC6"/>
    <w:rsid w:val="00A55C0F"/>
    <w:rsid w:val="00A8713F"/>
    <w:rsid w:val="00A90BA1"/>
    <w:rsid w:val="00A97A9A"/>
    <w:rsid w:val="00AA0671"/>
    <w:rsid w:val="00AA2531"/>
    <w:rsid w:val="00AB1E09"/>
    <w:rsid w:val="00AB5330"/>
    <w:rsid w:val="00AB7747"/>
    <w:rsid w:val="00AC14CE"/>
    <w:rsid w:val="00AC21E4"/>
    <w:rsid w:val="00AC2A56"/>
    <w:rsid w:val="00AD055E"/>
    <w:rsid w:val="00AD47A7"/>
    <w:rsid w:val="00AF0CBF"/>
    <w:rsid w:val="00AF257F"/>
    <w:rsid w:val="00AF33CF"/>
    <w:rsid w:val="00AF4D50"/>
    <w:rsid w:val="00AF6179"/>
    <w:rsid w:val="00B056B3"/>
    <w:rsid w:val="00B1295A"/>
    <w:rsid w:val="00B20A45"/>
    <w:rsid w:val="00B22C5C"/>
    <w:rsid w:val="00B24F30"/>
    <w:rsid w:val="00B257F9"/>
    <w:rsid w:val="00B31ABF"/>
    <w:rsid w:val="00B33BE3"/>
    <w:rsid w:val="00B53B5D"/>
    <w:rsid w:val="00B6055E"/>
    <w:rsid w:val="00B6317D"/>
    <w:rsid w:val="00B67950"/>
    <w:rsid w:val="00B7723F"/>
    <w:rsid w:val="00B80534"/>
    <w:rsid w:val="00B8433C"/>
    <w:rsid w:val="00B87491"/>
    <w:rsid w:val="00BA29E9"/>
    <w:rsid w:val="00BA64AB"/>
    <w:rsid w:val="00BA699E"/>
    <w:rsid w:val="00BA7142"/>
    <w:rsid w:val="00BB237C"/>
    <w:rsid w:val="00BB41A3"/>
    <w:rsid w:val="00BC32DC"/>
    <w:rsid w:val="00BC353D"/>
    <w:rsid w:val="00BC35B6"/>
    <w:rsid w:val="00BC4F67"/>
    <w:rsid w:val="00BD1B51"/>
    <w:rsid w:val="00BD4596"/>
    <w:rsid w:val="00BE1405"/>
    <w:rsid w:val="00BE1429"/>
    <w:rsid w:val="00BE312D"/>
    <w:rsid w:val="00BF1C20"/>
    <w:rsid w:val="00C10578"/>
    <w:rsid w:val="00C135BC"/>
    <w:rsid w:val="00C15C95"/>
    <w:rsid w:val="00C2116A"/>
    <w:rsid w:val="00C2596A"/>
    <w:rsid w:val="00C27537"/>
    <w:rsid w:val="00C328FE"/>
    <w:rsid w:val="00C33507"/>
    <w:rsid w:val="00C4409D"/>
    <w:rsid w:val="00C44E72"/>
    <w:rsid w:val="00C45A06"/>
    <w:rsid w:val="00C47E5B"/>
    <w:rsid w:val="00C56603"/>
    <w:rsid w:val="00C61E4B"/>
    <w:rsid w:val="00C64BFF"/>
    <w:rsid w:val="00C704E9"/>
    <w:rsid w:val="00C763C9"/>
    <w:rsid w:val="00C80057"/>
    <w:rsid w:val="00C82232"/>
    <w:rsid w:val="00C82913"/>
    <w:rsid w:val="00C972B1"/>
    <w:rsid w:val="00CA2CCE"/>
    <w:rsid w:val="00CA43FD"/>
    <w:rsid w:val="00CA7EF8"/>
    <w:rsid w:val="00CC02E0"/>
    <w:rsid w:val="00CC489B"/>
    <w:rsid w:val="00CD2BCD"/>
    <w:rsid w:val="00CD3A4C"/>
    <w:rsid w:val="00CE10E9"/>
    <w:rsid w:val="00CE2910"/>
    <w:rsid w:val="00CE5393"/>
    <w:rsid w:val="00CF36BE"/>
    <w:rsid w:val="00CF6000"/>
    <w:rsid w:val="00D003F3"/>
    <w:rsid w:val="00D0364F"/>
    <w:rsid w:val="00D06834"/>
    <w:rsid w:val="00D308ED"/>
    <w:rsid w:val="00D30BFB"/>
    <w:rsid w:val="00D36D86"/>
    <w:rsid w:val="00D4077F"/>
    <w:rsid w:val="00D428AA"/>
    <w:rsid w:val="00D50A34"/>
    <w:rsid w:val="00D53EFA"/>
    <w:rsid w:val="00D56ECF"/>
    <w:rsid w:val="00D76795"/>
    <w:rsid w:val="00D8730B"/>
    <w:rsid w:val="00D94A7C"/>
    <w:rsid w:val="00D95896"/>
    <w:rsid w:val="00DA371B"/>
    <w:rsid w:val="00DB2983"/>
    <w:rsid w:val="00DB3453"/>
    <w:rsid w:val="00DC1257"/>
    <w:rsid w:val="00DC3DC0"/>
    <w:rsid w:val="00DC5B2B"/>
    <w:rsid w:val="00DD318D"/>
    <w:rsid w:val="00DF2E12"/>
    <w:rsid w:val="00DF514A"/>
    <w:rsid w:val="00DF6690"/>
    <w:rsid w:val="00DF6804"/>
    <w:rsid w:val="00E0358D"/>
    <w:rsid w:val="00E04323"/>
    <w:rsid w:val="00E070A2"/>
    <w:rsid w:val="00E2656A"/>
    <w:rsid w:val="00E412D0"/>
    <w:rsid w:val="00E56322"/>
    <w:rsid w:val="00E60982"/>
    <w:rsid w:val="00E62C62"/>
    <w:rsid w:val="00E638F8"/>
    <w:rsid w:val="00E654C1"/>
    <w:rsid w:val="00E65D97"/>
    <w:rsid w:val="00E72A5A"/>
    <w:rsid w:val="00E73354"/>
    <w:rsid w:val="00E9242D"/>
    <w:rsid w:val="00E94CF6"/>
    <w:rsid w:val="00EB5255"/>
    <w:rsid w:val="00EB5C47"/>
    <w:rsid w:val="00ED0639"/>
    <w:rsid w:val="00EF4755"/>
    <w:rsid w:val="00EF7135"/>
    <w:rsid w:val="00F027DB"/>
    <w:rsid w:val="00F14A7A"/>
    <w:rsid w:val="00F214D7"/>
    <w:rsid w:val="00F22985"/>
    <w:rsid w:val="00F3313B"/>
    <w:rsid w:val="00F3383E"/>
    <w:rsid w:val="00F343DF"/>
    <w:rsid w:val="00F465A7"/>
    <w:rsid w:val="00F50B7C"/>
    <w:rsid w:val="00F550E6"/>
    <w:rsid w:val="00F74345"/>
    <w:rsid w:val="00F80A0A"/>
    <w:rsid w:val="00F82B19"/>
    <w:rsid w:val="00F9212D"/>
    <w:rsid w:val="00F93FB1"/>
    <w:rsid w:val="00F95F64"/>
    <w:rsid w:val="00F965DA"/>
    <w:rsid w:val="00FA406A"/>
    <w:rsid w:val="00FB503A"/>
    <w:rsid w:val="00FB516C"/>
    <w:rsid w:val="00FD0236"/>
    <w:rsid w:val="00FD18F4"/>
    <w:rsid w:val="00FD54DB"/>
    <w:rsid w:val="00FD619F"/>
    <w:rsid w:val="010827C0"/>
    <w:rsid w:val="01290F7E"/>
    <w:rsid w:val="015D1E09"/>
    <w:rsid w:val="016E7C23"/>
    <w:rsid w:val="019D45EE"/>
    <w:rsid w:val="01A828F1"/>
    <w:rsid w:val="01B219D7"/>
    <w:rsid w:val="01BF36EE"/>
    <w:rsid w:val="020342B3"/>
    <w:rsid w:val="0206350A"/>
    <w:rsid w:val="020A0285"/>
    <w:rsid w:val="020C4381"/>
    <w:rsid w:val="021B2B71"/>
    <w:rsid w:val="02203B3A"/>
    <w:rsid w:val="02211B00"/>
    <w:rsid w:val="024E4A19"/>
    <w:rsid w:val="02523812"/>
    <w:rsid w:val="025F5A43"/>
    <w:rsid w:val="02697903"/>
    <w:rsid w:val="026B291B"/>
    <w:rsid w:val="02AC5429"/>
    <w:rsid w:val="02D3218F"/>
    <w:rsid w:val="02DA5FC0"/>
    <w:rsid w:val="02DE23FC"/>
    <w:rsid w:val="02F96569"/>
    <w:rsid w:val="02FAEE31"/>
    <w:rsid w:val="030B62B1"/>
    <w:rsid w:val="033200FC"/>
    <w:rsid w:val="034611C2"/>
    <w:rsid w:val="03552920"/>
    <w:rsid w:val="03895566"/>
    <w:rsid w:val="03938A6A"/>
    <w:rsid w:val="03CE43F0"/>
    <w:rsid w:val="03D64BCC"/>
    <w:rsid w:val="03EA7B21"/>
    <w:rsid w:val="041D6DBD"/>
    <w:rsid w:val="041E2D20"/>
    <w:rsid w:val="043B10FF"/>
    <w:rsid w:val="046D044A"/>
    <w:rsid w:val="04760594"/>
    <w:rsid w:val="050063D0"/>
    <w:rsid w:val="05027CB6"/>
    <w:rsid w:val="050B21F0"/>
    <w:rsid w:val="051A6F1A"/>
    <w:rsid w:val="052B5D18"/>
    <w:rsid w:val="053E0738"/>
    <w:rsid w:val="056A5D0F"/>
    <w:rsid w:val="058E6A05"/>
    <w:rsid w:val="05954548"/>
    <w:rsid w:val="059D628F"/>
    <w:rsid w:val="05BC1DCB"/>
    <w:rsid w:val="05F83EAE"/>
    <w:rsid w:val="062005AC"/>
    <w:rsid w:val="0626A063"/>
    <w:rsid w:val="06284D83"/>
    <w:rsid w:val="062C6F51"/>
    <w:rsid w:val="063E7D85"/>
    <w:rsid w:val="066DE6C6"/>
    <w:rsid w:val="06717201"/>
    <w:rsid w:val="068BD00C"/>
    <w:rsid w:val="069A62EF"/>
    <w:rsid w:val="06B562E8"/>
    <w:rsid w:val="06B64C7C"/>
    <w:rsid w:val="06F07AD5"/>
    <w:rsid w:val="072476C0"/>
    <w:rsid w:val="07293586"/>
    <w:rsid w:val="07295285"/>
    <w:rsid w:val="07316373"/>
    <w:rsid w:val="07425AD4"/>
    <w:rsid w:val="074C0720"/>
    <w:rsid w:val="07590CBE"/>
    <w:rsid w:val="07636392"/>
    <w:rsid w:val="0774295E"/>
    <w:rsid w:val="07770C56"/>
    <w:rsid w:val="07864209"/>
    <w:rsid w:val="081A158C"/>
    <w:rsid w:val="082E68C4"/>
    <w:rsid w:val="083A361A"/>
    <w:rsid w:val="084362D1"/>
    <w:rsid w:val="08494A41"/>
    <w:rsid w:val="08A56A72"/>
    <w:rsid w:val="08AB2A78"/>
    <w:rsid w:val="08EB8B04"/>
    <w:rsid w:val="092217DD"/>
    <w:rsid w:val="0926781E"/>
    <w:rsid w:val="09309007"/>
    <w:rsid w:val="093A7294"/>
    <w:rsid w:val="09654372"/>
    <w:rsid w:val="09AD2FDB"/>
    <w:rsid w:val="09CC13FE"/>
    <w:rsid w:val="09CD3881"/>
    <w:rsid w:val="09D34CA3"/>
    <w:rsid w:val="0A032D42"/>
    <w:rsid w:val="0A14E84F"/>
    <w:rsid w:val="0A263993"/>
    <w:rsid w:val="0A2D3AC2"/>
    <w:rsid w:val="0A2F6380"/>
    <w:rsid w:val="0A33123D"/>
    <w:rsid w:val="0A6E2EAD"/>
    <w:rsid w:val="0AA755DF"/>
    <w:rsid w:val="0ACD4D8E"/>
    <w:rsid w:val="0B0334C5"/>
    <w:rsid w:val="0B120D44"/>
    <w:rsid w:val="0B1A28EF"/>
    <w:rsid w:val="0B8F0105"/>
    <w:rsid w:val="0BA65428"/>
    <w:rsid w:val="0BCD7BEE"/>
    <w:rsid w:val="0BD27BF6"/>
    <w:rsid w:val="0BEA35C6"/>
    <w:rsid w:val="0C2B7DA7"/>
    <w:rsid w:val="0C3B3C7D"/>
    <w:rsid w:val="0C491B5C"/>
    <w:rsid w:val="0C58787F"/>
    <w:rsid w:val="0C694752"/>
    <w:rsid w:val="0C81ADFB"/>
    <w:rsid w:val="0C8B1482"/>
    <w:rsid w:val="0CAB2EAE"/>
    <w:rsid w:val="0CAD482A"/>
    <w:rsid w:val="0CBF2089"/>
    <w:rsid w:val="0CC00280"/>
    <w:rsid w:val="0CC979D9"/>
    <w:rsid w:val="0CE24473"/>
    <w:rsid w:val="0D042539"/>
    <w:rsid w:val="0D0D3811"/>
    <w:rsid w:val="0D1321C5"/>
    <w:rsid w:val="0D621C7D"/>
    <w:rsid w:val="0DC44B14"/>
    <w:rsid w:val="0DE51D85"/>
    <w:rsid w:val="0DF76096"/>
    <w:rsid w:val="0E403BDD"/>
    <w:rsid w:val="0E671E09"/>
    <w:rsid w:val="0E73034D"/>
    <w:rsid w:val="0E7679FF"/>
    <w:rsid w:val="0E845DF6"/>
    <w:rsid w:val="0EF82B85"/>
    <w:rsid w:val="0EFEAAF8"/>
    <w:rsid w:val="0F13775A"/>
    <w:rsid w:val="0F5F45FE"/>
    <w:rsid w:val="0F647B63"/>
    <w:rsid w:val="0F691B0D"/>
    <w:rsid w:val="0F734F78"/>
    <w:rsid w:val="0F786D63"/>
    <w:rsid w:val="0F9A112B"/>
    <w:rsid w:val="0FAA583C"/>
    <w:rsid w:val="0FBF2D60"/>
    <w:rsid w:val="0FC656AD"/>
    <w:rsid w:val="0FDC55EF"/>
    <w:rsid w:val="100C23CB"/>
    <w:rsid w:val="106B4A1B"/>
    <w:rsid w:val="106D2F64"/>
    <w:rsid w:val="107F0D3B"/>
    <w:rsid w:val="1088F197"/>
    <w:rsid w:val="10A53B10"/>
    <w:rsid w:val="10AA6ADE"/>
    <w:rsid w:val="10B63710"/>
    <w:rsid w:val="10CB92E0"/>
    <w:rsid w:val="10D219BD"/>
    <w:rsid w:val="10D80737"/>
    <w:rsid w:val="10F10820"/>
    <w:rsid w:val="10FE2C78"/>
    <w:rsid w:val="11150534"/>
    <w:rsid w:val="11194F72"/>
    <w:rsid w:val="111C2F7A"/>
    <w:rsid w:val="11245B1D"/>
    <w:rsid w:val="1127490B"/>
    <w:rsid w:val="11534F58"/>
    <w:rsid w:val="11665CA1"/>
    <w:rsid w:val="118906CF"/>
    <w:rsid w:val="118F440A"/>
    <w:rsid w:val="11AE50AD"/>
    <w:rsid w:val="11CD1600"/>
    <w:rsid w:val="11E977FF"/>
    <w:rsid w:val="11F82532"/>
    <w:rsid w:val="122704B0"/>
    <w:rsid w:val="12353631"/>
    <w:rsid w:val="124447EA"/>
    <w:rsid w:val="129023C4"/>
    <w:rsid w:val="12CF2A35"/>
    <w:rsid w:val="13142389"/>
    <w:rsid w:val="13462423"/>
    <w:rsid w:val="13476C55"/>
    <w:rsid w:val="13500E97"/>
    <w:rsid w:val="13691F11"/>
    <w:rsid w:val="137D2C1A"/>
    <w:rsid w:val="13951726"/>
    <w:rsid w:val="13AD4A7F"/>
    <w:rsid w:val="13F7672C"/>
    <w:rsid w:val="140523F9"/>
    <w:rsid w:val="14396509"/>
    <w:rsid w:val="14757D15"/>
    <w:rsid w:val="14780503"/>
    <w:rsid w:val="148360FF"/>
    <w:rsid w:val="14BE1C15"/>
    <w:rsid w:val="14C75E26"/>
    <w:rsid w:val="14CF70DC"/>
    <w:rsid w:val="14DD2C3C"/>
    <w:rsid w:val="14F9367F"/>
    <w:rsid w:val="14FB6D57"/>
    <w:rsid w:val="15621F3B"/>
    <w:rsid w:val="16023010"/>
    <w:rsid w:val="16087E1D"/>
    <w:rsid w:val="16174A9B"/>
    <w:rsid w:val="161825EF"/>
    <w:rsid w:val="16451A82"/>
    <w:rsid w:val="167D57C1"/>
    <w:rsid w:val="16B21764"/>
    <w:rsid w:val="16CC0575"/>
    <w:rsid w:val="1734080B"/>
    <w:rsid w:val="17466AF9"/>
    <w:rsid w:val="17701D14"/>
    <w:rsid w:val="17735226"/>
    <w:rsid w:val="1779465F"/>
    <w:rsid w:val="17A8428D"/>
    <w:rsid w:val="17AF79E2"/>
    <w:rsid w:val="17D77D9A"/>
    <w:rsid w:val="1801F507"/>
    <w:rsid w:val="184C654F"/>
    <w:rsid w:val="18664544"/>
    <w:rsid w:val="18734CB6"/>
    <w:rsid w:val="18847C92"/>
    <w:rsid w:val="189F624C"/>
    <w:rsid w:val="18B135CE"/>
    <w:rsid w:val="191E2F47"/>
    <w:rsid w:val="19322A98"/>
    <w:rsid w:val="19603A01"/>
    <w:rsid w:val="19681485"/>
    <w:rsid w:val="198E4D45"/>
    <w:rsid w:val="19B12923"/>
    <w:rsid w:val="19C4167E"/>
    <w:rsid w:val="19CF2009"/>
    <w:rsid w:val="1A045DC3"/>
    <w:rsid w:val="1A1C66C0"/>
    <w:rsid w:val="1A42393B"/>
    <w:rsid w:val="1AAC040D"/>
    <w:rsid w:val="1AAD45DE"/>
    <w:rsid w:val="1AC23DE4"/>
    <w:rsid w:val="1AC479C6"/>
    <w:rsid w:val="1AD74D62"/>
    <w:rsid w:val="1AE63F09"/>
    <w:rsid w:val="1AEC5052"/>
    <w:rsid w:val="1B046F80"/>
    <w:rsid w:val="1B061AD4"/>
    <w:rsid w:val="1B17119F"/>
    <w:rsid w:val="1B3267B5"/>
    <w:rsid w:val="1B40161D"/>
    <w:rsid w:val="1B441859"/>
    <w:rsid w:val="1B6606B1"/>
    <w:rsid w:val="1B671CCD"/>
    <w:rsid w:val="1B99454C"/>
    <w:rsid w:val="1BC82E20"/>
    <w:rsid w:val="1C0603B4"/>
    <w:rsid w:val="1C5E7925"/>
    <w:rsid w:val="1CAC0D33"/>
    <w:rsid w:val="1CFB74FA"/>
    <w:rsid w:val="1CFD070F"/>
    <w:rsid w:val="1D0713EE"/>
    <w:rsid w:val="1D434847"/>
    <w:rsid w:val="1D5F6196"/>
    <w:rsid w:val="1D6132A5"/>
    <w:rsid w:val="1D7125E9"/>
    <w:rsid w:val="1D7E67A7"/>
    <w:rsid w:val="1D8E56D5"/>
    <w:rsid w:val="1D8F660A"/>
    <w:rsid w:val="1DAF370A"/>
    <w:rsid w:val="1DD70D54"/>
    <w:rsid w:val="1DEB181E"/>
    <w:rsid w:val="1E5D1F46"/>
    <w:rsid w:val="1E6B75F4"/>
    <w:rsid w:val="1E7A43DA"/>
    <w:rsid w:val="1E967206"/>
    <w:rsid w:val="1EB5787B"/>
    <w:rsid w:val="1EB77007"/>
    <w:rsid w:val="1F39030C"/>
    <w:rsid w:val="1F3DF2A6"/>
    <w:rsid w:val="1F600128"/>
    <w:rsid w:val="1F906754"/>
    <w:rsid w:val="1FAA48A3"/>
    <w:rsid w:val="1FE7539E"/>
    <w:rsid w:val="200E4CC8"/>
    <w:rsid w:val="2049669C"/>
    <w:rsid w:val="2056318F"/>
    <w:rsid w:val="20671BE0"/>
    <w:rsid w:val="20963CB8"/>
    <w:rsid w:val="20A305E0"/>
    <w:rsid w:val="20A81A1B"/>
    <w:rsid w:val="20AF7474"/>
    <w:rsid w:val="20B07FB6"/>
    <w:rsid w:val="20B120D5"/>
    <w:rsid w:val="20B646FB"/>
    <w:rsid w:val="20F32DB9"/>
    <w:rsid w:val="21041118"/>
    <w:rsid w:val="213B74B1"/>
    <w:rsid w:val="213E6B61"/>
    <w:rsid w:val="215975D7"/>
    <w:rsid w:val="215A2310"/>
    <w:rsid w:val="216125F1"/>
    <w:rsid w:val="217E7B40"/>
    <w:rsid w:val="219F7246"/>
    <w:rsid w:val="21DE318A"/>
    <w:rsid w:val="21EF5B80"/>
    <w:rsid w:val="22124AF5"/>
    <w:rsid w:val="224D77D3"/>
    <w:rsid w:val="22576990"/>
    <w:rsid w:val="2279041B"/>
    <w:rsid w:val="22D447A0"/>
    <w:rsid w:val="22D87613"/>
    <w:rsid w:val="22F47480"/>
    <w:rsid w:val="230E236D"/>
    <w:rsid w:val="2344619B"/>
    <w:rsid w:val="234E4553"/>
    <w:rsid w:val="23537E6F"/>
    <w:rsid w:val="2393373D"/>
    <w:rsid w:val="23CD1507"/>
    <w:rsid w:val="23DE1C48"/>
    <w:rsid w:val="23FA1B72"/>
    <w:rsid w:val="24001599"/>
    <w:rsid w:val="240210CD"/>
    <w:rsid w:val="242F068A"/>
    <w:rsid w:val="24340104"/>
    <w:rsid w:val="246B3C28"/>
    <w:rsid w:val="247D2D23"/>
    <w:rsid w:val="247F3C8A"/>
    <w:rsid w:val="248B0892"/>
    <w:rsid w:val="24976248"/>
    <w:rsid w:val="24AE1F6D"/>
    <w:rsid w:val="24BF09F7"/>
    <w:rsid w:val="24FA24A0"/>
    <w:rsid w:val="250529CB"/>
    <w:rsid w:val="251EC83B"/>
    <w:rsid w:val="25202D6C"/>
    <w:rsid w:val="25276E09"/>
    <w:rsid w:val="252D53FE"/>
    <w:rsid w:val="259F4E64"/>
    <w:rsid w:val="25A84ED7"/>
    <w:rsid w:val="25EC2D81"/>
    <w:rsid w:val="25EF548B"/>
    <w:rsid w:val="25F94F43"/>
    <w:rsid w:val="263468FE"/>
    <w:rsid w:val="263C1176"/>
    <w:rsid w:val="265F1DFF"/>
    <w:rsid w:val="26FB7B7F"/>
    <w:rsid w:val="2701548B"/>
    <w:rsid w:val="271D1CD4"/>
    <w:rsid w:val="27442B22"/>
    <w:rsid w:val="27593FFF"/>
    <w:rsid w:val="277057A2"/>
    <w:rsid w:val="278D766B"/>
    <w:rsid w:val="27934226"/>
    <w:rsid w:val="27D86AE1"/>
    <w:rsid w:val="27E727E9"/>
    <w:rsid w:val="281014AE"/>
    <w:rsid w:val="281E141E"/>
    <w:rsid w:val="283B1D67"/>
    <w:rsid w:val="28457CB8"/>
    <w:rsid w:val="285A1BEC"/>
    <w:rsid w:val="287C601E"/>
    <w:rsid w:val="28CC49E1"/>
    <w:rsid w:val="28DC43AF"/>
    <w:rsid w:val="29206EB8"/>
    <w:rsid w:val="292678BE"/>
    <w:rsid w:val="29595666"/>
    <w:rsid w:val="29874881"/>
    <w:rsid w:val="298B574A"/>
    <w:rsid w:val="299C7183"/>
    <w:rsid w:val="29A9603F"/>
    <w:rsid w:val="29C3766D"/>
    <w:rsid w:val="29E3242D"/>
    <w:rsid w:val="29E325E0"/>
    <w:rsid w:val="2A047719"/>
    <w:rsid w:val="2A211DB5"/>
    <w:rsid w:val="2A452503"/>
    <w:rsid w:val="2A6B59EA"/>
    <w:rsid w:val="2AB71ADF"/>
    <w:rsid w:val="2AD36212"/>
    <w:rsid w:val="2B1F337E"/>
    <w:rsid w:val="2B2C2204"/>
    <w:rsid w:val="2B34321A"/>
    <w:rsid w:val="2B4435F3"/>
    <w:rsid w:val="2B5F1E17"/>
    <w:rsid w:val="2B8A1021"/>
    <w:rsid w:val="2BA936A8"/>
    <w:rsid w:val="2BC862A0"/>
    <w:rsid w:val="2BDB39B0"/>
    <w:rsid w:val="2C206CE0"/>
    <w:rsid w:val="2C315A5A"/>
    <w:rsid w:val="2C3BB451"/>
    <w:rsid w:val="2C4B1C25"/>
    <w:rsid w:val="2C6B3997"/>
    <w:rsid w:val="2C7F4C87"/>
    <w:rsid w:val="2CAD22EA"/>
    <w:rsid w:val="2CAD398C"/>
    <w:rsid w:val="2CB5592F"/>
    <w:rsid w:val="2CE07DA4"/>
    <w:rsid w:val="2D013D63"/>
    <w:rsid w:val="2D2D6F87"/>
    <w:rsid w:val="2D5B091A"/>
    <w:rsid w:val="2D6946F4"/>
    <w:rsid w:val="2D847AE0"/>
    <w:rsid w:val="2D86D07F"/>
    <w:rsid w:val="2D991C48"/>
    <w:rsid w:val="2D9E56F5"/>
    <w:rsid w:val="2DAC0A59"/>
    <w:rsid w:val="2DB12213"/>
    <w:rsid w:val="2DD06A73"/>
    <w:rsid w:val="2DE36310"/>
    <w:rsid w:val="2DFC0551"/>
    <w:rsid w:val="2E383A59"/>
    <w:rsid w:val="2E527F1F"/>
    <w:rsid w:val="2E667F96"/>
    <w:rsid w:val="2E6A64B6"/>
    <w:rsid w:val="2E6B7C9A"/>
    <w:rsid w:val="2E6C3DC5"/>
    <w:rsid w:val="2E8226AB"/>
    <w:rsid w:val="2E844FF2"/>
    <w:rsid w:val="2EE900A0"/>
    <w:rsid w:val="2F3266DB"/>
    <w:rsid w:val="2F3406E6"/>
    <w:rsid w:val="2F7C6A46"/>
    <w:rsid w:val="2F8C198F"/>
    <w:rsid w:val="2FA775F0"/>
    <w:rsid w:val="2FB64D4D"/>
    <w:rsid w:val="2FC27737"/>
    <w:rsid w:val="2FD065E6"/>
    <w:rsid w:val="2FD1E47A"/>
    <w:rsid w:val="2FD96870"/>
    <w:rsid w:val="2FEC3129"/>
    <w:rsid w:val="2FF849A2"/>
    <w:rsid w:val="2FFC5A19"/>
    <w:rsid w:val="2FFF78F5"/>
    <w:rsid w:val="303E1ABE"/>
    <w:rsid w:val="30511218"/>
    <w:rsid w:val="30580BC9"/>
    <w:rsid w:val="308B94FD"/>
    <w:rsid w:val="30BC7F8B"/>
    <w:rsid w:val="30E34627"/>
    <w:rsid w:val="30F304E8"/>
    <w:rsid w:val="30F9087C"/>
    <w:rsid w:val="310A6278"/>
    <w:rsid w:val="311E2ED7"/>
    <w:rsid w:val="312717D9"/>
    <w:rsid w:val="31306953"/>
    <w:rsid w:val="313E014F"/>
    <w:rsid w:val="315619EE"/>
    <w:rsid w:val="3159210B"/>
    <w:rsid w:val="315C449C"/>
    <w:rsid w:val="31740F97"/>
    <w:rsid w:val="31752A77"/>
    <w:rsid w:val="31B13D79"/>
    <w:rsid w:val="31B41DD4"/>
    <w:rsid w:val="31B82709"/>
    <w:rsid w:val="31D05482"/>
    <w:rsid w:val="31E13BB8"/>
    <w:rsid w:val="31F767B3"/>
    <w:rsid w:val="3223233D"/>
    <w:rsid w:val="32400B34"/>
    <w:rsid w:val="329C08D6"/>
    <w:rsid w:val="329E6876"/>
    <w:rsid w:val="332D79EE"/>
    <w:rsid w:val="333015F2"/>
    <w:rsid w:val="334A0373"/>
    <w:rsid w:val="334A437E"/>
    <w:rsid w:val="334B6320"/>
    <w:rsid w:val="3365442F"/>
    <w:rsid w:val="33A2BA34"/>
    <w:rsid w:val="33D82C6A"/>
    <w:rsid w:val="33D934D4"/>
    <w:rsid w:val="33FE2F6A"/>
    <w:rsid w:val="340E07E5"/>
    <w:rsid w:val="342310E4"/>
    <w:rsid w:val="34235BF7"/>
    <w:rsid w:val="342B14CA"/>
    <w:rsid w:val="34480231"/>
    <w:rsid w:val="345772F8"/>
    <w:rsid w:val="34B56223"/>
    <w:rsid w:val="34E1130F"/>
    <w:rsid w:val="35687D20"/>
    <w:rsid w:val="358B128C"/>
    <w:rsid w:val="358C5FA8"/>
    <w:rsid w:val="35A37FDB"/>
    <w:rsid w:val="35AD0B48"/>
    <w:rsid w:val="35C15DF1"/>
    <w:rsid w:val="35E71A31"/>
    <w:rsid w:val="36074A7F"/>
    <w:rsid w:val="36242833"/>
    <w:rsid w:val="36923549"/>
    <w:rsid w:val="36B030FD"/>
    <w:rsid w:val="36B24A55"/>
    <w:rsid w:val="36B75FBF"/>
    <w:rsid w:val="36BD0C45"/>
    <w:rsid w:val="3718D4D6"/>
    <w:rsid w:val="371A493C"/>
    <w:rsid w:val="3752049B"/>
    <w:rsid w:val="378AC5F2"/>
    <w:rsid w:val="37950F37"/>
    <w:rsid w:val="37A9315F"/>
    <w:rsid w:val="37D20632"/>
    <w:rsid w:val="37DD6F85"/>
    <w:rsid w:val="37E00298"/>
    <w:rsid w:val="380204C2"/>
    <w:rsid w:val="38201673"/>
    <w:rsid w:val="386012D7"/>
    <w:rsid w:val="38683C98"/>
    <w:rsid w:val="38A5381D"/>
    <w:rsid w:val="38A74BE1"/>
    <w:rsid w:val="38B302F9"/>
    <w:rsid w:val="38CB2981"/>
    <w:rsid w:val="38F12CD3"/>
    <w:rsid w:val="38F94775"/>
    <w:rsid w:val="38FD1F03"/>
    <w:rsid w:val="39143AF4"/>
    <w:rsid w:val="39146499"/>
    <w:rsid w:val="392267E1"/>
    <w:rsid w:val="392971ED"/>
    <w:rsid w:val="39325651"/>
    <w:rsid w:val="394C6392"/>
    <w:rsid w:val="39506CA1"/>
    <w:rsid w:val="3955374B"/>
    <w:rsid w:val="39A35E14"/>
    <w:rsid w:val="39D71ECC"/>
    <w:rsid w:val="39DF6EE9"/>
    <w:rsid w:val="39F20C9E"/>
    <w:rsid w:val="39FF700B"/>
    <w:rsid w:val="3A325BDD"/>
    <w:rsid w:val="3A4B317A"/>
    <w:rsid w:val="3A4D2513"/>
    <w:rsid w:val="3A872856"/>
    <w:rsid w:val="3A8B5E7E"/>
    <w:rsid w:val="3A9F6340"/>
    <w:rsid w:val="3AAF22A4"/>
    <w:rsid w:val="3AB5592C"/>
    <w:rsid w:val="3AEF23C1"/>
    <w:rsid w:val="3AFF6CDD"/>
    <w:rsid w:val="3B2C6AD0"/>
    <w:rsid w:val="3B33E222"/>
    <w:rsid w:val="3B365F05"/>
    <w:rsid w:val="3B3763D1"/>
    <w:rsid w:val="3B6742E9"/>
    <w:rsid w:val="3B794A25"/>
    <w:rsid w:val="3B95269E"/>
    <w:rsid w:val="3BE2487C"/>
    <w:rsid w:val="3C2F6E1E"/>
    <w:rsid w:val="3C4F64BA"/>
    <w:rsid w:val="3C502C92"/>
    <w:rsid w:val="3C667CBC"/>
    <w:rsid w:val="3C737F19"/>
    <w:rsid w:val="3C961B9F"/>
    <w:rsid w:val="3CB279C7"/>
    <w:rsid w:val="3CB6574F"/>
    <w:rsid w:val="3CC82E9A"/>
    <w:rsid w:val="3CC90CE8"/>
    <w:rsid w:val="3CDA245A"/>
    <w:rsid w:val="3CF45C14"/>
    <w:rsid w:val="3D151130"/>
    <w:rsid w:val="3D1E06B7"/>
    <w:rsid w:val="3D7F2C87"/>
    <w:rsid w:val="3DAB9D4C"/>
    <w:rsid w:val="3DB56DA3"/>
    <w:rsid w:val="3DEB734C"/>
    <w:rsid w:val="3DFBB0AC"/>
    <w:rsid w:val="3E1637CD"/>
    <w:rsid w:val="3E315ABC"/>
    <w:rsid w:val="3E35227B"/>
    <w:rsid w:val="3E6155B3"/>
    <w:rsid w:val="3E6F12DD"/>
    <w:rsid w:val="3E750F6E"/>
    <w:rsid w:val="3EC83B16"/>
    <w:rsid w:val="3EDA0523"/>
    <w:rsid w:val="3EFC1D8A"/>
    <w:rsid w:val="3F05111A"/>
    <w:rsid w:val="3F49590A"/>
    <w:rsid w:val="3F4E2C17"/>
    <w:rsid w:val="3F660589"/>
    <w:rsid w:val="3F8C2233"/>
    <w:rsid w:val="3F907873"/>
    <w:rsid w:val="3FA0554F"/>
    <w:rsid w:val="3FA9432F"/>
    <w:rsid w:val="3FC60CCF"/>
    <w:rsid w:val="3FED57F5"/>
    <w:rsid w:val="40664832"/>
    <w:rsid w:val="406D48F2"/>
    <w:rsid w:val="407A6407"/>
    <w:rsid w:val="40BB1C91"/>
    <w:rsid w:val="40C05891"/>
    <w:rsid w:val="40CEB93C"/>
    <w:rsid w:val="41123FC3"/>
    <w:rsid w:val="411249BA"/>
    <w:rsid w:val="411629D0"/>
    <w:rsid w:val="41357E7D"/>
    <w:rsid w:val="416F9ABB"/>
    <w:rsid w:val="41CE787B"/>
    <w:rsid w:val="41D83761"/>
    <w:rsid w:val="41DF4376"/>
    <w:rsid w:val="41E550D2"/>
    <w:rsid w:val="4200449D"/>
    <w:rsid w:val="423A3BCC"/>
    <w:rsid w:val="424E57D2"/>
    <w:rsid w:val="428C3414"/>
    <w:rsid w:val="429B3481"/>
    <w:rsid w:val="42B26C49"/>
    <w:rsid w:val="42B77F6E"/>
    <w:rsid w:val="42BF5C8E"/>
    <w:rsid w:val="42F62291"/>
    <w:rsid w:val="43190041"/>
    <w:rsid w:val="43252390"/>
    <w:rsid w:val="432D0A95"/>
    <w:rsid w:val="433A6FE6"/>
    <w:rsid w:val="43402B23"/>
    <w:rsid w:val="43480868"/>
    <w:rsid w:val="4350713C"/>
    <w:rsid w:val="436653E0"/>
    <w:rsid w:val="437041B5"/>
    <w:rsid w:val="437672F2"/>
    <w:rsid w:val="438E30A0"/>
    <w:rsid w:val="43A2ECBF"/>
    <w:rsid w:val="43C4431A"/>
    <w:rsid w:val="441B5933"/>
    <w:rsid w:val="441B7F3D"/>
    <w:rsid w:val="4420272E"/>
    <w:rsid w:val="44646E67"/>
    <w:rsid w:val="447F4663"/>
    <w:rsid w:val="44B951CC"/>
    <w:rsid w:val="44CD14E0"/>
    <w:rsid w:val="44F20B0B"/>
    <w:rsid w:val="45085328"/>
    <w:rsid w:val="452A04D6"/>
    <w:rsid w:val="452E5F4C"/>
    <w:rsid w:val="452F4778"/>
    <w:rsid w:val="454C3545"/>
    <w:rsid w:val="45612018"/>
    <w:rsid w:val="45816026"/>
    <w:rsid w:val="458946E9"/>
    <w:rsid w:val="458D1021"/>
    <w:rsid w:val="45A47C0E"/>
    <w:rsid w:val="45AB2149"/>
    <w:rsid w:val="45B194B7"/>
    <w:rsid w:val="45DC6A5F"/>
    <w:rsid w:val="46060D46"/>
    <w:rsid w:val="461301C0"/>
    <w:rsid w:val="464E2A4E"/>
    <w:rsid w:val="46577FD6"/>
    <w:rsid w:val="465E293F"/>
    <w:rsid w:val="468C2B19"/>
    <w:rsid w:val="469D2F78"/>
    <w:rsid w:val="46C41764"/>
    <w:rsid w:val="46D318AF"/>
    <w:rsid w:val="46D955A7"/>
    <w:rsid w:val="46D96D6B"/>
    <w:rsid w:val="46EC25CA"/>
    <w:rsid w:val="47133957"/>
    <w:rsid w:val="473E02C3"/>
    <w:rsid w:val="474D05F5"/>
    <w:rsid w:val="47A07E0C"/>
    <w:rsid w:val="47AC03C3"/>
    <w:rsid w:val="47C0188D"/>
    <w:rsid w:val="48010DF2"/>
    <w:rsid w:val="484C6C69"/>
    <w:rsid w:val="4870272E"/>
    <w:rsid w:val="48946145"/>
    <w:rsid w:val="48A21E67"/>
    <w:rsid w:val="48CE6029"/>
    <w:rsid w:val="48E50663"/>
    <w:rsid w:val="48F363AA"/>
    <w:rsid w:val="49771512"/>
    <w:rsid w:val="49DC7715"/>
    <w:rsid w:val="49F36EFC"/>
    <w:rsid w:val="49FA1E24"/>
    <w:rsid w:val="49FB0D9D"/>
    <w:rsid w:val="4A023139"/>
    <w:rsid w:val="4A167C39"/>
    <w:rsid w:val="4A1D4120"/>
    <w:rsid w:val="4A1E395F"/>
    <w:rsid w:val="4A7B576F"/>
    <w:rsid w:val="4AB20744"/>
    <w:rsid w:val="4ACC7C9A"/>
    <w:rsid w:val="4AE747C1"/>
    <w:rsid w:val="4AF561A9"/>
    <w:rsid w:val="4B2A1898"/>
    <w:rsid w:val="4B70299B"/>
    <w:rsid w:val="4B7F4207"/>
    <w:rsid w:val="4B84176D"/>
    <w:rsid w:val="4B8D5369"/>
    <w:rsid w:val="4BA353E1"/>
    <w:rsid w:val="4BC76C5D"/>
    <w:rsid w:val="4C3B710F"/>
    <w:rsid w:val="4C450A5A"/>
    <w:rsid w:val="4C4A0649"/>
    <w:rsid w:val="4C526940"/>
    <w:rsid w:val="4C75B58E"/>
    <w:rsid w:val="4C777BB3"/>
    <w:rsid w:val="4C7E5ECA"/>
    <w:rsid w:val="4C876AA5"/>
    <w:rsid w:val="4CA326F6"/>
    <w:rsid w:val="4CC836C2"/>
    <w:rsid w:val="4D0E00FB"/>
    <w:rsid w:val="4D144ADB"/>
    <w:rsid w:val="4D1674A3"/>
    <w:rsid w:val="4D176606"/>
    <w:rsid w:val="4D226238"/>
    <w:rsid w:val="4D2E3C4C"/>
    <w:rsid w:val="4D342A94"/>
    <w:rsid w:val="4DCF1001"/>
    <w:rsid w:val="4DEC4FB0"/>
    <w:rsid w:val="4DF54D5C"/>
    <w:rsid w:val="4DF87481"/>
    <w:rsid w:val="4E075D8A"/>
    <w:rsid w:val="4E11692A"/>
    <w:rsid w:val="4E195284"/>
    <w:rsid w:val="4E634AD4"/>
    <w:rsid w:val="4E845D47"/>
    <w:rsid w:val="4EC00FAD"/>
    <w:rsid w:val="4EDE412D"/>
    <w:rsid w:val="4F0C618C"/>
    <w:rsid w:val="4F391736"/>
    <w:rsid w:val="4F566000"/>
    <w:rsid w:val="4F6B219B"/>
    <w:rsid w:val="4F886F2A"/>
    <w:rsid w:val="4F9843DC"/>
    <w:rsid w:val="4FC37066"/>
    <w:rsid w:val="4FC62A8C"/>
    <w:rsid w:val="4FD14BE2"/>
    <w:rsid w:val="4FDD65CE"/>
    <w:rsid w:val="4FE20F0D"/>
    <w:rsid w:val="4FE51552"/>
    <w:rsid w:val="50036960"/>
    <w:rsid w:val="50504C4B"/>
    <w:rsid w:val="509C6E7C"/>
    <w:rsid w:val="50AFA05F"/>
    <w:rsid w:val="50B9752A"/>
    <w:rsid w:val="50D15CF8"/>
    <w:rsid w:val="50D94BAC"/>
    <w:rsid w:val="51002139"/>
    <w:rsid w:val="512757C6"/>
    <w:rsid w:val="51293D08"/>
    <w:rsid w:val="5162104E"/>
    <w:rsid w:val="516E1798"/>
    <w:rsid w:val="518733C8"/>
    <w:rsid w:val="51BE7DA9"/>
    <w:rsid w:val="51D91EDF"/>
    <w:rsid w:val="51F07A9F"/>
    <w:rsid w:val="520143BB"/>
    <w:rsid w:val="52170C3C"/>
    <w:rsid w:val="52195570"/>
    <w:rsid w:val="52640102"/>
    <w:rsid w:val="52923C71"/>
    <w:rsid w:val="52B70B78"/>
    <w:rsid w:val="52DB5A61"/>
    <w:rsid w:val="52ECDE1D"/>
    <w:rsid w:val="532BE711"/>
    <w:rsid w:val="536E6D97"/>
    <w:rsid w:val="53955D02"/>
    <w:rsid w:val="539F5E81"/>
    <w:rsid w:val="53A039CC"/>
    <w:rsid w:val="53A1505A"/>
    <w:rsid w:val="53AC3BF5"/>
    <w:rsid w:val="53AF33AB"/>
    <w:rsid w:val="53B07BC1"/>
    <w:rsid w:val="53CD37FA"/>
    <w:rsid w:val="53D87412"/>
    <w:rsid w:val="54063E08"/>
    <w:rsid w:val="54216F96"/>
    <w:rsid w:val="54240085"/>
    <w:rsid w:val="543437E8"/>
    <w:rsid w:val="5492579E"/>
    <w:rsid w:val="54A5642D"/>
    <w:rsid w:val="54AB76A8"/>
    <w:rsid w:val="54B53556"/>
    <w:rsid w:val="54F73313"/>
    <w:rsid w:val="54F80955"/>
    <w:rsid w:val="55336AD1"/>
    <w:rsid w:val="55460720"/>
    <w:rsid w:val="554A3617"/>
    <w:rsid w:val="555170A7"/>
    <w:rsid w:val="55587852"/>
    <w:rsid w:val="5587536D"/>
    <w:rsid w:val="55991640"/>
    <w:rsid w:val="559B174B"/>
    <w:rsid w:val="55CE0CF4"/>
    <w:rsid w:val="55DD177B"/>
    <w:rsid w:val="55E22AF1"/>
    <w:rsid w:val="55E51001"/>
    <w:rsid w:val="56300EF1"/>
    <w:rsid w:val="56373C99"/>
    <w:rsid w:val="568E7272"/>
    <w:rsid w:val="56B22A9C"/>
    <w:rsid w:val="56B97C05"/>
    <w:rsid w:val="56C30913"/>
    <w:rsid w:val="5710EB3F"/>
    <w:rsid w:val="571B136B"/>
    <w:rsid w:val="571C5406"/>
    <w:rsid w:val="572ED7B2"/>
    <w:rsid w:val="573643F8"/>
    <w:rsid w:val="57391A72"/>
    <w:rsid w:val="573C642E"/>
    <w:rsid w:val="5750429E"/>
    <w:rsid w:val="577D6618"/>
    <w:rsid w:val="578C1678"/>
    <w:rsid w:val="57B72A76"/>
    <w:rsid w:val="57C3426C"/>
    <w:rsid w:val="57CE1F93"/>
    <w:rsid w:val="57F187A5"/>
    <w:rsid w:val="58186A70"/>
    <w:rsid w:val="58242286"/>
    <w:rsid w:val="58550FBC"/>
    <w:rsid w:val="58781587"/>
    <w:rsid w:val="588458EF"/>
    <w:rsid w:val="588743D1"/>
    <w:rsid w:val="5887701A"/>
    <w:rsid w:val="58EE4EB9"/>
    <w:rsid w:val="58FC3B2E"/>
    <w:rsid w:val="58FF02A8"/>
    <w:rsid w:val="591C3C15"/>
    <w:rsid w:val="59330D43"/>
    <w:rsid w:val="598002BB"/>
    <w:rsid w:val="59A80DC6"/>
    <w:rsid w:val="59A91890"/>
    <w:rsid w:val="59C0439F"/>
    <w:rsid w:val="59C41D2E"/>
    <w:rsid w:val="59E116F5"/>
    <w:rsid w:val="59F46060"/>
    <w:rsid w:val="5A5A2E88"/>
    <w:rsid w:val="5A6905FB"/>
    <w:rsid w:val="5A9C1FCA"/>
    <w:rsid w:val="5ABE2233"/>
    <w:rsid w:val="5AD570C6"/>
    <w:rsid w:val="5AE91B94"/>
    <w:rsid w:val="5B1F1429"/>
    <w:rsid w:val="5B5D2B58"/>
    <w:rsid w:val="5B75149B"/>
    <w:rsid w:val="5BAD2843"/>
    <w:rsid w:val="5BBA31A5"/>
    <w:rsid w:val="5BBA55DA"/>
    <w:rsid w:val="5BBD7E0F"/>
    <w:rsid w:val="5BC576D9"/>
    <w:rsid w:val="5BCA3A6F"/>
    <w:rsid w:val="5BCD2DC9"/>
    <w:rsid w:val="5BD26DDE"/>
    <w:rsid w:val="5BD424E2"/>
    <w:rsid w:val="5BDF5D95"/>
    <w:rsid w:val="5BFE7528"/>
    <w:rsid w:val="5C01479F"/>
    <w:rsid w:val="5C055938"/>
    <w:rsid w:val="5C32E7ED"/>
    <w:rsid w:val="5C700CA7"/>
    <w:rsid w:val="5C9F4156"/>
    <w:rsid w:val="5CA427B4"/>
    <w:rsid w:val="5CE350A5"/>
    <w:rsid w:val="5D091318"/>
    <w:rsid w:val="5D0A5852"/>
    <w:rsid w:val="5D3D5B2A"/>
    <w:rsid w:val="5D433089"/>
    <w:rsid w:val="5D4C7F90"/>
    <w:rsid w:val="5D781D1A"/>
    <w:rsid w:val="5D78495C"/>
    <w:rsid w:val="5D877D74"/>
    <w:rsid w:val="5D99C192"/>
    <w:rsid w:val="5DAA7FFC"/>
    <w:rsid w:val="5DAD5CC1"/>
    <w:rsid w:val="5DD024A2"/>
    <w:rsid w:val="5DD616AD"/>
    <w:rsid w:val="5DDE1A54"/>
    <w:rsid w:val="5DEA39E3"/>
    <w:rsid w:val="5DFC7BEF"/>
    <w:rsid w:val="5E1B4D43"/>
    <w:rsid w:val="5E2467F1"/>
    <w:rsid w:val="5E587A58"/>
    <w:rsid w:val="5E6F6192"/>
    <w:rsid w:val="5E761EAF"/>
    <w:rsid w:val="5EA33DFC"/>
    <w:rsid w:val="5EA66A02"/>
    <w:rsid w:val="5EF32937"/>
    <w:rsid w:val="5F1A2B43"/>
    <w:rsid w:val="5F33549B"/>
    <w:rsid w:val="5F37566B"/>
    <w:rsid w:val="5F3C6A5F"/>
    <w:rsid w:val="5F412753"/>
    <w:rsid w:val="5F59C675"/>
    <w:rsid w:val="5F7D40FD"/>
    <w:rsid w:val="5F982470"/>
    <w:rsid w:val="5F9E593F"/>
    <w:rsid w:val="5F9E5E72"/>
    <w:rsid w:val="5FB837BB"/>
    <w:rsid w:val="5FC03BA8"/>
    <w:rsid w:val="600F5761"/>
    <w:rsid w:val="602F6E50"/>
    <w:rsid w:val="60787A41"/>
    <w:rsid w:val="607E2A84"/>
    <w:rsid w:val="60894991"/>
    <w:rsid w:val="609370EE"/>
    <w:rsid w:val="60CC405A"/>
    <w:rsid w:val="60E127A8"/>
    <w:rsid w:val="60EBA275"/>
    <w:rsid w:val="61157BB5"/>
    <w:rsid w:val="612B7D71"/>
    <w:rsid w:val="612C3605"/>
    <w:rsid w:val="61316713"/>
    <w:rsid w:val="61786F60"/>
    <w:rsid w:val="61A74C04"/>
    <w:rsid w:val="61B70D24"/>
    <w:rsid w:val="61E215D8"/>
    <w:rsid w:val="621B3775"/>
    <w:rsid w:val="62347312"/>
    <w:rsid w:val="62364782"/>
    <w:rsid w:val="623844D3"/>
    <w:rsid w:val="623B035B"/>
    <w:rsid w:val="627F6C32"/>
    <w:rsid w:val="6287712B"/>
    <w:rsid w:val="628C411A"/>
    <w:rsid w:val="62D0232D"/>
    <w:rsid w:val="62F61CAD"/>
    <w:rsid w:val="633805D0"/>
    <w:rsid w:val="634585A7"/>
    <w:rsid w:val="634C5BD5"/>
    <w:rsid w:val="6366465A"/>
    <w:rsid w:val="63747B42"/>
    <w:rsid w:val="63783DBB"/>
    <w:rsid w:val="6394356A"/>
    <w:rsid w:val="63A74829"/>
    <w:rsid w:val="63B032E4"/>
    <w:rsid w:val="63C61B2C"/>
    <w:rsid w:val="63D40BE9"/>
    <w:rsid w:val="63D556A7"/>
    <w:rsid w:val="640C5AE4"/>
    <w:rsid w:val="640E3B77"/>
    <w:rsid w:val="64102431"/>
    <w:rsid w:val="642C62D7"/>
    <w:rsid w:val="6431EA10"/>
    <w:rsid w:val="645345A0"/>
    <w:rsid w:val="646904C4"/>
    <w:rsid w:val="648DA489"/>
    <w:rsid w:val="649066F5"/>
    <w:rsid w:val="64A5243A"/>
    <w:rsid w:val="64D86A52"/>
    <w:rsid w:val="64F531DE"/>
    <w:rsid w:val="651E7338"/>
    <w:rsid w:val="652601E4"/>
    <w:rsid w:val="65373578"/>
    <w:rsid w:val="654AD946"/>
    <w:rsid w:val="657D6786"/>
    <w:rsid w:val="65910CEB"/>
    <w:rsid w:val="65BA43E0"/>
    <w:rsid w:val="65E8A716"/>
    <w:rsid w:val="65F908D4"/>
    <w:rsid w:val="65FA285C"/>
    <w:rsid w:val="65FE047D"/>
    <w:rsid w:val="66440908"/>
    <w:rsid w:val="6656258F"/>
    <w:rsid w:val="667246FF"/>
    <w:rsid w:val="66BE5BC4"/>
    <w:rsid w:val="66CA51A5"/>
    <w:rsid w:val="671F124A"/>
    <w:rsid w:val="67507365"/>
    <w:rsid w:val="676807B6"/>
    <w:rsid w:val="677A33C6"/>
    <w:rsid w:val="678673E4"/>
    <w:rsid w:val="6799749C"/>
    <w:rsid w:val="679BED71"/>
    <w:rsid w:val="681F6961"/>
    <w:rsid w:val="68610A2F"/>
    <w:rsid w:val="6861575B"/>
    <w:rsid w:val="68805514"/>
    <w:rsid w:val="6884782C"/>
    <w:rsid w:val="68B33012"/>
    <w:rsid w:val="68CEBAF4"/>
    <w:rsid w:val="691602F4"/>
    <w:rsid w:val="6925158E"/>
    <w:rsid w:val="69316E2F"/>
    <w:rsid w:val="694E2071"/>
    <w:rsid w:val="69766163"/>
    <w:rsid w:val="697A3B33"/>
    <w:rsid w:val="6990611B"/>
    <w:rsid w:val="69B93160"/>
    <w:rsid w:val="69D44760"/>
    <w:rsid w:val="69F5427C"/>
    <w:rsid w:val="6A29385A"/>
    <w:rsid w:val="6A2964DE"/>
    <w:rsid w:val="6A520EC7"/>
    <w:rsid w:val="6A6E4373"/>
    <w:rsid w:val="6A75285D"/>
    <w:rsid w:val="6AA82F17"/>
    <w:rsid w:val="6AF44319"/>
    <w:rsid w:val="6AF87E20"/>
    <w:rsid w:val="6B047C25"/>
    <w:rsid w:val="6B0A1768"/>
    <w:rsid w:val="6B22444F"/>
    <w:rsid w:val="6B322639"/>
    <w:rsid w:val="6B4E448C"/>
    <w:rsid w:val="6B4F2FA2"/>
    <w:rsid w:val="6B6E308F"/>
    <w:rsid w:val="6B7B1AB7"/>
    <w:rsid w:val="6B903992"/>
    <w:rsid w:val="6C467EBA"/>
    <w:rsid w:val="6C5916AA"/>
    <w:rsid w:val="6C636C38"/>
    <w:rsid w:val="6C774A14"/>
    <w:rsid w:val="6C8C0ECD"/>
    <w:rsid w:val="6D98582E"/>
    <w:rsid w:val="6D9F3ADD"/>
    <w:rsid w:val="6DB34098"/>
    <w:rsid w:val="6DB545B6"/>
    <w:rsid w:val="6DBC51E2"/>
    <w:rsid w:val="6DE02FB4"/>
    <w:rsid w:val="6E03628F"/>
    <w:rsid w:val="6E0D21F8"/>
    <w:rsid w:val="6E2BA037"/>
    <w:rsid w:val="6E2C2368"/>
    <w:rsid w:val="6E3D4575"/>
    <w:rsid w:val="6E496A6A"/>
    <w:rsid w:val="6E514CED"/>
    <w:rsid w:val="6E7E61A5"/>
    <w:rsid w:val="6EB563D5"/>
    <w:rsid w:val="6ED4F257"/>
    <w:rsid w:val="6ED92677"/>
    <w:rsid w:val="6F225983"/>
    <w:rsid w:val="6F390B64"/>
    <w:rsid w:val="6F41EA8D"/>
    <w:rsid w:val="6F5C3995"/>
    <w:rsid w:val="6F5F03D4"/>
    <w:rsid w:val="6F742218"/>
    <w:rsid w:val="6F7F632B"/>
    <w:rsid w:val="6F952E6A"/>
    <w:rsid w:val="6FC24432"/>
    <w:rsid w:val="6FC4310A"/>
    <w:rsid w:val="6FE40005"/>
    <w:rsid w:val="6FF43359"/>
    <w:rsid w:val="6FFC5590"/>
    <w:rsid w:val="7008237D"/>
    <w:rsid w:val="703DF9F4"/>
    <w:rsid w:val="70604E67"/>
    <w:rsid w:val="706D1DD0"/>
    <w:rsid w:val="707696D6"/>
    <w:rsid w:val="707D334E"/>
    <w:rsid w:val="70856B87"/>
    <w:rsid w:val="70D4ABC0"/>
    <w:rsid w:val="70D527EE"/>
    <w:rsid w:val="710872F1"/>
    <w:rsid w:val="71394879"/>
    <w:rsid w:val="714A4BCF"/>
    <w:rsid w:val="715B5300"/>
    <w:rsid w:val="717A6BF5"/>
    <w:rsid w:val="719041B7"/>
    <w:rsid w:val="719A0F52"/>
    <w:rsid w:val="71BE59CD"/>
    <w:rsid w:val="71D27F8A"/>
    <w:rsid w:val="71D725C4"/>
    <w:rsid w:val="71F661E7"/>
    <w:rsid w:val="71FE0ECE"/>
    <w:rsid w:val="721846F5"/>
    <w:rsid w:val="721E3E7F"/>
    <w:rsid w:val="72255E98"/>
    <w:rsid w:val="72553024"/>
    <w:rsid w:val="72647B12"/>
    <w:rsid w:val="72774D67"/>
    <w:rsid w:val="728431E9"/>
    <w:rsid w:val="72CC41CE"/>
    <w:rsid w:val="72FD766F"/>
    <w:rsid w:val="730C5844"/>
    <w:rsid w:val="73122968"/>
    <w:rsid w:val="731F5D5E"/>
    <w:rsid w:val="735F6206"/>
    <w:rsid w:val="73783A3B"/>
    <w:rsid w:val="738467A2"/>
    <w:rsid w:val="738C2AC9"/>
    <w:rsid w:val="738C4F82"/>
    <w:rsid w:val="739F1A29"/>
    <w:rsid w:val="73C51AD5"/>
    <w:rsid w:val="73F77ADD"/>
    <w:rsid w:val="740426C2"/>
    <w:rsid w:val="74113B5C"/>
    <w:rsid w:val="741178B5"/>
    <w:rsid w:val="741E793C"/>
    <w:rsid w:val="74281823"/>
    <w:rsid w:val="74427002"/>
    <w:rsid w:val="744D677A"/>
    <w:rsid w:val="7452E4DD"/>
    <w:rsid w:val="745C21D4"/>
    <w:rsid w:val="745E3944"/>
    <w:rsid w:val="74626725"/>
    <w:rsid w:val="74A73787"/>
    <w:rsid w:val="74B7A7B5"/>
    <w:rsid w:val="74BB7BBE"/>
    <w:rsid w:val="74D23540"/>
    <w:rsid w:val="752042C1"/>
    <w:rsid w:val="75238D4C"/>
    <w:rsid w:val="752921BD"/>
    <w:rsid w:val="756B6046"/>
    <w:rsid w:val="75A6038D"/>
    <w:rsid w:val="762F73DA"/>
    <w:rsid w:val="7635099D"/>
    <w:rsid w:val="76453088"/>
    <w:rsid w:val="767553E0"/>
    <w:rsid w:val="76D60600"/>
    <w:rsid w:val="77621D88"/>
    <w:rsid w:val="77666511"/>
    <w:rsid w:val="77762421"/>
    <w:rsid w:val="77773FCB"/>
    <w:rsid w:val="77831357"/>
    <w:rsid w:val="77A25449"/>
    <w:rsid w:val="77B17BC6"/>
    <w:rsid w:val="77B56B1F"/>
    <w:rsid w:val="77D33BAC"/>
    <w:rsid w:val="77FE391A"/>
    <w:rsid w:val="780F09F4"/>
    <w:rsid w:val="7810AC80"/>
    <w:rsid w:val="78173E6A"/>
    <w:rsid w:val="7843245D"/>
    <w:rsid w:val="784A289D"/>
    <w:rsid w:val="78675710"/>
    <w:rsid w:val="78712D3C"/>
    <w:rsid w:val="78A90480"/>
    <w:rsid w:val="78BD231D"/>
    <w:rsid w:val="78FF7DF3"/>
    <w:rsid w:val="792A7BE4"/>
    <w:rsid w:val="79472C7D"/>
    <w:rsid w:val="794A5D98"/>
    <w:rsid w:val="79927434"/>
    <w:rsid w:val="799B3893"/>
    <w:rsid w:val="79A12725"/>
    <w:rsid w:val="79F46708"/>
    <w:rsid w:val="7A09667E"/>
    <w:rsid w:val="7A0BFAE5"/>
    <w:rsid w:val="7A0D1953"/>
    <w:rsid w:val="7A364017"/>
    <w:rsid w:val="7A541373"/>
    <w:rsid w:val="7A6147EB"/>
    <w:rsid w:val="7A8265E1"/>
    <w:rsid w:val="7AB436D7"/>
    <w:rsid w:val="7B04655C"/>
    <w:rsid w:val="7B686D42"/>
    <w:rsid w:val="7B841746"/>
    <w:rsid w:val="7B9B4E1B"/>
    <w:rsid w:val="7C0A0025"/>
    <w:rsid w:val="7C32B143"/>
    <w:rsid w:val="7C331247"/>
    <w:rsid w:val="7C3A1D36"/>
    <w:rsid w:val="7C4B522F"/>
    <w:rsid w:val="7C6C5AC7"/>
    <w:rsid w:val="7C820C9E"/>
    <w:rsid w:val="7C8415C1"/>
    <w:rsid w:val="7CA938FD"/>
    <w:rsid w:val="7CA9532A"/>
    <w:rsid w:val="7CC6544B"/>
    <w:rsid w:val="7CE3353B"/>
    <w:rsid w:val="7D0239FF"/>
    <w:rsid w:val="7D225CFF"/>
    <w:rsid w:val="7D444C6C"/>
    <w:rsid w:val="7D5E40CD"/>
    <w:rsid w:val="7DC186C9"/>
    <w:rsid w:val="7DCD56F2"/>
    <w:rsid w:val="7DEA02B1"/>
    <w:rsid w:val="7E1647E5"/>
    <w:rsid w:val="7EB147B0"/>
    <w:rsid w:val="7ED022C2"/>
    <w:rsid w:val="7F001CE7"/>
    <w:rsid w:val="7F0770F7"/>
    <w:rsid w:val="7F15031C"/>
    <w:rsid w:val="7F251B48"/>
    <w:rsid w:val="7F377045"/>
    <w:rsid w:val="7F3D0835"/>
    <w:rsid w:val="7F824294"/>
    <w:rsid w:val="7F941B81"/>
    <w:rsid w:val="7FBE01F5"/>
    <w:rsid w:val="7FC56621"/>
    <w:rsid w:val="7FDE412A"/>
    <w:rsid w:val="7FE47E50"/>
  </w:rsids>
  <w:docVars>
    <w:docVar w:name="commondata" w:val="eyJoZGlkIjoiNjRkNGM1M2I4MmFiNTU0NGJiZDMxMGYxNjdiODIwZGU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qFormat="1"/>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qFormat="1"/>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semiHidden="0" w:uiPriority="0" w:unhideWhenUsed="0" w:qFormat="1"/>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iPriority="0" w:unhideWhenUsed="0"/>
    <w:lsdException w:name="HTML Sample" w:semiHidden="0" w:uiPriority="0" w:unhideWhenUsed="0" w:qFormat="1"/>
    <w:lsdException w:name="HTML Typewriter" w:semiHidden="0" w:uiPriority="0" w:unhideWhenUsed="0"/>
    <w:lsdException w:name="HTML Variable" w:semiHidden="0" w:uiPriority="0" w:unhideWhenUsed="0"/>
    <w:lsdException w:name="Normal Table" w:semiHidden="0" w:uiPriority="0" w:unhideWhenUsed="0" w:qFormat="1"/>
    <w:lsdException w:name="annotation subject" w:semiHidden="0"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jc w:val="both"/>
    </w:pPr>
    <w:rPr>
      <w:rFonts w:ascii="Calibri" w:eastAsia="宋体" w:hAnsi="Calibri" w:cs="Times New Roman"/>
      <w:sz w:val="21"/>
      <w:szCs w:val="21"/>
      <w:lang w:val="en-US" w:eastAsia="zh-CN" w:bidi="ar-SA"/>
    </w:rPr>
  </w:style>
  <w:style w:type="paragraph" w:styleId="Heading1">
    <w:name w:val="heading 1"/>
    <w:basedOn w:val="Normal"/>
    <w:next w:val="Normal"/>
    <w:qFormat/>
    <w:pPr>
      <w:keepNext/>
      <w:overflowPunct w:val="0"/>
      <w:snapToGrid w:val="0"/>
      <w:spacing w:before="120" w:after="160" w:line="259" w:lineRule="auto"/>
      <w:ind w:left="432" w:hanging="432"/>
      <w:outlineLvl w:val="0"/>
    </w:pPr>
    <w:rPr>
      <w:rFonts w:ascii="Times New Roman" w:eastAsia="黑体" w:hAnsi="Times New Roman" w:cs="Times New Roman"/>
      <w:b/>
      <w:bCs/>
      <w:color w:val="000000"/>
      <w:kern w:val="44"/>
      <w:sz w:val="30"/>
      <w:szCs w:val="30"/>
    </w:rPr>
  </w:style>
  <w:style w:type="paragraph" w:styleId="Heading2">
    <w:name w:val="heading 2"/>
    <w:basedOn w:val="Normal"/>
    <w:next w:val="Normal"/>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qFormat/>
    <w:pPr>
      <w:keepNext/>
      <w:keepLines/>
      <w:spacing w:before="260" w:after="260" w:line="413" w:lineRule="auto"/>
      <w:outlineLvl w:val="2"/>
    </w:pPr>
    <w:rPr>
      <w:rFonts w:ascii="宋体"/>
      <w:spacing w:val="4"/>
      <w:sz w:val="24"/>
    </w:rPr>
  </w:style>
  <w:style w:type="character" w:default="1" w:styleId="DefaultParagraphFont">
    <w:name w:val="Default Paragraph Font"/>
    <w:qFormat/>
    <w:rPr>
      <w:rFonts w:ascii="Times New Roman" w:eastAsia="宋体" w:hAnsi="Times New Roman" w:cs="Times New Roman"/>
    </w:rPr>
  </w:style>
  <w:style w:type="table" w:default="1" w:styleId="TableNormal">
    <w:name w:val="Normal Table"/>
    <w:qFormat/>
    <w:tblPr>
      <w:tblCellMar>
        <w:top w:w="0" w:type="dxa"/>
        <w:left w:w="108" w:type="dxa"/>
        <w:bottom w:w="0" w:type="dxa"/>
        <w:right w:w="108" w:type="dxa"/>
      </w:tblCellMar>
    </w:tblPr>
  </w:style>
  <w:style w:type="paragraph" w:styleId="BodyTextFirstIndent2">
    <w:name w:val="Body Text First Indent 2"/>
    <w:basedOn w:val="Normal"/>
    <w:next w:val="Normal"/>
    <w:qFormat/>
    <w:pPr>
      <w:ind w:firstLine="420" w:firstLineChars="200"/>
    </w:pPr>
    <w:rPr>
      <w:rFonts w:ascii="Times New Roman" w:eastAsia="宋体" w:hAnsi="Times New Roman" w:cs="Times New Roman"/>
    </w:rPr>
  </w:style>
  <w:style w:type="paragraph" w:styleId="NormalIndent">
    <w:name w:val="Normal Indent"/>
    <w:basedOn w:val="Normal"/>
    <w:next w:val="Normal"/>
    <w:qFormat/>
    <w:pPr>
      <w:ind w:firstLine="420"/>
    </w:pPr>
    <w:rPr>
      <w:rFonts w:ascii="Times New Roman" w:eastAsia="宋体" w:hAnsi="Times New Roman" w:cs="Times New Roman"/>
      <w:sz w:val="24"/>
      <w:szCs w:val="20"/>
    </w:rPr>
  </w:style>
  <w:style w:type="paragraph" w:styleId="CommentText">
    <w:name w:val="annotation text"/>
    <w:basedOn w:val="Normal"/>
    <w:link w:val="a0"/>
    <w:qFormat/>
    <w:pPr>
      <w:jc w:val="left"/>
    </w:pPr>
    <w:rPr>
      <w:rFonts w:ascii="Times New Roman" w:hAnsi="Times New Roman"/>
      <w:sz w:val="24"/>
      <w:szCs w:val="20"/>
    </w:rPr>
  </w:style>
  <w:style w:type="paragraph" w:styleId="BodyText">
    <w:name w:val="Body Text"/>
    <w:basedOn w:val="Normal"/>
    <w:link w:val="a"/>
    <w:qFormat/>
    <w:pPr>
      <w:widowControl/>
      <w:snapToGrid w:val="0"/>
      <w:spacing w:before="60" w:after="160" w:line="259" w:lineRule="auto"/>
      <w:ind w:right="113"/>
    </w:pPr>
    <w:rPr>
      <w:rFonts w:ascii="Times New Roman" w:hAnsi="Times New Roman"/>
      <w:sz w:val="18"/>
      <w:szCs w:val="20"/>
    </w:rPr>
  </w:style>
  <w:style w:type="paragraph" w:styleId="BodyTextIndent">
    <w:name w:val="Body Text Indent"/>
    <w:basedOn w:val="Normal"/>
    <w:link w:val="a1"/>
    <w:qFormat/>
    <w:pPr>
      <w:spacing w:after="120"/>
      <w:ind w:left="420" w:leftChars="200"/>
    </w:pPr>
    <w:rPr>
      <w:rFonts w:ascii="Times New Roman" w:hAnsi="Times New Roman"/>
      <w:sz w:val="24"/>
      <w:szCs w:val="20"/>
    </w:rPr>
  </w:style>
  <w:style w:type="paragraph" w:styleId="PlainText">
    <w:name w:val="Plain Text"/>
    <w:basedOn w:val="Normal"/>
    <w:qFormat/>
    <w:pPr>
      <w:spacing w:line="240" w:lineRule="atLeast"/>
    </w:pPr>
    <w:rPr>
      <w:rFonts w:ascii="宋体" w:eastAsia="宋体" w:hAnsi="Courier New" w:cs="Times New Roman"/>
      <w:sz w:val="28"/>
      <w:szCs w:val="21"/>
    </w:rPr>
  </w:style>
  <w:style w:type="paragraph" w:styleId="ListBullet5">
    <w:name w:val="List Bullet 5"/>
    <w:basedOn w:val="Normal"/>
    <w:qFormat/>
    <w:pPr>
      <w:numPr>
        <w:ilvl w:val="0"/>
        <w:numId w:val="1"/>
      </w:numPr>
    </w:pPr>
  </w:style>
  <w:style w:type="paragraph" w:styleId="Date">
    <w:name w:val="Date"/>
    <w:basedOn w:val="Normal"/>
    <w:next w:val="Normal"/>
    <w:link w:val="1"/>
    <w:qFormat/>
    <w:pPr>
      <w:ind w:left="100" w:leftChars="2500"/>
    </w:pPr>
    <w:rPr>
      <w:rFonts w:ascii="Times New Roman" w:hAnsi="Times New Roman"/>
      <w:sz w:val="24"/>
      <w:szCs w:val="20"/>
    </w:rPr>
  </w:style>
  <w:style w:type="paragraph" w:styleId="BodyTextIndent2">
    <w:name w:val="Body Text Indent 2"/>
    <w:basedOn w:val="Normal"/>
    <w:next w:val="Normal"/>
    <w:qFormat/>
    <w:pPr>
      <w:spacing w:line="360" w:lineRule="auto"/>
      <w:ind w:firstLine="560" w:firstLineChars="200"/>
    </w:pPr>
    <w:rPr>
      <w:rFonts w:ascii="Times New Roman" w:hAnsi="Times New Roman" w:cs="Times New Roman"/>
      <w:sz w:val="28"/>
    </w:rPr>
  </w:style>
  <w:style w:type="paragraph" w:styleId="BalloonText">
    <w:name w:val="Balloon Text"/>
    <w:basedOn w:val="Normal"/>
    <w:link w:val="a2"/>
    <w:qFormat/>
    <w:rPr>
      <w:rFonts w:ascii="Times New Roman" w:hAnsi="Times New Roman"/>
      <w:sz w:val="18"/>
      <w:szCs w:val="20"/>
    </w:rPr>
  </w:style>
  <w:style w:type="paragraph" w:styleId="Footer">
    <w:name w:val="footer"/>
    <w:basedOn w:val="Normal"/>
    <w:link w:val="10"/>
    <w:qFormat/>
    <w:pPr>
      <w:tabs>
        <w:tab w:val="center" w:pos="4153"/>
        <w:tab w:val="right" w:pos="8306"/>
      </w:tabs>
      <w:snapToGrid w:val="0"/>
      <w:jc w:val="left"/>
    </w:pPr>
    <w:rPr>
      <w:rFonts w:ascii="Times New Roman" w:hAnsi="Times New Roman"/>
      <w:sz w:val="18"/>
      <w:szCs w:val="20"/>
    </w:rPr>
  </w:style>
  <w:style w:type="paragraph" w:styleId="Header">
    <w:name w:val="header"/>
    <w:basedOn w:val="Normal"/>
    <w:next w:val="5"/>
    <w:link w:val="a3"/>
    <w:qFormat/>
    <w:pPr>
      <w:pBdr>
        <w:bottom w:val="single" w:sz="6" w:space="1" w:color="auto"/>
      </w:pBdr>
      <w:tabs>
        <w:tab w:val="center" w:pos="4153"/>
        <w:tab w:val="right" w:pos="8306"/>
      </w:tabs>
      <w:snapToGrid w:val="0"/>
      <w:jc w:val="center"/>
    </w:pPr>
    <w:rPr>
      <w:rFonts w:ascii="Times New Roman" w:hAnsi="Times New Roman"/>
      <w:sz w:val="18"/>
      <w:szCs w:val="20"/>
    </w:rPr>
  </w:style>
  <w:style w:type="paragraph" w:customStyle="1" w:styleId="5">
    <w:name w:val="样式5"/>
    <w:basedOn w:val="3"/>
    <w:qFormat/>
    <w:rPr>
      <w:rFonts w:ascii="黑体" w:hAnsi="Times New Roman"/>
    </w:rPr>
  </w:style>
  <w:style w:type="paragraph" w:customStyle="1" w:styleId="3">
    <w:name w:val="样式3"/>
    <w:basedOn w:val="List"/>
    <w:qFormat/>
    <w:pPr>
      <w:spacing w:line="360" w:lineRule="auto"/>
    </w:pPr>
    <w:rPr>
      <w:rFonts w:ascii="宋体" w:hAnsi="宋体"/>
    </w:rPr>
  </w:style>
  <w:style w:type="paragraph" w:styleId="List">
    <w:name w:val="List"/>
    <w:basedOn w:val="Normal"/>
    <w:qFormat/>
    <w:pPr>
      <w:widowControl/>
      <w:spacing w:line="360" w:lineRule="auto"/>
    </w:pPr>
    <w:rPr>
      <w:rFonts w:ascii="宋体"/>
      <w:sz w:val="24"/>
      <w:szCs w:val="20"/>
    </w:rPr>
  </w:style>
  <w:style w:type="paragraph" w:styleId="TOC1">
    <w:name w:val="toc 1"/>
    <w:basedOn w:val="Normal"/>
    <w:next w:val="Normal"/>
    <w:qFormat/>
    <w:pPr>
      <w:tabs>
        <w:tab w:val="left" w:pos="5760"/>
      </w:tabs>
      <w:adjustRightInd w:val="0"/>
      <w:snapToGrid w:val="0"/>
      <w:jc w:val="center"/>
    </w:pPr>
    <w:rPr>
      <w:rFonts w:ascii="Times New Roman" w:eastAsia="宋体" w:hAnsi="Times New Roman" w:cs="Times New Roman"/>
      <w:sz w:val="21"/>
    </w:rPr>
  </w:style>
  <w:style w:type="paragraph" w:styleId="Subtitle">
    <w:name w:val="Subtitle"/>
    <w:basedOn w:val="Normal"/>
    <w:next w:val="Normal"/>
    <w:qFormat/>
    <w:pPr>
      <w:spacing w:beforeLines="50" w:line="360" w:lineRule="auto"/>
      <w:jc w:val="center"/>
    </w:pPr>
    <w:rPr>
      <w:rFonts w:eastAsia="黑体"/>
      <w:bCs/>
      <w:kern w:val="28"/>
      <w:sz w:val="24"/>
      <w:szCs w:val="32"/>
    </w:rPr>
  </w:style>
  <w:style w:type="paragraph" w:styleId="BodyText2">
    <w:name w:val="Body Text 2"/>
    <w:basedOn w:val="Normal"/>
    <w:qFormat/>
    <w:pPr>
      <w:spacing w:after="120" w:line="480" w:lineRule="auto"/>
    </w:pPr>
    <w:rPr>
      <w:rFonts w:ascii="Times New Roman" w:eastAsia="宋体" w:hAnsi="Times New Roman" w:cs="Times New Roman"/>
    </w:rPr>
  </w:style>
  <w:style w:type="paragraph" w:styleId="NormalWeb">
    <w:name w:val="Normal (Web)"/>
    <w:basedOn w:val="Normal"/>
    <w:link w:val="a4"/>
    <w:qFormat/>
    <w:pPr>
      <w:widowControl/>
      <w:spacing w:before="100" w:beforeAutospacing="1" w:after="100" w:afterAutospacing="1"/>
      <w:jc w:val="left"/>
    </w:pPr>
    <w:rPr>
      <w:rFonts w:ascii="宋体" w:hAnsi="宋体"/>
      <w:sz w:val="24"/>
      <w:szCs w:val="20"/>
    </w:rPr>
  </w:style>
  <w:style w:type="paragraph" w:styleId="CommentSubject">
    <w:name w:val="annotation subject"/>
    <w:basedOn w:val="CommentText"/>
    <w:next w:val="CommentText"/>
    <w:link w:val="a5"/>
    <w:qFormat/>
    <w:rPr>
      <w:b/>
      <w:kern w:val="2"/>
    </w:rPr>
  </w:style>
  <w:style w:type="paragraph" w:styleId="BodyTextFirstIndent">
    <w:name w:val="Body Text First Indent"/>
    <w:basedOn w:val="BodyText"/>
    <w:qFormat/>
    <w:pPr>
      <w:ind w:firstLine="420" w:firstLineChars="100"/>
    </w:pPr>
    <w:rPr>
      <w:rFonts w:ascii="Times New Roman" w:eastAsia="宋体" w:hAnsi="Times New Roman" w:cs="Times New Roman"/>
    </w:rPr>
  </w:style>
  <w:style w:type="table" w:styleId="TableGrid">
    <w:name w:val="Table Grid"/>
    <w:basedOn w:val="TableNormal"/>
    <w:qFormat/>
    <w:rPr>
      <w:rFonts w:ascii="Times New Roman" w:eastAsia="宋体" w:hAnsi="Times New Roman" w:cs="Times New Roman"/>
      <w:lang w:val="en-US" w:eastAsia="zh-CN"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qFormat/>
    <w:rPr>
      <w:rFonts w:ascii="Times New Roman" w:eastAsia="宋体" w:hAnsi="Times New Roman" w:cs="Times New Roman"/>
    </w:rPr>
  </w:style>
  <w:style w:type="character" w:styleId="FollowedHyperlink">
    <w:name w:val="FollowedHyperlink"/>
    <w:qFormat/>
    <w:rPr>
      <w:rFonts w:ascii="Times New Roman" w:eastAsia="宋体" w:hAnsi="Times New Roman" w:cs="Times New Roman"/>
      <w:color w:val="000000"/>
      <w:u w:val="none"/>
    </w:rPr>
  </w:style>
  <w:style w:type="character" w:styleId="Emphasis">
    <w:name w:val="Emphasis"/>
    <w:qFormat/>
    <w:rPr>
      <w:rFonts w:ascii="Times New Roman" w:eastAsia="宋体" w:hAnsi="Times New Roman" w:cs="Times New Roman"/>
    </w:rPr>
  </w:style>
  <w:style w:type="character" w:styleId="HTMLDefinition">
    <w:name w:val="HTML Definition"/>
    <w:qFormat/>
    <w:rPr>
      <w:i/>
      <w:iCs/>
    </w:rPr>
  </w:style>
  <w:style w:type="character" w:styleId="Hyperlink">
    <w:name w:val="Hyperlink"/>
    <w:qFormat/>
    <w:rPr>
      <w:rFonts w:ascii="Times New Roman" w:eastAsia="宋体" w:hAnsi="Times New Roman" w:cs="Times New Roman"/>
      <w:color w:val="000000"/>
      <w:u w:val="none"/>
    </w:rPr>
  </w:style>
  <w:style w:type="character" w:styleId="HTMLCode">
    <w:name w:val="HTML Code"/>
    <w:qFormat/>
    <w:rPr>
      <w:rFonts w:ascii="Consolas" w:eastAsia="Consolas" w:hAnsi="Consolas" w:cs="Consolas"/>
      <w:color w:val="C7254E"/>
      <w:sz w:val="21"/>
      <w:szCs w:val="21"/>
      <w:shd w:val="clear" w:color="auto" w:fill="F9F2F4"/>
    </w:rPr>
  </w:style>
  <w:style w:type="character" w:styleId="CommentReference">
    <w:name w:val="annotation reference"/>
    <w:qFormat/>
    <w:rPr>
      <w:rFonts w:ascii="Times New Roman" w:eastAsia="宋体" w:hAnsi="Times New Roman" w:cs="Times New Roman"/>
      <w:sz w:val="21"/>
    </w:rPr>
  </w:style>
  <w:style w:type="character" w:styleId="HTMLCite">
    <w:name w:val="HTML Cite"/>
    <w:basedOn w:val="DefaultParagraphFont"/>
    <w:qFormat/>
  </w:style>
  <w:style w:type="character" w:styleId="HTMLKeyboard">
    <w:name w:val="HTML Keyboard"/>
    <w:qFormat/>
    <w:rPr>
      <w:rFonts w:ascii="Consolas" w:eastAsia="Consolas" w:hAnsi="Consolas" w:cs="Consolas" w:hint="default"/>
      <w:color w:val="FFFFFF"/>
      <w:sz w:val="21"/>
      <w:szCs w:val="21"/>
      <w:shd w:val="clear" w:color="auto" w:fill="333333"/>
    </w:rPr>
  </w:style>
  <w:style w:type="character" w:styleId="HTMLSample">
    <w:name w:val="HTML Sample"/>
    <w:qFormat/>
    <w:rPr>
      <w:rFonts w:ascii="Consolas" w:eastAsia="Consolas" w:hAnsi="Consolas" w:cs="Consolas" w:hint="default"/>
      <w:sz w:val="21"/>
      <w:szCs w:val="21"/>
    </w:rPr>
  </w:style>
  <w:style w:type="paragraph" w:customStyle="1" w:styleId="Default">
    <w:name w:val="Default"/>
    <w:qFormat/>
    <w:pPr>
      <w:widowControl w:val="0"/>
      <w:autoSpaceDE w:val="0"/>
      <w:autoSpaceDN w:val="0"/>
      <w:adjustRightInd w:val="0"/>
    </w:pPr>
    <w:rPr>
      <w:rFonts w:ascii="仿宋_GB2312" w:eastAsia="仿宋_GB2312" w:hAnsi="Calibri" w:cs="仿宋_GB2312"/>
      <w:color w:val="000000"/>
      <w:sz w:val="24"/>
      <w:szCs w:val="24"/>
      <w:lang w:val="en-US" w:eastAsia="zh-CN" w:bidi="ar-SA"/>
    </w:rPr>
  </w:style>
  <w:style w:type="paragraph" w:customStyle="1" w:styleId="Style2">
    <w:name w:val="_Style 2"/>
    <w:basedOn w:val="Normal"/>
    <w:next w:val="Normal"/>
    <w:uiPriority w:val="30"/>
    <w:qFormat/>
    <w:pPr>
      <w:pBdr>
        <w:bottom w:val="single" w:sz="4" w:space="4" w:color="4F81BD"/>
      </w:pBdr>
      <w:ind w:left="936" w:right="936"/>
    </w:pPr>
    <w:rPr>
      <w:b/>
      <w:bCs/>
      <w:i/>
      <w:iCs/>
      <w:color w:val="4F81BD"/>
    </w:rPr>
  </w:style>
  <w:style w:type="character" w:customStyle="1" w:styleId="a">
    <w:name w:val="正文文本 字符"/>
    <w:link w:val="BodyText"/>
    <w:qFormat/>
    <w:rPr>
      <w:rFonts w:ascii="Times New Roman" w:eastAsia="宋体" w:hAnsi="Times New Roman" w:cs="Times New Roman"/>
      <w:sz w:val="18"/>
    </w:rPr>
  </w:style>
  <w:style w:type="character" w:customStyle="1" w:styleId="a0">
    <w:name w:val="批注文字 字符"/>
    <w:link w:val="CommentText"/>
    <w:qFormat/>
    <w:rPr>
      <w:rFonts w:ascii="Times New Roman" w:eastAsia="宋体" w:hAnsi="Times New Roman" w:cs="Times New Roman"/>
      <w:sz w:val="24"/>
    </w:rPr>
  </w:style>
  <w:style w:type="character" w:customStyle="1" w:styleId="a1">
    <w:name w:val="正文文本缩进 字符"/>
    <w:link w:val="BodyTextIndent"/>
    <w:qFormat/>
    <w:rPr>
      <w:rFonts w:ascii="Times New Roman" w:eastAsia="宋体" w:hAnsi="Times New Roman" w:cs="Times New Roman"/>
      <w:sz w:val="24"/>
    </w:rPr>
  </w:style>
  <w:style w:type="character" w:customStyle="1" w:styleId="1">
    <w:name w:val="日期 字符1"/>
    <w:link w:val="Date"/>
    <w:qFormat/>
    <w:rPr>
      <w:rFonts w:ascii="Times New Roman" w:eastAsia="宋体" w:hAnsi="Times New Roman" w:cs="Times New Roman"/>
      <w:sz w:val="24"/>
    </w:rPr>
  </w:style>
  <w:style w:type="character" w:customStyle="1" w:styleId="a2">
    <w:name w:val="批注框文本 字符"/>
    <w:link w:val="BalloonText"/>
    <w:qFormat/>
    <w:rPr>
      <w:rFonts w:ascii="Times New Roman" w:eastAsia="宋体" w:hAnsi="Times New Roman" w:cs="Times New Roman"/>
      <w:sz w:val="18"/>
    </w:rPr>
  </w:style>
  <w:style w:type="character" w:customStyle="1" w:styleId="10">
    <w:name w:val="页脚 字符1"/>
    <w:link w:val="Footer"/>
    <w:qFormat/>
    <w:rPr>
      <w:rFonts w:ascii="Times New Roman" w:eastAsia="宋体" w:hAnsi="Times New Roman" w:cs="Times New Roman"/>
      <w:sz w:val="18"/>
    </w:rPr>
  </w:style>
  <w:style w:type="character" w:customStyle="1" w:styleId="a3">
    <w:name w:val="页眉 字符"/>
    <w:link w:val="Header"/>
    <w:qFormat/>
    <w:rPr>
      <w:rFonts w:ascii="Times New Roman" w:eastAsia="宋体" w:hAnsi="Times New Roman" w:cs="Times New Roman"/>
      <w:sz w:val="18"/>
    </w:rPr>
  </w:style>
  <w:style w:type="character" w:customStyle="1" w:styleId="a4">
    <w:name w:val="普通(网站) 字符"/>
    <w:link w:val="NormalWeb"/>
    <w:qFormat/>
    <w:rPr>
      <w:rFonts w:ascii="宋体" w:eastAsia="宋体" w:hAnsi="宋体" w:cs="Times New Roman"/>
      <w:sz w:val="24"/>
    </w:rPr>
  </w:style>
  <w:style w:type="character" w:customStyle="1" w:styleId="a5">
    <w:name w:val="批注主题 字符"/>
    <w:link w:val="CommentSubject"/>
    <w:qFormat/>
    <w:rPr>
      <w:rFonts w:ascii="Times New Roman" w:eastAsia="宋体" w:hAnsi="Times New Roman" w:cs="Times New Roman"/>
      <w:b/>
      <w:kern w:val="2"/>
      <w:sz w:val="24"/>
    </w:rPr>
  </w:style>
  <w:style w:type="character" w:customStyle="1" w:styleId="radio-btn1">
    <w:name w:val="radio-btn1"/>
    <w:qFormat/>
    <w:rPr>
      <w:rFonts w:ascii="Times New Roman" w:eastAsia="宋体" w:hAnsi="Times New Roman" w:cs="Times New Roman"/>
      <w:sz w:val="24"/>
      <w:szCs w:val="24"/>
    </w:rPr>
  </w:style>
  <w:style w:type="character" w:customStyle="1" w:styleId="11">
    <w:name w:val="批注文字 字符1"/>
    <w:qFormat/>
    <w:rPr>
      <w:rFonts w:ascii="Times New Roman" w:eastAsia="宋体" w:hAnsi="Times New Roman" w:cs="Times New Roman"/>
      <w:sz w:val="24"/>
    </w:rPr>
  </w:style>
  <w:style w:type="character" w:customStyle="1" w:styleId="znspantitle">
    <w:name w:val="znspantitle"/>
    <w:qFormat/>
    <w:rPr>
      <w:rFonts w:ascii="Times New Roman" w:eastAsia="宋体" w:hAnsi="Times New Roman" w:cs="Times New Roman"/>
      <w:b/>
      <w:bCs/>
      <w:color w:val="333333"/>
    </w:rPr>
  </w:style>
  <w:style w:type="character" w:customStyle="1" w:styleId="font11">
    <w:name w:val="font11"/>
    <w:qFormat/>
    <w:rPr>
      <w:rFonts w:ascii="宋体" w:eastAsia="宋体" w:hAnsi="宋体" w:cs="宋体" w:hint="eastAsia"/>
      <w:color w:val="000000"/>
      <w:sz w:val="21"/>
      <w:szCs w:val="21"/>
      <w:u w:val="none"/>
    </w:rPr>
  </w:style>
  <w:style w:type="character" w:customStyle="1" w:styleId="radio-btn">
    <w:name w:val="radio-btn"/>
    <w:qFormat/>
    <w:rPr>
      <w:rFonts w:ascii="Times New Roman" w:eastAsia="宋体" w:hAnsi="Times New Roman" w:cs="Times New Roman"/>
      <w:sz w:val="21"/>
      <w:szCs w:val="21"/>
    </w:rPr>
  </w:style>
  <w:style w:type="character" w:customStyle="1" w:styleId="Char">
    <w:name w:val="表格 Char"/>
    <w:link w:val="a6"/>
    <w:qFormat/>
    <w:rPr>
      <w:rFonts w:ascii="宋体" w:eastAsia="宋体" w:hAnsi="Times New Roman" w:cs="Times New Roman"/>
      <w:sz w:val="21"/>
    </w:rPr>
  </w:style>
  <w:style w:type="paragraph" w:customStyle="1" w:styleId="a6">
    <w:name w:val="表格"/>
    <w:basedOn w:val="Normal"/>
    <w:next w:val="Normal"/>
    <w:link w:val="Char"/>
    <w:qFormat/>
    <w:pPr>
      <w:adjustRightInd w:val="0"/>
      <w:snapToGrid w:val="0"/>
      <w:spacing w:beforeLines="10" w:afterLines="10" w:line="259" w:lineRule="auto"/>
      <w:jc w:val="center"/>
    </w:pPr>
    <w:rPr>
      <w:rFonts w:ascii="宋体" w:hAnsi="Times New Roman"/>
      <w:szCs w:val="20"/>
    </w:rPr>
  </w:style>
  <w:style w:type="character" w:customStyle="1" w:styleId="12">
    <w:name w:val="正文文本 字符1"/>
    <w:qFormat/>
    <w:rPr>
      <w:rFonts w:ascii="Times New Roman" w:eastAsia="宋体" w:hAnsi="Times New Roman" w:cs="Times New Roman"/>
      <w:sz w:val="24"/>
    </w:rPr>
  </w:style>
  <w:style w:type="character" w:customStyle="1" w:styleId="font01">
    <w:name w:val="font01"/>
    <w:qFormat/>
    <w:rPr>
      <w:rFonts w:ascii="Times New Roman" w:eastAsia="宋体" w:hAnsi="Times New Roman" w:cs="Times New Roman" w:hint="default"/>
      <w:color w:val="000000"/>
      <w:sz w:val="21"/>
      <w:szCs w:val="21"/>
      <w:u w:val="none"/>
      <w:vertAlign w:val="subscript"/>
    </w:rPr>
  </w:style>
  <w:style w:type="character" w:customStyle="1" w:styleId="a7">
    <w:name w:val="页脚 字符"/>
    <w:qFormat/>
    <w:rPr>
      <w:rFonts w:ascii="Times New Roman" w:eastAsia="宋体" w:hAnsi="Times New Roman" w:cs="Times New Roman"/>
    </w:rPr>
  </w:style>
  <w:style w:type="character" w:customStyle="1" w:styleId="radio-btn2">
    <w:name w:val="radio-btn2"/>
    <w:qFormat/>
    <w:rPr>
      <w:rFonts w:ascii="Times New Roman" w:eastAsia="宋体" w:hAnsi="Times New Roman" w:cs="Times New Roman"/>
      <w:sz w:val="24"/>
      <w:szCs w:val="24"/>
    </w:rPr>
  </w:style>
  <w:style w:type="character" w:customStyle="1" w:styleId="lable">
    <w:name w:val="lable"/>
    <w:qFormat/>
    <w:rPr>
      <w:rFonts w:ascii="Times New Roman" w:eastAsia="宋体" w:hAnsi="Times New Roman" w:cs="Times New Roman"/>
      <w:sz w:val="24"/>
      <w:szCs w:val="24"/>
    </w:rPr>
  </w:style>
  <w:style w:type="character" w:customStyle="1" w:styleId="lishishuju">
    <w:name w:val="lishishuju"/>
    <w:qFormat/>
    <w:rPr>
      <w:rFonts w:ascii="Times New Roman" w:eastAsia="宋体" w:hAnsi="Times New Roman" w:cs="Times New Roman"/>
      <w:b/>
      <w:bCs/>
      <w:color w:val="000052"/>
      <w:sz w:val="24"/>
      <w:szCs w:val="24"/>
      <w:bdr w:val="single" w:sz="6" w:space="0" w:color="E3E3E3"/>
    </w:rPr>
  </w:style>
  <w:style w:type="character" w:customStyle="1" w:styleId="cur1">
    <w:name w:val="cur1"/>
    <w:qFormat/>
    <w:rPr>
      <w:rFonts w:ascii="Times New Roman" w:eastAsia="宋体" w:hAnsi="Times New Roman" w:cs="Times New Roman"/>
      <w:color w:val="FFFFFF"/>
      <w:shd w:val="clear" w:color="auto" w:fill="2F6B98"/>
    </w:rPr>
  </w:style>
  <w:style w:type="character" w:customStyle="1" w:styleId="a8">
    <w:name w:val="样式 小四"/>
    <w:qFormat/>
    <w:rPr>
      <w:rFonts w:ascii="Times New Roman" w:eastAsia="宋体" w:hAnsi="Times New Roman" w:cs="Times New Roman"/>
      <w:sz w:val="24"/>
      <w:szCs w:val="24"/>
    </w:rPr>
  </w:style>
  <w:style w:type="character" w:customStyle="1" w:styleId="a9">
    <w:name w:val="日期 字符"/>
    <w:qFormat/>
    <w:rPr>
      <w:rFonts w:ascii="Times New Roman" w:eastAsia="宋体" w:hAnsi="Times New Roman" w:cs="Times New Roman"/>
      <w:sz w:val="24"/>
    </w:rPr>
  </w:style>
  <w:style w:type="paragraph" w:customStyle="1" w:styleId="a10">
    <w:name w:val="管线表头"/>
    <w:basedOn w:val="Normal"/>
    <w:qFormat/>
    <w:pPr>
      <w:adjustRightInd w:val="0"/>
      <w:snapToGrid w:val="0"/>
      <w:jc w:val="center"/>
    </w:pPr>
    <w:rPr>
      <w:rFonts w:ascii="Times New Roman" w:eastAsia="宋体" w:hAnsi="Times New Roman" w:cs="Times New Roman"/>
      <w:b/>
      <w:szCs w:val="21"/>
      <w:lang w:val="zh-CN"/>
    </w:rPr>
  </w:style>
  <w:style w:type="paragraph" w:customStyle="1" w:styleId="2">
    <w:name w:val="普通(网站)2"/>
    <w:basedOn w:val="Normal"/>
    <w:qFormat/>
    <w:pPr>
      <w:widowControl/>
      <w:spacing w:before="100" w:beforeAutospacing="1" w:after="100" w:afterAutospacing="1"/>
      <w:jc w:val="left"/>
    </w:pPr>
    <w:rPr>
      <w:rFonts w:ascii="宋体" w:eastAsia="宋体" w:hAnsi="宋体" w:cs="Times New Roman"/>
      <w:sz w:val="24"/>
      <w:szCs w:val="20"/>
    </w:rPr>
  </w:style>
  <w:style w:type="paragraph" w:customStyle="1" w:styleId="Char0">
    <w:name w:val="文章正文 Char"/>
    <w:basedOn w:val="NormalIndent"/>
    <w:qFormat/>
    <w:pPr>
      <w:spacing w:line="520" w:lineRule="exact"/>
      <w:ind w:firstLine="200" w:firstLineChars="200"/>
    </w:pPr>
    <w:rPr>
      <w:rFonts w:ascii="宋体" w:hAnsi="宋体"/>
      <w:sz w:val="24"/>
      <w:szCs w:val="24"/>
    </w:rPr>
  </w:style>
  <w:style w:type="paragraph" w:customStyle="1" w:styleId="a11">
    <w:name w:val="应填表格"/>
    <w:basedOn w:val="Normal"/>
    <w:qFormat/>
    <w:pPr>
      <w:adjustRightInd w:val="0"/>
      <w:spacing w:before="40" w:after="40"/>
      <w:jc w:val="left"/>
      <w:textAlignment w:val="baseline"/>
    </w:pPr>
    <w:rPr>
      <w:rFonts w:ascii="Times New Roman" w:eastAsia="宋体" w:hAnsi="Times New Roman" w:cs="Times New Roman"/>
      <w:kern w:val="0"/>
      <w:sz w:val="24"/>
      <w:szCs w:val="20"/>
    </w:rPr>
  </w:style>
  <w:style w:type="paragraph" w:customStyle="1" w:styleId="50">
    <w:name w:val="正文_5"/>
    <w:qFormat/>
    <w:pPr>
      <w:widowControl w:val="0"/>
      <w:jc w:val="both"/>
    </w:pPr>
    <w:rPr>
      <w:rFonts w:ascii="Calibri" w:eastAsia="宋体" w:hAnsi="Calibri" w:cs="Times New Roman"/>
      <w:kern w:val="2"/>
      <w:sz w:val="21"/>
      <w:lang w:val="en-US" w:eastAsia="zh-CN" w:bidi="ar-SA"/>
    </w:rPr>
  </w:style>
  <w:style w:type="paragraph" w:customStyle="1" w:styleId="100">
    <w:name w:val="正文_10"/>
    <w:qFormat/>
    <w:pPr>
      <w:widowControl w:val="0"/>
      <w:jc w:val="both"/>
    </w:pPr>
    <w:rPr>
      <w:rFonts w:ascii="Times New Roman" w:eastAsia="宋体" w:hAnsi="Times New Roman" w:cs="Times New Roman"/>
      <w:kern w:val="2"/>
      <w:sz w:val="21"/>
      <w:szCs w:val="22"/>
      <w:lang w:val="en-US" w:eastAsia="zh-CN" w:bidi="ar-SA"/>
    </w:rPr>
  </w:style>
  <w:style w:type="paragraph" w:customStyle="1" w:styleId="a12">
    <w:name w:val="表格内容"/>
    <w:basedOn w:val="Normal"/>
    <w:qFormat/>
    <w:pPr>
      <w:spacing w:line="320" w:lineRule="exact"/>
      <w:ind w:firstLine="0" w:firstLineChars="0"/>
      <w:jc w:val="center"/>
    </w:pPr>
    <w:rPr>
      <w:rFonts w:ascii="Times New Roman" w:eastAsia="宋体" w:hAnsi="Times New Roman" w:cs="Times New Roman"/>
      <w:sz w:val="21"/>
      <w:szCs w:val="22"/>
    </w:rPr>
  </w:style>
  <w:style w:type="paragraph" w:customStyle="1" w:styleId="a13">
    <w:name w:val="中文报告书样式"/>
    <w:basedOn w:val="Normal"/>
    <w:qFormat/>
    <w:pPr>
      <w:adjustRightInd w:val="0"/>
      <w:spacing w:line="480" w:lineRule="atLeast"/>
      <w:ind w:firstLine="482"/>
      <w:textAlignment w:val="baseline"/>
    </w:pPr>
    <w:rPr>
      <w:kern w:val="24"/>
      <w:sz w:val="24"/>
      <w:szCs w:val="20"/>
    </w:rPr>
  </w:style>
  <w:style w:type="paragraph" w:customStyle="1" w:styleId="6">
    <w:name w:val="正文_6"/>
    <w:qFormat/>
    <w:pPr>
      <w:widowControl w:val="0"/>
      <w:jc w:val="both"/>
    </w:pPr>
    <w:rPr>
      <w:rFonts w:ascii="Calibri" w:eastAsia="宋体" w:hAnsi="Calibri" w:cs="Times New Roman"/>
      <w:kern w:val="2"/>
      <w:sz w:val="21"/>
      <w:lang w:val="en-US" w:eastAsia="zh-CN" w:bidi="ar-SA"/>
    </w:rPr>
  </w:style>
  <w:style w:type="paragraph" w:customStyle="1" w:styleId="Other2">
    <w:name w:val="Other|2"/>
    <w:basedOn w:val="Normal"/>
    <w:qFormat/>
    <w:pPr>
      <w:widowControl w:val="0"/>
      <w:shd w:val="clear" w:color="auto" w:fill="auto"/>
      <w:spacing w:before="300"/>
      <w:jc w:val="center"/>
    </w:pPr>
    <w:rPr>
      <w:rFonts w:ascii="宋体" w:eastAsia="宋体" w:hAnsi="宋体" w:cs="宋体"/>
      <w:sz w:val="20"/>
      <w:szCs w:val="20"/>
      <w:u w:val="none"/>
      <w:shd w:val="clear" w:color="auto" w:fill="auto"/>
      <w:lang w:val="zh-TW" w:eastAsia="zh-TW" w:bidi="zh-TW"/>
    </w:rPr>
  </w:style>
  <w:style w:type="character" w:customStyle="1" w:styleId="layui-this">
    <w:name w:val="layui-this"/>
    <w:qFormat/>
    <w:rPr>
      <w:bdr w:val="single" w:sz="4" w:space="0" w:color="EEEEEE"/>
      <w:shd w:val="clear" w:color="auto" w:fill="FFFFFF"/>
    </w:rPr>
  </w:style>
  <w:style w:type="character" w:customStyle="1" w:styleId="layui-layer-tabnow">
    <w:name w:val="layui-layer-tabnow"/>
    <w:qFormat/>
    <w:rPr>
      <w:bdr w:val="single" w:sz="4" w:space="0" w:color="CCCCCC"/>
      <w:shd w:val="clear" w:color="auto" w:fill="FFFFFF"/>
    </w:rPr>
  </w:style>
  <w:style w:type="character" w:customStyle="1" w:styleId="first-child">
    <w:name w:val="first-child"/>
    <w:qFormat/>
  </w:style>
  <w:style w:type="character" w:customStyle="1" w:styleId="nth-of-type1">
    <w:name w:val="nth-of-type(1)"/>
    <w:qFormat/>
  </w:style>
  <w:style w:type="character" w:customStyle="1" w:styleId="layui-laypage-curr">
    <w:name w:val="layui-laypage-curr"/>
    <w:qFormat/>
  </w:style>
  <w:style w:type="character" w:customStyle="1" w:styleId="hover14">
    <w:name w:val="hover14"/>
    <w:qFormat/>
    <w:rPr>
      <w:color w:val="CCCCCC"/>
    </w:rPr>
  </w:style>
  <w:style w:type="character" w:customStyle="1" w:styleId="hover6">
    <w:name w:val="hover6"/>
    <w:qFormat/>
    <w:rPr>
      <w:color w:val="CCCCCC"/>
    </w:rPr>
  </w:style>
  <w:style w:type="character" w:customStyle="1" w:styleId="hover3">
    <w:name w:val="hover3"/>
    <w:qFormat/>
    <w:rPr>
      <w:color w:val="CCCCCC"/>
    </w:rPr>
  </w:style>
  <w:style w:type="character" w:customStyle="1" w:styleId="layui-this2">
    <w:name w:val="layui-this2"/>
    <w:qFormat/>
    <w:rPr>
      <w:bdr w:val="single" w:sz="4" w:space="0" w:color="EEEEEE"/>
      <w:shd w:val="clear" w:color="auto" w:fill="FFFFFF"/>
    </w:rPr>
  </w:style>
  <w:style w:type="character" w:customStyle="1" w:styleId="hover12">
    <w:name w:val="hover12"/>
    <w:qFormat/>
    <w:rPr>
      <w:color w:val="CCCCCC"/>
    </w:rPr>
  </w:style>
  <w:style w:type="paragraph" w:customStyle="1" w:styleId="TableParagraph">
    <w:name w:val="Table Paragraph"/>
    <w:basedOn w:val="Normal"/>
    <w:uiPriority w:val="1"/>
    <w:qFormat/>
    <w:rPr>
      <w:rFonts w:ascii="宋体" w:eastAsia="宋体" w:hAnsi="宋体" w:cs="宋体"/>
      <w:lang w:val="zh-CN" w:eastAsia="zh-CN" w:bidi="zh-CN"/>
    </w:rPr>
  </w:style>
  <w:style w:type="character" w:customStyle="1" w:styleId="hover5">
    <w:name w:val="hover5"/>
    <w:qFormat/>
    <w:rPr>
      <w:color w:val="CCCCCC"/>
    </w:rPr>
  </w:style>
  <w:style w:type="paragraph" w:customStyle="1" w:styleId="13">
    <w:name w:val="列出段落1"/>
    <w:basedOn w:val="Normal"/>
    <w:uiPriority w:val="34"/>
    <w:qFormat/>
    <w:pPr>
      <w:ind w:firstLine="420" w:firstLineChars="200"/>
    </w:pPr>
    <w:rPr>
      <w:rFonts w:ascii="Calibri" w:hAnsi="Calibri"/>
      <w:szCs w:val="22"/>
    </w:rPr>
  </w:style>
  <w:style w:type="paragraph" w:customStyle="1" w:styleId="CCW">
    <w:name w:val="表格标题CCW"/>
    <w:basedOn w:val="Normal"/>
    <w:qFormat/>
    <w:pPr>
      <w:jc w:val="center"/>
    </w:pPr>
    <w:rPr>
      <w:b/>
      <w:kern w:val="0"/>
      <w:sz w:val="20"/>
      <w:szCs w:val="20"/>
    </w:rPr>
  </w:style>
  <w:style w:type="paragraph" w:customStyle="1" w:styleId="CCW0">
    <w:name w:val="表格内容CCW"/>
    <w:basedOn w:val="Normal"/>
    <w:qFormat/>
    <w:pPr>
      <w:jc w:val="center"/>
    </w:pPr>
    <w:rPr>
      <w:kern w:val="0"/>
      <w:szCs w:val="20"/>
    </w:rPr>
  </w:style>
  <w:style w:type="paragraph" w:customStyle="1" w:styleId="Other1">
    <w:name w:val="Other|1"/>
    <w:basedOn w:val="Normal"/>
    <w:qFormat/>
    <w:pPr>
      <w:widowControl w:val="0"/>
      <w:shd w:val="clear" w:color="auto" w:fill="auto"/>
      <w:spacing w:line="312" w:lineRule="exact"/>
    </w:pPr>
    <w:rPr>
      <w:rFonts w:ascii="宋体" w:eastAsia="宋体" w:hAnsi="宋体" w:cs="宋体"/>
      <w:u w:val="none"/>
      <w:shd w:val="clear" w:color="auto" w:fill="auto"/>
      <w:lang w:val="zh-TW" w:eastAsia="zh-TW" w:bidi="zh-TW"/>
    </w:rPr>
  </w:style>
  <w:style w:type="paragraph" w:customStyle="1" w:styleId="Bodytext1">
    <w:name w:val="Body text|1"/>
    <w:basedOn w:val="Normal"/>
    <w:qFormat/>
    <w:pPr>
      <w:widowControl w:val="0"/>
      <w:shd w:val="clear" w:color="auto" w:fill="auto"/>
      <w:spacing w:line="406" w:lineRule="auto"/>
      <w:ind w:firstLine="400"/>
    </w:pPr>
    <w:rPr>
      <w:rFonts w:ascii="宋体" w:eastAsia="宋体" w:hAnsi="宋体" w:cs="宋体"/>
      <w:u w:val="none"/>
      <w:shd w:val="clear" w:color="auto" w:fill="auto"/>
      <w:lang w:val="zh-TW" w:eastAsia="zh-TW" w:bidi="zh-TW"/>
    </w:rPr>
  </w:style>
  <w:style w:type="paragraph" w:styleId="ListParagraph">
    <w:name w:val="List Paragraph"/>
    <w:basedOn w:val="Normal"/>
    <w:uiPriority w:val="1"/>
    <w:qFormat/>
    <w:pPr>
      <w:ind w:left="1041" w:hanging="602"/>
    </w:pPr>
    <w:rPr>
      <w:rFonts w:ascii="宋体" w:eastAsia="宋体" w:hAnsi="宋体" w:cs="宋体"/>
      <w:lang w:val="zh-CN" w:eastAsia="zh-CN" w:bidi="zh-CN"/>
    </w:rPr>
  </w:style>
  <w:style w:type="paragraph" w:customStyle="1" w:styleId="Normal18">
    <w:name w:val="Normal_18"/>
    <w:basedOn w:val="Normal"/>
    <w:qFormat/>
    <w:pPr>
      <w:widowControl/>
      <w:spacing w:before="120" w:after="240"/>
    </w:pPr>
    <w:rPr>
      <w:rFonts w:ascii="Calibri" w:hAnsi="Calibri"/>
      <w:sz w:val="22"/>
      <w:szCs w:val="22"/>
    </w:rPr>
  </w:style>
  <w:style w:type="character" w:customStyle="1" w:styleId="ttag">
    <w:name w:val="t_tag"/>
    <w:basedOn w:val="DefaultParagraphFont"/>
    <w:qFormat/>
  </w:style>
  <w:style w:type="character" w:customStyle="1" w:styleId="101">
    <w:name w:val="10"/>
    <w:basedOn w:val="DefaultParagraphFont"/>
    <w:qFormat/>
    <w:rPr>
      <w:rFonts w:ascii="Times New Roman" w:hAnsi="Times New Roman" w:cs="Times New Roman" w:hint="default"/>
    </w:rPr>
  </w:style>
  <w:style w:type="table" w:customStyle="1" w:styleId="TableNormal0">
    <w:name w:val="Table Normal_0"/>
    <w:basedOn w:val="TableNormal"/>
    <w:qFormat/>
    <w:pPr>
      <w:keepNext w:val="0"/>
      <w:keepLines w:val="0"/>
      <w:widowControl/>
      <w:suppressLineNumbers w:val="0"/>
      <w:spacing w:before="0" w:beforeAutospacing="0" w:after="0" w:afterAutospacing="0"/>
      <w:ind w:left="0" w:right="0"/>
    </w:pPr>
    <w:rPr>
      <w:rFonts w:ascii="Times New Roman" w:hAnsi="Times New Roman" w:cs="Times New Roman" w:hint="default"/>
      <w:sz w:val="20"/>
      <w:szCs w:val="20"/>
    </w:rPr>
    <w:tblPr>
      <w:tblCellMar>
        <w:top w:w="0" w:type="dxa"/>
        <w:left w:w="0" w:type="dxa"/>
        <w:bottom w:w="0" w:type="dxa"/>
        <w:right w:w="0" w:type="dxa"/>
      </w:tblCellMar>
    </w:tblPr>
  </w:style>
  <w:style w:type="paragraph" w:customStyle="1" w:styleId="20">
    <w:name w:val="表格2"/>
    <w:basedOn w:val="Normal"/>
    <w:qFormat/>
    <w:pPr>
      <w:spacing w:line="240" w:lineRule="auto"/>
      <w:ind w:firstLine="0" w:firstLineChars="0"/>
      <w:jc w:val="center"/>
    </w:pPr>
    <w:rPr>
      <w:sz w:val="21"/>
    </w:rPr>
  </w:style>
  <w:style w:type="paragraph" w:customStyle="1" w:styleId="a14">
    <w:name w:val="河南正文"/>
    <w:basedOn w:val="BodyTextIndent"/>
    <w:qFormat/>
    <w:pPr>
      <w:spacing w:line="520" w:lineRule="exact"/>
      <w:ind w:left="0" w:firstLine="560" w:firstLineChars="200"/>
    </w:pPr>
    <w:rPr>
      <w:sz w:val="28"/>
      <w:szCs w:val="21"/>
    </w:rPr>
  </w:style>
  <w:style w:type="paragraph" w:customStyle="1" w:styleId="-ls">
    <w:name w:val="正文-ls"/>
    <w:basedOn w:val="Normal"/>
    <w:qFormat/>
    <w:pPr>
      <w:ind w:firstLine="200"/>
    </w:pPr>
    <w:rPr>
      <w:rFonts w:hAnsi="宋体"/>
      <w:kern w:val="0"/>
      <w:szCs w:val="20"/>
    </w:rPr>
  </w:style>
  <w:style w:type="character" w:customStyle="1" w:styleId="btnas">
    <w:name w:val="btna_s"/>
    <w:basedOn w:val="DefaultParagraphFont"/>
    <w:qFormat/>
    <w:rPr>
      <w:color w:val="FFFFFF"/>
    </w:rPr>
  </w:style>
  <w:style w:type="character" w:customStyle="1" w:styleId="ap3">
    <w:name w:val="a_p_3"/>
    <w:basedOn w:val="DefaultParagraphFont"/>
    <w:qFormat/>
    <w:rPr>
      <w:sz w:val="21"/>
      <w:szCs w:val="21"/>
    </w:rPr>
  </w:style>
  <w:style w:type="character" w:customStyle="1" w:styleId="ap1">
    <w:name w:val="a_p_1"/>
    <w:basedOn w:val="DefaultParagraphFont"/>
    <w:qFormat/>
    <w:rPr>
      <w:sz w:val="21"/>
      <w:szCs w:val="21"/>
    </w:rPr>
  </w:style>
  <w:style w:type="character" w:customStyle="1" w:styleId="ullia1">
    <w:name w:val="ul_li_a_1"/>
    <w:basedOn w:val="DefaultParagraphFont"/>
    <w:qFormat/>
    <w:rPr>
      <w:b/>
      <w:bCs/>
      <w:color w:val="FFFFFF"/>
    </w:rPr>
  </w:style>
  <w:style w:type="character" w:customStyle="1" w:styleId="current">
    <w:name w:val="current"/>
    <w:basedOn w:val="DefaultParagraphFont"/>
    <w:qFormat/>
    <w:rPr>
      <w:b/>
      <w:bCs/>
      <w:color w:val="000000"/>
      <w:bdr w:val="single" w:sz="4" w:space="0" w:color="E89954"/>
      <w:shd w:val="clear" w:color="auto" w:fill="E89954"/>
    </w:rPr>
  </w:style>
  <w:style w:type="character" w:customStyle="1" w:styleId="ap2">
    <w:name w:val="a_p_2"/>
    <w:basedOn w:val="DefaultParagraphFont"/>
    <w:qFormat/>
    <w:rPr>
      <w:sz w:val="21"/>
      <w:szCs w:val="21"/>
    </w:rPr>
  </w:style>
  <w:style w:type="character" w:customStyle="1" w:styleId="ap21">
    <w:name w:val="a_p_21"/>
    <w:basedOn w:val="DefaultParagraphFont"/>
    <w:qFormat/>
  </w:style>
  <w:style w:type="character" w:customStyle="1" w:styleId="gwdsnopic">
    <w:name w:val="gwds_nopic"/>
    <w:basedOn w:val="DefaultParagraphFont"/>
    <w:qFormat/>
  </w:style>
  <w:style w:type="character" w:customStyle="1" w:styleId="gwdsnopic1">
    <w:name w:val="gwds_nopic1"/>
    <w:basedOn w:val="DefaultParagraphFont"/>
    <w:qFormat/>
  </w:style>
  <w:style w:type="character" w:customStyle="1" w:styleId="gwdsnopic2">
    <w:name w:val="gwds_nopic2"/>
    <w:basedOn w:val="DefaultParagraphFont"/>
    <w:qFormat/>
  </w:style>
  <w:style w:type="character" w:customStyle="1" w:styleId="font">
    <w:name w:val="font"/>
    <w:basedOn w:val="DefaultParagraphFont"/>
    <w:qFormat/>
  </w:style>
  <w:style w:type="character" w:customStyle="1" w:styleId="font1">
    <w:name w:val="font1"/>
    <w:basedOn w:val="DefaultParagraphFont"/>
    <w:qFormat/>
  </w:style>
  <w:style w:type="character" w:customStyle="1" w:styleId="exap">
    <w:name w:val="exap"/>
    <w:basedOn w:val="DefaultParagraphFont"/>
    <w:qFormat/>
    <w:rPr>
      <w:sz w:val="21"/>
      <w:szCs w:val="21"/>
    </w:rPr>
  </w:style>
  <w:style w:type="character" w:customStyle="1" w:styleId="disabled">
    <w:name w:val="disabled"/>
    <w:basedOn w:val="DefaultParagraphFont"/>
    <w:qFormat/>
    <w:rPr>
      <w:color w:val="CCCCCC"/>
      <w:bdr w:val="single" w:sz="4" w:space="0" w:color="CCCCCC"/>
    </w:rPr>
  </w:style>
  <w:style w:type="character" w:customStyle="1" w:styleId="current2">
    <w:name w:val="current2"/>
    <w:basedOn w:val="DefaultParagraphFont"/>
    <w:qFormat/>
    <w:rPr>
      <w:b/>
      <w:bCs/>
      <w:color w:val="000000"/>
      <w:bdr w:val="single" w:sz="4" w:space="0" w:color="E89954"/>
      <w:shd w:val="clear" w:color="auto" w:fill="E89954"/>
    </w:rPr>
  </w:style>
  <w:style w:type="character" w:customStyle="1" w:styleId="disabled2">
    <w:name w:val="disabled2"/>
    <w:basedOn w:val="DefaultParagraphFont"/>
    <w:qFormat/>
    <w:rPr>
      <w:color w:val="CCCCCC"/>
      <w:bdr w:val="single" w:sz="4" w:space="0" w:color="CCCCCC"/>
    </w:rPr>
  </w:style>
  <w:style w:type="paragraph" w:customStyle="1" w:styleId="1222">
    <w:name w:val="样式 样式 样式 样式 样式 样式 首行缩进:  1 字符 + 首行缩进:  2 字符2 + 首行缩进:  2 字符 行距: 固..."/>
    <w:basedOn w:val="Normal"/>
    <w:qFormat/>
    <w:pPr>
      <w:adjustRightInd w:val="0"/>
      <w:snapToGrid w:val="0"/>
      <w:spacing w:line="360" w:lineRule="auto"/>
      <w:ind w:firstLine="480" w:firstLineChars="200"/>
    </w:pPr>
    <w:rPr>
      <w:rFonts w:ascii="宋体" w:hAnsi="宋体" w:cs="宋体"/>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hyperlink" Target="https://d.book118.com/877116006161006054" TargetMode="External" /><Relationship Id="rId17" Type="http://schemas.openxmlformats.org/officeDocument/2006/relationships/footer" Target="footer11.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1.png" /><Relationship Id="rId9" Type="http://schemas.openxmlformats.org/officeDocument/2006/relationships/footer" Target="foot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26100</Words>
  <Characters>29808</Characters>
  <Application>Microsoft Office Word</Application>
  <DocSecurity>0</DocSecurity>
  <Lines>1</Lines>
  <Paragraphs>1</Paragraphs>
  <ScaleCrop>false</ScaleCrop>
  <Company>微软中国</Company>
  <LinksUpToDate>false</LinksUpToDate>
  <CharactersWithSpaces>30039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WPS_1559717548</cp:lastModifiedBy>
  <cp:revision>1</cp:revision>
  <cp:lastPrinted>2020-12-29T02:43:00Z</cp:lastPrinted>
  <dcterms:created xsi:type="dcterms:W3CDTF">2020-12-24T01:29:00Z</dcterms:created>
  <dcterms:modified xsi:type="dcterms:W3CDTF">2024-03-21T02:31:59Z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E4F43759CAD84DEA8E76B9AAD607C573_13</vt:lpwstr>
  </property>
  <property fmtid="{D5CDD505-2E9C-101B-9397-08002B2CF9AE}" pid="3" name="KSOProductBuildVer">
    <vt:lpwstr>2052-11.1.0.10009</vt:lpwstr>
  </property>
</Properties>
</file>