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1894" w:right="253" w:hanging="160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受控核聚变装置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及配套产品项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391702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(二)、受控核聚变装置及配套产品项目技术工艺分析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、受控核聚变装置及配套产品项目技术流程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受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控核聚变装置及配套产品项目可行性研究报告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受控核聚变装置及配套产品项目总平面设计要求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社会责任受控核聚变装置及配套产品项目与计划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792172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(五)、受控核聚变装置及配套产品项目实施保障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(一)、受控核聚变装置及配套产品项目风险分析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(二)、受控核聚变装置及配套产品项目风险对策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016292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项目商业计划书旨在全面介绍和规划一个创新性的受控核聚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装置及配套产品项目，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以满足需求。该方案的目的是为了提供受控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核</w:t>
      </w:r>
      <w:r>
        <w:rPr>
          <w:rFonts w:ascii="FangSong" w:eastAsia="FangSong" w:hAnsi="FangSong" w:cs="FangSong"/>
          <w:spacing w:val="-8"/>
          <w:sz w:val="28"/>
          <w:szCs w:val="28"/>
        </w:rPr>
        <w:t>聚变装置及配套产品项目的全面概览，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键</w:t>
      </w:r>
      <w:r>
        <w:rPr>
          <w:rFonts w:ascii="FangSong" w:eastAsia="FangSong" w:hAnsi="FangSong" w:cs="FangSong"/>
          <w:spacing w:val="-8"/>
          <w:sz w:val="28"/>
          <w:szCs w:val="28"/>
        </w:rPr>
        <w:t>利益相关者和实施计划。通过本方案的学习交流，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提供一个深入了解项目的平台，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以促进进一步的合作和研究。请注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footerReference w:type="default" r:id="rId6"/>
          <w:pgSz w:w="11906" w:h="16839"/>
          <w:pgMar w:top="1431" w:right="1704" w:bottom="40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(二)、受控核聚变装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置及配套产品项目技术工艺分析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footerReference w:type="default" r:id="rId7"/>
          <w:pgSz w:w="11906" w:h="16839"/>
          <w:pgMar w:top="1431" w:right="1750" w:bottom="40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提供优质产品和服务。保障工艺流程能够满足受控核聚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变</w:t>
      </w:r>
      <w:r>
        <w:rPr>
          <w:rFonts w:ascii="FangSong" w:eastAsia="FangSong" w:hAnsi="FangSong" w:cs="FangSong"/>
          <w:spacing w:val="-12"/>
          <w:sz w:val="28"/>
          <w:szCs w:val="28"/>
        </w:rPr>
        <w:t>装置及配套产品项目产品要求，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流程技术要求进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受控核聚变装置及配套产品项目建设贯彻“三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时”的原则，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控核聚变装置及配套产品项目拟采用国内成熟的生产工艺，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产技术由生产技术人员和研发技术人员共同制定。所采用的技术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耗低、高质量、高环保性的特点，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获</w:t>
      </w:r>
      <w:r>
        <w:rPr>
          <w:rFonts w:ascii="FangSong" w:eastAsia="FangSong" w:hAnsi="FangSong" w:cs="FangSong"/>
          <w:spacing w:val="-9"/>
          <w:sz w:val="28"/>
          <w:szCs w:val="28"/>
        </w:rPr>
        <w:t>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29" w:right="7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受控核聚变装置及配套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品项目的技术保障措施从设计、施工、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试</w:t>
      </w:r>
      <w:r>
        <w:rPr>
          <w:rFonts w:ascii="FangSong" w:eastAsia="FangSong" w:hAnsi="FangSong" w:cs="FangSong"/>
          <w:spacing w:val="-12"/>
          <w:sz w:val="28"/>
          <w:szCs w:val="28"/>
        </w:rPr>
        <w:t>运行到投产、销售等各个环节，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受控核聚变装置及配套产品项目在技术开发和生产技术应用上达</w:t>
      </w:r>
      <w:r>
        <w:rPr>
          <w:rFonts w:ascii="FangSong" w:eastAsia="FangSong" w:hAnsi="FangSong" w:cs="FangSong"/>
          <w:spacing w:val="2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现代化生产水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。这种综合的技术支持将确保受控核聚变装置及配套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品项目的可持续发展和高效运营。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(三)、受控核聚变装置及配套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产品项目技术流程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34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控核聚变装置及配套产品项目运营中，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进行技术持续改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据分析工具监测和分析受控核聚变装置及配套产品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共同构建了高效、稳定的受控核聚变装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及配套产品项目技术实施框架，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确保受控核聚变装置及配套产品项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目顺利推进。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3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保选用的设备能够满足受控核聚变装置及配套产品项目的技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要求，例如：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88" w:line="417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保所选设备与受控核聚变装置及配套产品项目工艺流程相匹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配</w:t>
      </w:r>
      <w:r>
        <w:rPr>
          <w:rFonts w:ascii="FangSong" w:eastAsia="FangSong" w:hAnsi="FangSong" w:cs="FangSong"/>
          <w:spacing w:val="-13"/>
          <w:sz w:val="28"/>
          <w:szCs w:val="28"/>
        </w:rPr>
        <w:t>，例如：</w:t>
      </w:r>
    </w:p>
    <w:p>
      <w:pPr>
        <w:spacing w:before="1" w:line="411" w:lineRule="auto"/>
        <w:ind w:left="49" w:right="14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确认设备的生产能力是否符合受控核聚变装置及配套产品项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产能需求。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7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受控核聚变装置及配套产品项目可行性研究报告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在受</w:t>
      </w:r>
      <w:r>
        <w:rPr>
          <w:rFonts w:ascii="FangSong" w:eastAsia="FangSong" w:hAnsi="FangSong" w:cs="FangSong"/>
          <w:spacing w:val="-13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核聚变装置及配套产品行业，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</w:t>
      </w:r>
    </w:p>
    <w:p>
      <w:pPr>
        <w:sectPr>
          <w:footerReference w:type="default" r:id="rId12"/>
          <w:pgSz w:w="11906" w:h="16839"/>
          <w:pgMar w:top="1431" w:right="1603" w:bottom="40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提供卓越的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验和实用性，突显以下核心价值：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footerReference w:type="default" r:id="rId13"/>
          <w:pgSz w:w="11906" w:h="16839"/>
          <w:pgMar w:top="1431" w:right="1718" w:bottom="400" w:left="1785" w:header="0" w:footer="0" w:gutter="0"/>
          <w:pgNumType w:start="19"/>
          <w:cols w:space="708"/>
        </w:sectPr>
      </w:pPr>
    </w:p>
    <w:p>
      <w:pPr>
        <w:spacing w:before="182" w:line="417" w:lineRule="auto"/>
        <w:ind w:left="34" w:right="10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上脱颖而出，成为消费者首选的受控核聚变装置及配套产品产品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受控核聚变装</w:t>
      </w:r>
      <w:r>
        <w:rPr>
          <w:rFonts w:ascii="FangSong" w:eastAsia="FangSong" w:hAnsi="FangSong" w:cs="FangSong"/>
          <w:spacing w:val="-1"/>
          <w:sz w:val="28"/>
          <w:szCs w:val="28"/>
        </w:rPr>
        <w:t>置及配套产品项目总投资</w:t>
      </w:r>
    </w:p>
    <w:p>
      <w:pPr>
        <w:spacing w:before="288" w:line="411" w:lineRule="auto"/>
        <w:ind w:left="37" w:right="10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建设规模旨在实现一个全面、可持续的受控核聚变装置及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配套产品项目。受控核聚变装置及配套产品项目总投资将主要用于</w:t>
      </w:r>
      <w:r>
        <w:rPr>
          <w:rFonts w:ascii="FangSong" w:eastAsia="FangSong" w:hAnsi="FangSong" w:cs="FangSong"/>
          <w:spacing w:val="-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下几个方面：</w:t>
      </w:r>
    </w:p>
    <w:p>
      <w:pPr>
        <w:spacing w:before="1" w:line="411" w:lineRule="auto"/>
        <w:ind w:left="33" w:right="107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控核聚变装置及配套产品项目的顺利进行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107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一部分资金将用于技术研发，以确保受控核聚变装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置及配</w:t>
      </w:r>
      <w:r>
        <w:rPr>
          <w:rFonts w:ascii="FangSong" w:eastAsia="FangSong" w:hAnsi="FangSong" w:cs="FangSong"/>
          <w:spacing w:val="-3"/>
          <w:sz w:val="28"/>
          <w:szCs w:val="28"/>
        </w:rPr>
        <w:t>套</w:t>
      </w:r>
      <w:r>
        <w:rPr>
          <w:rFonts w:ascii="FangSong" w:eastAsia="FangSong" w:hAnsi="FangSong" w:cs="FangSong"/>
          <w:spacing w:val="-2"/>
          <w:sz w:val="28"/>
          <w:szCs w:val="28"/>
        </w:rPr>
        <w:t>产品项目引领行业发展潮流，保持技术创新。</w:t>
      </w:r>
    </w:p>
    <w:p>
      <w:pPr>
        <w:spacing w:before="1" w:line="411" w:lineRule="auto"/>
        <w:ind w:left="41" w:right="107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受控核聚变装置及配</w:t>
      </w:r>
      <w:r>
        <w:rPr>
          <w:rFonts w:ascii="FangSong" w:eastAsia="FangSong" w:hAnsi="FangSong" w:cs="FangSong"/>
          <w:sz w:val="28"/>
          <w:szCs w:val="28"/>
        </w:rPr>
        <w:t>套产品项目规模与产能</w:t>
      </w:r>
    </w:p>
    <w:p>
      <w:pPr>
        <w:spacing w:before="288" w:line="339" w:lineRule="auto"/>
        <w:ind w:left="49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我们计划在受控核聚变装置及配套</w:t>
      </w:r>
      <w:r>
        <w:rPr>
          <w:rFonts w:ascii="FangSong" w:eastAsia="FangSong" w:hAnsi="FangSong" w:cs="FangSong"/>
          <w:sz w:val="28"/>
          <w:szCs w:val="28"/>
        </w:rPr>
        <w:t>产品项目建设后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0"/>
          <w:sz w:val="28"/>
          <w:szCs w:val="28"/>
        </w:rPr>
        <w:t>第</w:t>
      </w:r>
      <w:r>
        <w:rPr>
          <w:rFonts w:ascii="FangSong" w:eastAsia="FangSong" w:hAnsi="FangSong" w:cs="FangSong"/>
          <w:spacing w:val="-12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的年产量水平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</w:p>
    <w:p>
      <w:pPr>
        <w:spacing w:before="1" w:line="383" w:lineRule="auto"/>
        <w:ind w:left="32" w:right="44" w:firstLine="7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受控核聚变装置及配套产品项目</w:t>
      </w:r>
      <w:r>
        <w:rPr>
          <w:rFonts w:ascii="FangSong" w:eastAsia="FangSong" w:hAnsi="FangSong" w:cs="FangSong"/>
          <w:sz w:val="28"/>
          <w:szCs w:val="28"/>
        </w:rPr>
        <w:t>规模：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受控核聚变装置及配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套产品项目将建设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，包括生产厂房、办公区域、仓储设施等。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这将确保受控核聚</w:t>
      </w:r>
      <w:r>
        <w:rPr>
          <w:rFonts w:ascii="FangSong" w:eastAsia="FangSong" w:hAnsi="FangSong" w:cs="FangSong"/>
          <w:spacing w:val="-3"/>
          <w:sz w:val="28"/>
          <w:szCs w:val="28"/>
        </w:rPr>
        <w:t>变</w:t>
      </w:r>
      <w:r>
        <w:rPr>
          <w:rFonts w:ascii="FangSong" w:eastAsia="FangSong" w:hAnsi="FangSong" w:cs="FangSong"/>
          <w:spacing w:val="-2"/>
          <w:sz w:val="28"/>
          <w:szCs w:val="28"/>
        </w:rPr>
        <w:t>装置及配套产品项目能够满足预期的产能需求，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并为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3"/>
          <w:sz w:val="28"/>
          <w:szCs w:val="28"/>
        </w:rPr>
        <w:t>来的扩展提供充足的空间。</w:t>
      </w:r>
    </w:p>
    <w:p>
      <w:pPr>
        <w:sectPr>
          <w:footerReference w:type="default" r:id="rId14"/>
          <w:pgSz w:w="11906" w:h="16839"/>
          <w:pgMar w:top="1431" w:right="1692" w:bottom="40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以确保受控核聚变装置及配套产品项目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受控核聚变装置及配套产</w:t>
      </w:r>
      <w:r>
        <w:rPr>
          <w:rFonts w:ascii="FangSong" w:eastAsia="FangSong" w:hAnsi="FangSong" w:cs="FangSong"/>
          <w:sz w:val="28"/>
          <w:szCs w:val="28"/>
        </w:rPr>
        <w:t>品项目总投资与用地规模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该</w:t>
      </w:r>
      <w:r>
        <w:rPr>
          <w:rFonts w:ascii="FangSong" w:eastAsia="FangSong" w:hAnsi="FangSong" w:cs="FangSong"/>
          <w:spacing w:val="11"/>
          <w:sz w:val="28"/>
          <w:szCs w:val="28"/>
        </w:rPr>
        <w:t>受</w:t>
      </w:r>
      <w:r>
        <w:rPr>
          <w:rFonts w:ascii="FangSong" w:eastAsia="FangSong" w:hAnsi="FangSong" w:cs="FangSong"/>
          <w:spacing w:val="6"/>
          <w:sz w:val="28"/>
          <w:szCs w:val="28"/>
        </w:rPr>
        <w:t>控核聚变装置及配套产品项目总征地面积为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平方米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7"/>
          <w:sz w:val="28"/>
          <w:szCs w:val="28"/>
        </w:rPr>
        <w:t>受控核聚变装置及配套产品项目规划的总建筑面积为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米，包括规划建设主体工程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预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11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4" w:lineRule="auto"/>
        <w:ind w:left="31" w:right="6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受控核聚变装置及配套产品项目计划购置设备共计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万元。这些设备将在受控核聚变装置及配套产品项目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运营中发</w:t>
      </w:r>
      <w:r>
        <w:rPr>
          <w:rFonts w:ascii="FangSong" w:eastAsia="FangSong" w:hAnsi="FangSong" w:cs="FangSong"/>
          <w:spacing w:val="-3"/>
          <w:sz w:val="28"/>
          <w:szCs w:val="28"/>
        </w:rPr>
        <w:t>挥</w:t>
      </w:r>
      <w:r>
        <w:rPr>
          <w:rFonts w:ascii="FangSong" w:eastAsia="FangSong" w:hAnsi="FangSong" w:cs="FangSong"/>
          <w:spacing w:val="-2"/>
          <w:sz w:val="28"/>
          <w:szCs w:val="28"/>
        </w:rPr>
        <w:t>关键作用，提高生产效率和产品质量。</w:t>
      </w:r>
    </w:p>
    <w:p>
      <w:pPr>
        <w:sectPr>
          <w:footerReference w:type="default" r:id="rId15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核聚变装置及配套产品项目计划总投资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用地费、建筑工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营业收入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万元，这将为受控核聚变装置及配套产品项目未来的发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展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供可观的经济回报。</w:t>
      </w:r>
    </w:p>
    <w:p>
      <w:pPr>
        <w:spacing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在受</w:t>
      </w:r>
      <w:r>
        <w:rPr>
          <w:rFonts w:ascii="FangSong" w:eastAsia="FangSong" w:hAnsi="FangSong" w:cs="FangSong"/>
          <w:spacing w:val="-15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核聚变装置及配套产品项目的建筑工程设计过程中，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遵循以下基本设计原则，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以确保受控核聚变装置及配套产品项目的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(二)、受控核聚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变装置及配套产品项目总平面设计要求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0" w:right="5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受控核</w:t>
      </w:r>
      <w:r>
        <w:rPr>
          <w:rFonts w:ascii="FangSong" w:eastAsia="FangSong" w:hAnsi="FangSong" w:cs="FangSong"/>
          <w:spacing w:val="9"/>
          <w:sz w:val="28"/>
          <w:szCs w:val="28"/>
        </w:rPr>
        <w:t>聚</w:t>
      </w:r>
      <w:r>
        <w:rPr>
          <w:rFonts w:ascii="FangSong" w:eastAsia="FangSong" w:hAnsi="FangSong" w:cs="FangSong"/>
          <w:spacing w:val="5"/>
          <w:sz w:val="28"/>
          <w:szCs w:val="28"/>
        </w:rPr>
        <w:t>变装置及配套产品项目总平面设计将充分考虑以下要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求，以确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整体设计满足工程的需要并符合相关规范：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footerReference w:type="default" r:id="rId17"/>
          <w:pgSz w:w="11906" w:h="16839"/>
          <w:pgMar w:top="1431" w:right="1743" w:bottom="40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，适应受控核聚变装置及配套产品项目的实际使用需要。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虑受控核聚变装置及配套产品项目所处地区的地质条件和地</w:t>
      </w:r>
    </w:p>
    <w:p>
      <w:pPr>
        <w:sectPr>
          <w:footerReference w:type="default" r:id="rId18"/>
          <w:pgSz w:w="11906" w:h="16839"/>
          <w:pgMar w:top="1431" w:right="1718" w:bottom="40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51" w:right="95" w:hanging="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8"/>
          <w:sz w:val="28"/>
          <w:szCs w:val="28"/>
        </w:rPr>
        <w:t>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时能</w:t>
      </w:r>
      <w:r>
        <w:rPr>
          <w:rFonts w:ascii="FangSong" w:eastAsia="FangSong" w:hAnsi="FangSong" w:cs="FangSong"/>
          <w:spacing w:val="-7"/>
          <w:sz w:val="28"/>
          <w:szCs w:val="28"/>
        </w:rPr>
        <w:t>够</w:t>
      </w:r>
      <w:r>
        <w:rPr>
          <w:rFonts w:ascii="FangSong" w:eastAsia="FangSong" w:hAnsi="FangSong" w:cs="FangSong"/>
          <w:spacing w:val="-4"/>
          <w:sz w:val="28"/>
          <w:szCs w:val="28"/>
        </w:rPr>
        <w:t>安全稳定地承受地震作用。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5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结合受控核聚变装置及配套产品项目的实际需求和环境条件，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土建工程的耐久性和使用寿命。采用合适的材料和工艺，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筑在长时间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筑工程的设计总体要求是确保受控核聚变装置及配套产品项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续性等方面取得平衡。下</w:t>
      </w:r>
      <w:r>
        <w:rPr>
          <w:rFonts w:ascii="FangSong" w:eastAsia="FangSong" w:hAnsi="FangSong" w:cs="FangSong"/>
          <w:spacing w:val="-3"/>
          <w:sz w:val="28"/>
          <w:szCs w:val="28"/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3" w:right="95" w:firstLine="11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确保</w:t>
      </w:r>
      <w:r>
        <w:rPr>
          <w:rFonts w:ascii="FangSong" w:eastAsia="FangSong" w:hAnsi="FangSong" w:cs="FangSong"/>
          <w:spacing w:val="10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筑的功能布局满足受控核聚变装置及配套产品项目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需求，各功能区域合</w:t>
      </w:r>
      <w:r>
        <w:rPr>
          <w:rFonts w:ascii="FangSong" w:eastAsia="FangSong" w:hAnsi="FangSong" w:cs="FangSong"/>
          <w:spacing w:val="-2"/>
          <w:sz w:val="28"/>
          <w:szCs w:val="28"/>
        </w:rPr>
        <w:t>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footerReference w:type="default" r:id="rId19"/>
          <w:pgSz w:w="11906" w:h="16839"/>
          <w:pgMar w:top="1431" w:right="1704" w:bottom="40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footerReference w:type="default" r:id="rId20"/>
          <w:pgSz w:w="11906" w:h="16839"/>
          <w:pgMar w:top="1431" w:right="1724" w:bottom="40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5" w:lineRule="auto"/>
        <w:ind w:left="40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够</w:t>
      </w:r>
      <w:r>
        <w:rPr>
          <w:rFonts w:ascii="FangSong" w:eastAsia="FangSong" w:hAnsi="FangSong" w:cs="FangSong"/>
          <w:spacing w:val="-8"/>
          <w:sz w:val="28"/>
          <w:szCs w:val="28"/>
        </w:rPr>
        <w:t>达到高标准，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满足受控核聚变装置及配套产品项目的长期发展需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2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控核聚变装置及配套产品项目规划的总建筑面积为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米，充分考虑到受控</w:t>
      </w:r>
      <w:r>
        <w:rPr>
          <w:rFonts w:ascii="FangSong" w:eastAsia="FangSong" w:hAnsi="FangSong" w:cs="FangSong"/>
          <w:spacing w:val="-2"/>
          <w:sz w:val="28"/>
          <w:szCs w:val="28"/>
        </w:rPr>
        <w:t>核聚变装置及配套产品项目的功能布局和需求，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</w:t>
      </w:r>
      <w:r>
        <w:rPr>
          <w:rFonts w:ascii="FangSong" w:eastAsia="FangSong" w:hAnsi="FangSong" w:cs="FangSong"/>
          <w:spacing w:val="-3"/>
          <w:sz w:val="28"/>
          <w:szCs w:val="28"/>
        </w:rPr>
        <w:t>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占受控核聚变装置及配套产品项目总投资比例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ectPr>
          <w:footerReference w:type="default" r:id="rId21"/>
          <w:pgSz w:w="11906" w:h="16839"/>
          <w:pgMar w:top="1431" w:right="1743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2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筑工程投资占受控核聚变装置及配套产品项目总投资的比例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XX%，在整体投资结构中占有合理比例，确保资金分配的均衡性。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足未来受控核聚变装置及配套产品项目运营的需求，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度</w:t>
      </w:r>
      <w:r>
        <w:rPr>
          <w:rFonts w:ascii="FangSong" w:eastAsia="FangSong" w:hAnsi="FangSong" w:cs="FangSong"/>
          <w:spacing w:val="-10"/>
          <w:sz w:val="28"/>
          <w:szCs w:val="28"/>
        </w:rPr>
        <w:t>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受控核</w:t>
      </w:r>
      <w:r>
        <w:rPr>
          <w:rFonts w:ascii="FangSong" w:eastAsia="FangSong" w:hAnsi="FangSong" w:cs="FangSong"/>
          <w:spacing w:val="-6"/>
          <w:sz w:val="28"/>
          <w:szCs w:val="28"/>
        </w:rPr>
        <w:t>聚</w:t>
      </w:r>
      <w:r>
        <w:rPr>
          <w:rFonts w:ascii="FangSong" w:eastAsia="FangSong" w:hAnsi="FangSong" w:cs="FangSong"/>
          <w:spacing w:val="-4"/>
          <w:sz w:val="28"/>
          <w:szCs w:val="28"/>
        </w:rPr>
        <w:t>变装置及配套产品项目整体布局：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使受控核聚变装置及配套产品项目更好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地适应</w:t>
      </w:r>
      <w:r>
        <w:rPr>
          <w:rFonts w:ascii="FangSong" w:eastAsia="FangSong" w:hAnsi="FangSong" w:cs="FangSong"/>
          <w:spacing w:val="-5"/>
          <w:sz w:val="28"/>
          <w:szCs w:val="28"/>
        </w:rPr>
        <w:t>当</w:t>
      </w:r>
      <w:r>
        <w:rPr>
          <w:rFonts w:ascii="FangSong" w:eastAsia="FangSong" w:hAnsi="FangSong" w:cs="FangSong"/>
          <w:spacing w:val="-3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220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受控核聚变装置及配套产品行业作为一个充满活力的领域，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</w:t>
      </w:r>
      <w:r>
        <w:rPr>
          <w:rFonts w:ascii="FangSong" w:eastAsia="FangSong" w:hAnsi="FangSong" w:cs="FangSong"/>
          <w:spacing w:val="-4"/>
          <w:sz w:val="28"/>
          <w:szCs w:val="28"/>
        </w:rPr>
        <w:t>盖</w:t>
      </w:r>
    </w:p>
    <w:p>
      <w:pPr>
        <w:sectPr>
          <w:footerReference w:type="default" r:id="rId22"/>
          <w:pgSz w:w="11906" w:h="16839"/>
          <w:pgMar w:top="1431" w:right="1623" w:bottom="40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7" w:right="14" w:firstLine="3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了</w:t>
      </w:r>
      <w:r>
        <w:rPr>
          <w:rFonts w:ascii="FangSong" w:eastAsia="FangSong" w:hAnsi="FangSong" w:cs="FangSong"/>
          <w:spacing w:val="-9"/>
          <w:sz w:val="28"/>
          <w:szCs w:val="28"/>
        </w:rPr>
        <w:t>广泛的产品和服务，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为国家经济的健康发展做出了积极贡献。其多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元化的业务领域使得该行业成为科技进步、市场需求不断演变的前</w:t>
      </w:r>
      <w:r>
        <w:rPr>
          <w:rFonts w:ascii="FangSong" w:eastAsia="FangSong" w:hAnsi="FangSong" w:cs="FangSong"/>
          <w:spacing w:val="-2"/>
          <w:sz w:val="28"/>
          <w:szCs w:val="28"/>
        </w:rPr>
        <w:t>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阵</w:t>
      </w:r>
      <w:r>
        <w:rPr>
          <w:rFonts w:ascii="FangSong" w:eastAsia="FangSong" w:hAnsi="FangSong" w:cs="FangSong"/>
          <w:spacing w:val="-13"/>
          <w:sz w:val="28"/>
          <w:szCs w:val="28"/>
        </w:rPr>
        <w:t>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受控核聚变装置及配套产品行业在技术上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取</w:t>
      </w:r>
      <w:r>
        <w:rPr>
          <w:rFonts w:ascii="FangSong" w:eastAsia="FangSong" w:hAnsi="FangSong" w:cs="FangSong"/>
          <w:spacing w:val="-8"/>
          <w:sz w:val="28"/>
          <w:szCs w:val="28"/>
        </w:rPr>
        <w:t>得了显著的突破。高新技术的广泛应用，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如人工智能、大数据分析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还拓展了产品和服务的边界。这种技术水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的提升为行业带来了更多的发展可能性，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字化和智能化方向迅速发展。</w:t>
      </w:r>
    </w:p>
    <w:p>
      <w:pPr>
        <w:sectPr>
          <w:footerReference w:type="default" r:id="rId23"/>
          <w:pgSz w:w="11906" w:h="16839"/>
          <w:pgMar w:top="1431" w:right="1785" w:bottom="40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**受控核聚变装置及配套产品行业**是一片充满活力的领域，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了广泛的产品和服务。根据最新的统计数据，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了平稳增长，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领</w:t>
      </w:r>
      <w:r>
        <w:rPr>
          <w:rFonts w:ascii="FangSong" w:eastAsia="FangSong" w:hAnsi="FangSong" w:cs="FangSong"/>
          <w:spacing w:val="-6"/>
          <w:sz w:val="28"/>
          <w:szCs w:val="28"/>
        </w:rPr>
        <w:t>域包括但不限于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控核聚变装置及配套产品行业市场规模庞大，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势头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不减。这主要受益于消费者对高品质产品和创新服务的不断追求。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加剧了行业内的竞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争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7" w:lineRule="auto"/>
        <w:ind w:left="33" w:right="16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受控核聚变装置及配套产品行业在技术上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取得了显著的突破。</w:t>
      </w:r>
      <w:r>
        <w:rPr>
          <w:rFonts w:ascii="FangSong" w:eastAsia="FangSong" w:hAnsi="FangSong" w:cs="FangSong"/>
          <w:spacing w:val="-2"/>
          <w:sz w:val="28"/>
          <w:szCs w:val="28"/>
        </w:rPr>
        <w:t>高新技术的应用，如人工智能、大数据分析等，</w:t>
      </w:r>
    </w:p>
    <w:p>
      <w:pPr>
        <w:sectPr>
          <w:footerReference w:type="default" r:id="rId24"/>
          <w:pgSz w:w="11906" w:h="16839"/>
          <w:pgMar w:top="1431" w:right="1603" w:bottom="400" w:left="1785" w:header="0" w:footer="0" w:gutter="0"/>
          <w:pgNumType w:start="30"/>
          <w:cols w:space="708"/>
        </w:sectPr>
      </w:pPr>
    </w:p>
    <w:p>
      <w:pPr>
        <w:spacing w:before="182" w:line="416" w:lineRule="auto"/>
        <w:ind w:left="48" w:right="176" w:hanging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不</w:t>
      </w:r>
      <w:r>
        <w:rPr>
          <w:rFonts w:ascii="FangSong" w:eastAsia="FangSong" w:hAnsi="FangSong" w:cs="FangSong"/>
          <w:spacing w:val="-16"/>
          <w:sz w:val="28"/>
          <w:szCs w:val="28"/>
        </w:rPr>
        <w:t>仅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人力资源配置是确保受控核聚变装置及配套产品项目成功实施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核心要素之一。在岗位设置和人员配备方面，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我们根据受控核聚变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置及配套产品项目规模和复杂性制定了合理的组织结构，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每</w:t>
      </w:r>
      <w:r>
        <w:rPr>
          <w:rFonts w:ascii="FangSong" w:eastAsia="FangSong" w:hAnsi="FangSong" w:cs="FangSong"/>
          <w:spacing w:val="-12"/>
          <w:sz w:val="28"/>
          <w:szCs w:val="28"/>
        </w:rPr>
        <w:t>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们</w:t>
      </w:r>
      <w:r>
        <w:rPr>
          <w:rFonts w:ascii="FangSong" w:eastAsia="FangSong" w:hAnsi="FangSong" w:cs="FangSong"/>
          <w:spacing w:val="-7"/>
          <w:sz w:val="28"/>
          <w:szCs w:val="28"/>
        </w:rPr>
        <w:t>注重专业技能的匹配，确保每个团队成员都具备所需的经验和技能，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提高工作效率和质量。强调团队协作机制，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通过培训和团队建设活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动促进沟通，确保团队内部的信息流通畅顺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0" w:line="412" w:lineRule="auto"/>
        <w:ind w:left="33" w:right="11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员具备应对受控核</w:t>
      </w:r>
      <w:r>
        <w:rPr>
          <w:rFonts w:ascii="FangSong" w:eastAsia="FangSong" w:hAnsi="FangSong" w:cs="FangSong"/>
          <w:spacing w:val="-3"/>
          <w:sz w:val="28"/>
          <w:szCs w:val="28"/>
        </w:rPr>
        <w:t>聚变装置及配套产品项目挑战的能力。通过这些人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资源配置策略，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聚变装置及配套产品项目的顺利实施提供坚实的支持。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https://d.book118.com/877126152154006052</w:t>
        </w:r>
      </w:hyperlink>
    </w:p>
    <w:p/>
    <w:sectPr>
      <w:footerReference w:type="default" r:id="rId26"/>
      <w:pgSz w:w="11906" w:h="16839"/>
      <w:pgMar w:top="1431" w:right="1623" w:bottom="40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hyperlink" Target="https://d.book118.com/877126152154006052" TargetMode="External" /><Relationship Id="rId26" Type="http://schemas.openxmlformats.org/officeDocument/2006/relationships/footer" Target="footer22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2024-03-14T07:55:37Z</vt:filetime>
  </property>
  <property fmtid="{D5CDD505-2E9C-101B-9397-08002B2CF9AE}" pid="3" name="CRO">
    <vt:lpwstr>wqlLaW5nc29mdCBQREYgdG8gV1BTIDgw</vt:lpwstr>
  </property>
</Properties>
</file>