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bookmarkStart w:id="0" w:name="_GoBack"/>
      <w:bookmarkEnd w:id="0"/>
    </w:p>
    <w:p>
      <w:pPr>
        <w:rPr>
          <w:rFonts w:ascii="仿宋" w:eastAsia="仿宋" w:hAnsi="仿宋" w:cs="仿宋" w:hint="eastAsia"/>
          <w:b/>
          <w:sz w:val="40"/>
        </w:rPr>
      </w:pPr>
    </w:p>
    <w:p>
      <w:pPr>
        <w:rPr>
          <w:rFonts w:ascii="仿宋" w:eastAsia="仿宋" w:hAnsi="仿宋" w:cs="仿宋" w:hint="eastAsia"/>
          <w:b/>
          <w:sz w:val="40"/>
        </w:rPr>
      </w:pPr>
    </w:p>
    <w:p>
      <w:pPr>
        <w:spacing w:before="254" w:line="360" w:lineRule="auto"/>
        <w:ind w:left="273"/>
        <w:jc w:val="center"/>
        <w:outlineLvl w:val="0"/>
        <w:rPr>
          <w:rFonts w:ascii="微软雅黑" w:eastAsia="微软雅黑" w:hAnsi="微软雅黑" w:cs="微软雅黑"/>
          <w:b/>
          <w:bCs/>
          <w:color w:val="2D54A0"/>
          <w:spacing w:val="8"/>
          <w:sz w:val="59"/>
          <w:szCs w:val="59"/>
        </w:rPr>
      </w:pPr>
      <w:r>
        <w:rPr>
          <w:rFonts w:ascii="微软雅黑" w:eastAsia="微软雅黑" w:hAnsi="微软雅黑" w:cs="微软雅黑"/>
          <w:b/>
          <w:bCs/>
          <w:color w:val="2D54A0"/>
          <w:spacing w:val="9"/>
          <w:sz w:val="59"/>
          <w:szCs w:val="59"/>
        </w:rPr>
        <w:t>2024年氧气机行业趋势报告</w:t>
      </w: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hint="default"/>
          <w:b/>
          <w:bCs/>
          <w:color w:val="2D54A0"/>
          <w:spacing w:val="8"/>
          <w:sz w:val="44"/>
          <w:szCs w:val="44"/>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微软雅黑" w:eastAsia="微软雅黑" w:hAnsi="微软雅黑" w:cs="微软雅黑" w:hint="eastAsia"/>
          <w:b/>
          <w:bCs/>
          <w:color w:val="2D54A0"/>
          <w:spacing w:val="8"/>
          <w:sz w:val="44"/>
          <w:szCs w:val="44"/>
          <w:lang w:val="en-US" w:eastAsia="zh-CN"/>
        </w:rPr>
        <w:t>《2024年最新评估分析》</w:t>
      </w:r>
    </w:p>
    <w:p>
      <w:pPr>
        <w:spacing w:line="360" w:lineRule="auto"/>
        <w:jc w:val="center"/>
        <w:rPr>
          <w:rFonts w:ascii="微软雅黑" w:eastAsia="微软雅黑" w:hAnsi="微软雅黑" w:cs="微软雅黑" w:hint="eastAsia"/>
          <w:b/>
          <w:bCs w:val="0"/>
          <w:color w:val="2E54A1" w:themeColor="accent1" w:themeShade="BF"/>
          <w:sz w:val="40"/>
        </w:rPr>
      </w:pPr>
      <w:r>
        <w:rPr>
          <w:rFonts w:ascii="微软雅黑" w:eastAsia="微软雅黑" w:hAnsi="微软雅黑" w:cs="微软雅黑" w:hint="eastAsia"/>
          <w:b/>
          <w:bCs w:val="0"/>
          <w:color w:val="2E54A1" w:themeColor="accent1" w:themeShade="BF"/>
          <w:sz w:val="40"/>
          <w:lang w:eastAsia="zh-CN"/>
        </w:rPr>
        <w:t>目录</w:t>
      </w:r>
    </w:p>
    <w:p>
      <w:pPr>
        <w:pStyle w:val="TOC1"/>
        <w:tabs>
          <w:tab w:val="right" w:leader="dot" w:pos="8306"/>
        </w:tabs>
      </w:pPr>
      <w:r>
        <w:fldChar w:fldCharType="begin"/>
      </w:r>
      <w:r>
        <w:instrText>TOC \h \z</w:instrText>
      </w:r>
      <w:r>
        <w:fldChar w:fldCharType="separate"/>
      </w:r>
      <w:hyperlink w:anchor="_Toc22262" w:history="1">
        <w:r>
          <w:rPr>
            <w:rFonts w:ascii="微软雅黑" w:eastAsia="微软雅黑" w:hAnsi="微软雅黑" w:cs="微软雅黑" w:hint="eastAsia"/>
            <w:color w:val="001CAC" w:themeColor="hyperlink" w:themeShade="BF"/>
            <w:lang w:eastAsia="zh-CN"/>
          </w:rPr>
          <w:t>前言</w:t>
        </w:r>
        <w:r>
          <w:tab/>
        </w:r>
        <w:r>
          <w:fldChar w:fldCharType="begin"/>
        </w:r>
        <w:r>
          <w:instrText xml:space="preserve"> PAGEREF _Toc22262 \h </w:instrText>
        </w:r>
        <w:r>
          <w:fldChar w:fldCharType="separate"/>
        </w:r>
        <w:r>
          <w:t>4</w:t>
        </w:r>
        <w:r>
          <w:fldChar w:fldCharType="end"/>
        </w:r>
      </w:hyperlink>
    </w:p>
    <w:p>
      <w:pPr>
        <w:pStyle w:val="TOC1"/>
        <w:tabs>
          <w:tab w:val="right" w:leader="dot" w:pos="8306"/>
        </w:tabs>
      </w:pPr>
      <w:hyperlink w:anchor="_Toc14341" w:history="1">
        <w:r>
          <w:rPr>
            <w:rFonts w:ascii="微软雅黑" w:eastAsia="微软雅黑" w:hAnsi="微软雅黑" w:cs="微软雅黑" w:hint="eastAsia"/>
            <w:color w:val="001CAC" w:themeColor="hyperlink" w:themeShade="BF"/>
            <w:szCs w:val="32"/>
            <w:lang w:eastAsia="zh-CN"/>
          </w:rPr>
          <w:t>一、公司文化与社会责任</w:t>
        </w:r>
        <w:r>
          <w:tab/>
        </w:r>
        <w:r>
          <w:fldChar w:fldCharType="begin"/>
        </w:r>
        <w:r>
          <w:instrText xml:space="preserve"> PAGEREF _Toc14341 \h </w:instrText>
        </w:r>
        <w:r>
          <w:fldChar w:fldCharType="separate"/>
        </w:r>
        <w:r>
          <w:t>4</w:t>
        </w:r>
        <w:r>
          <w:fldChar w:fldCharType="end"/>
        </w:r>
      </w:hyperlink>
    </w:p>
    <w:p>
      <w:pPr>
        <w:pStyle w:val="TOC2"/>
        <w:tabs>
          <w:tab w:val="right" w:leader="dot" w:pos="8306"/>
        </w:tabs>
      </w:pPr>
      <w:hyperlink w:anchor="_Toc25214" w:history="1">
        <w:r>
          <w:rPr>
            <w:rFonts w:ascii="宋体" w:eastAsia="宋体" w:hAnsi="宋体" w:cs="宋体" w:hint="eastAsia"/>
            <w:bCs w:val="0"/>
            <w:szCs w:val="28"/>
            <w:lang w:eastAsia="zh-CN"/>
          </w:rPr>
          <w:t>(一)、公司文化建设</w:t>
        </w:r>
        <w:r>
          <w:tab/>
        </w:r>
        <w:r>
          <w:fldChar w:fldCharType="begin"/>
        </w:r>
        <w:r>
          <w:instrText xml:space="preserve"> PAGEREF _Toc25214 \h </w:instrText>
        </w:r>
        <w:r>
          <w:fldChar w:fldCharType="separate"/>
        </w:r>
        <w:r>
          <w:t>4</w:t>
        </w:r>
        <w:r>
          <w:fldChar w:fldCharType="end"/>
        </w:r>
      </w:hyperlink>
    </w:p>
    <w:p>
      <w:pPr>
        <w:pStyle w:val="TOC2"/>
        <w:tabs>
          <w:tab w:val="right" w:leader="dot" w:pos="8306"/>
        </w:tabs>
      </w:pPr>
      <w:hyperlink w:anchor="_Toc23376" w:history="1">
        <w:r>
          <w:rPr>
            <w:rFonts w:ascii="宋体" w:eastAsia="宋体" w:hAnsi="宋体" w:cs="宋体" w:hint="eastAsia"/>
            <w:bCs w:val="0"/>
            <w:szCs w:val="28"/>
            <w:lang w:eastAsia="zh-CN"/>
          </w:rPr>
          <w:t>(二)、企业社会责任与可持续发展</w:t>
        </w:r>
        <w:r>
          <w:tab/>
        </w:r>
        <w:r>
          <w:fldChar w:fldCharType="begin"/>
        </w:r>
        <w:r>
          <w:instrText xml:space="preserve"> PAGEREF _Toc23376 \h </w:instrText>
        </w:r>
        <w:r>
          <w:fldChar w:fldCharType="separate"/>
        </w:r>
        <w:r>
          <w:t>5</w:t>
        </w:r>
        <w:r>
          <w:fldChar w:fldCharType="end"/>
        </w:r>
      </w:hyperlink>
    </w:p>
    <w:p>
      <w:pPr>
        <w:pStyle w:val="TOC1"/>
        <w:tabs>
          <w:tab w:val="right" w:leader="dot" w:pos="8306"/>
        </w:tabs>
      </w:pPr>
      <w:hyperlink w:anchor="_Toc9365" w:history="1">
        <w:r>
          <w:rPr>
            <w:rFonts w:ascii="微软雅黑" w:eastAsia="微软雅黑" w:hAnsi="微软雅黑" w:cs="微软雅黑" w:hint="eastAsia"/>
            <w:color w:val="001CAC" w:themeColor="hyperlink" w:themeShade="BF"/>
            <w:szCs w:val="32"/>
            <w:lang w:eastAsia="zh-CN"/>
          </w:rPr>
          <w:t>二、氧气机行业质量管理方案</w:t>
        </w:r>
        <w:r>
          <w:tab/>
        </w:r>
        <w:r>
          <w:fldChar w:fldCharType="begin"/>
        </w:r>
        <w:r>
          <w:instrText xml:space="preserve"> PAGEREF _Toc9365 \h </w:instrText>
        </w:r>
        <w:r>
          <w:fldChar w:fldCharType="separate"/>
        </w:r>
        <w:r>
          <w:t>5</w:t>
        </w:r>
        <w:r>
          <w:fldChar w:fldCharType="end"/>
        </w:r>
      </w:hyperlink>
    </w:p>
    <w:p>
      <w:pPr>
        <w:pStyle w:val="TOC2"/>
        <w:tabs>
          <w:tab w:val="right" w:leader="dot" w:pos="8306"/>
        </w:tabs>
      </w:pPr>
      <w:hyperlink w:anchor="_Toc6213" w:history="1">
        <w:r>
          <w:rPr>
            <w:rFonts w:ascii="宋体" w:eastAsia="宋体" w:hAnsi="宋体" w:cs="宋体" w:hint="eastAsia"/>
            <w:bCs w:val="0"/>
            <w:szCs w:val="28"/>
            <w:lang w:eastAsia="zh-CN"/>
          </w:rPr>
          <w:t>(一)、氧气机行业质量管理要求</w:t>
        </w:r>
        <w:r>
          <w:tab/>
        </w:r>
        <w:r>
          <w:fldChar w:fldCharType="begin"/>
        </w:r>
        <w:r>
          <w:instrText xml:space="preserve"> PAGEREF _Toc6213 \h </w:instrText>
        </w:r>
        <w:r>
          <w:fldChar w:fldCharType="separate"/>
        </w:r>
        <w:r>
          <w:t>5</w:t>
        </w:r>
        <w:r>
          <w:fldChar w:fldCharType="end"/>
        </w:r>
      </w:hyperlink>
    </w:p>
    <w:p>
      <w:pPr>
        <w:pStyle w:val="TOC2"/>
        <w:tabs>
          <w:tab w:val="right" w:leader="dot" w:pos="8306"/>
        </w:tabs>
      </w:pPr>
      <w:hyperlink w:anchor="_Toc20135" w:history="1">
        <w:r>
          <w:rPr>
            <w:rFonts w:ascii="宋体" w:eastAsia="宋体" w:hAnsi="宋体" w:cs="宋体" w:hint="eastAsia"/>
            <w:bCs w:val="0"/>
            <w:szCs w:val="28"/>
            <w:lang w:eastAsia="zh-CN"/>
          </w:rPr>
          <w:t>(二)、氧气机行业服务质量管理方案</w:t>
        </w:r>
        <w:r>
          <w:tab/>
        </w:r>
        <w:r>
          <w:fldChar w:fldCharType="begin"/>
        </w:r>
        <w:r>
          <w:instrText xml:space="preserve"> PAGEREF _Toc20135 \h </w:instrText>
        </w:r>
        <w:r>
          <w:fldChar w:fldCharType="separate"/>
        </w:r>
        <w:r>
          <w:t>6</w:t>
        </w:r>
        <w:r>
          <w:fldChar w:fldCharType="end"/>
        </w:r>
      </w:hyperlink>
    </w:p>
    <w:p>
      <w:pPr>
        <w:pStyle w:val="TOC2"/>
        <w:tabs>
          <w:tab w:val="right" w:leader="dot" w:pos="8306"/>
        </w:tabs>
      </w:pPr>
      <w:hyperlink w:anchor="_Toc14172" w:history="1">
        <w:r>
          <w:rPr>
            <w:rFonts w:ascii="宋体" w:eastAsia="宋体" w:hAnsi="宋体" w:cs="宋体" w:hint="eastAsia"/>
            <w:bCs w:val="0"/>
            <w:szCs w:val="28"/>
            <w:lang w:eastAsia="zh-CN"/>
          </w:rPr>
          <w:t>(三)、氧气机行业质量成本管理方案</w:t>
        </w:r>
        <w:r>
          <w:tab/>
        </w:r>
        <w:r>
          <w:fldChar w:fldCharType="begin"/>
        </w:r>
        <w:r>
          <w:instrText xml:space="preserve"> PAGEREF _Toc14172 \h </w:instrText>
        </w:r>
        <w:r>
          <w:fldChar w:fldCharType="separate"/>
        </w:r>
        <w:r>
          <w:t>7</w:t>
        </w:r>
        <w:r>
          <w:fldChar w:fldCharType="end"/>
        </w:r>
      </w:hyperlink>
    </w:p>
    <w:p>
      <w:pPr>
        <w:pStyle w:val="TOC1"/>
        <w:tabs>
          <w:tab w:val="right" w:leader="dot" w:pos="8306"/>
        </w:tabs>
      </w:pPr>
      <w:hyperlink w:anchor="_Toc22819" w:history="1">
        <w:r>
          <w:rPr>
            <w:rFonts w:ascii="微软雅黑" w:eastAsia="微软雅黑" w:hAnsi="微软雅黑" w:cs="微软雅黑" w:hint="eastAsia"/>
            <w:color w:val="001CAC" w:themeColor="hyperlink" w:themeShade="BF"/>
            <w:szCs w:val="32"/>
            <w:lang w:eastAsia="zh-CN"/>
          </w:rPr>
          <w:t>三、安全与劳动保护</w:t>
        </w:r>
        <w:r>
          <w:tab/>
        </w:r>
        <w:r>
          <w:fldChar w:fldCharType="begin"/>
        </w:r>
        <w:r>
          <w:instrText xml:space="preserve"> PAGEREF _Toc22819 \h </w:instrText>
        </w:r>
        <w:r>
          <w:fldChar w:fldCharType="separate"/>
        </w:r>
        <w:r>
          <w:t>8</w:t>
        </w:r>
        <w:r>
          <w:fldChar w:fldCharType="end"/>
        </w:r>
      </w:hyperlink>
    </w:p>
    <w:p>
      <w:pPr>
        <w:pStyle w:val="TOC2"/>
        <w:tabs>
          <w:tab w:val="right" w:leader="dot" w:pos="8306"/>
        </w:tabs>
      </w:pPr>
      <w:hyperlink w:anchor="_Toc8655" w:history="1">
        <w:r>
          <w:rPr>
            <w:rFonts w:ascii="宋体" w:eastAsia="宋体" w:hAnsi="宋体" w:cs="宋体" w:hint="eastAsia"/>
            <w:bCs w:val="0"/>
            <w:szCs w:val="28"/>
            <w:lang w:eastAsia="zh-CN"/>
          </w:rPr>
          <w:t>(一)、设计依据与法规合规</w:t>
        </w:r>
        <w:r>
          <w:tab/>
        </w:r>
        <w:r>
          <w:fldChar w:fldCharType="begin"/>
        </w:r>
        <w:r>
          <w:instrText xml:space="preserve"> PAGEREF _Toc8655 \h </w:instrText>
        </w:r>
        <w:r>
          <w:fldChar w:fldCharType="separate"/>
        </w:r>
        <w:r>
          <w:t>8</w:t>
        </w:r>
        <w:r>
          <w:fldChar w:fldCharType="end"/>
        </w:r>
      </w:hyperlink>
    </w:p>
    <w:p>
      <w:pPr>
        <w:pStyle w:val="TOC2"/>
        <w:tabs>
          <w:tab w:val="right" w:leader="dot" w:pos="8306"/>
        </w:tabs>
      </w:pPr>
      <w:hyperlink w:anchor="_Toc14516" w:history="1">
        <w:r>
          <w:rPr>
            <w:rFonts w:ascii="宋体" w:eastAsia="宋体" w:hAnsi="宋体" w:cs="宋体" w:hint="eastAsia"/>
            <w:bCs w:val="0"/>
            <w:szCs w:val="28"/>
            <w:lang w:eastAsia="zh-CN"/>
          </w:rPr>
          <w:t>(二)、劳动安全预期效果评价</w:t>
        </w:r>
        <w:r>
          <w:tab/>
        </w:r>
        <w:r>
          <w:fldChar w:fldCharType="begin"/>
        </w:r>
        <w:r>
          <w:instrText xml:space="preserve"> PAGEREF _Toc14516 \h </w:instrText>
        </w:r>
        <w:r>
          <w:fldChar w:fldCharType="separate"/>
        </w:r>
        <w:r>
          <w:t>8</w:t>
        </w:r>
        <w:r>
          <w:fldChar w:fldCharType="end"/>
        </w:r>
      </w:hyperlink>
    </w:p>
    <w:p>
      <w:pPr>
        <w:pStyle w:val="TOC2"/>
        <w:tabs>
          <w:tab w:val="right" w:leader="dot" w:pos="8306"/>
        </w:tabs>
      </w:pPr>
      <w:hyperlink w:anchor="_Toc28790" w:history="1">
        <w:r>
          <w:rPr>
            <w:rFonts w:ascii="宋体" w:eastAsia="宋体" w:hAnsi="宋体" w:cs="宋体" w:hint="eastAsia"/>
            <w:bCs w:val="0"/>
            <w:szCs w:val="28"/>
            <w:lang w:eastAsia="zh-CN"/>
          </w:rPr>
          <w:t>(三)、主要防范措施</w:t>
        </w:r>
        <w:r>
          <w:tab/>
        </w:r>
        <w:r>
          <w:fldChar w:fldCharType="begin"/>
        </w:r>
        <w:r>
          <w:instrText xml:space="preserve"> PAGEREF _Toc28790 \h </w:instrText>
        </w:r>
        <w:r>
          <w:fldChar w:fldCharType="separate"/>
        </w:r>
        <w:r>
          <w:t>8</w:t>
        </w:r>
        <w:r>
          <w:fldChar w:fldCharType="end"/>
        </w:r>
      </w:hyperlink>
    </w:p>
    <w:p>
      <w:pPr>
        <w:pStyle w:val="TOC1"/>
        <w:tabs>
          <w:tab w:val="right" w:leader="dot" w:pos="8306"/>
        </w:tabs>
      </w:pPr>
      <w:hyperlink w:anchor="_Toc9803" w:history="1">
        <w:r>
          <w:rPr>
            <w:rFonts w:ascii="微软雅黑" w:eastAsia="微软雅黑" w:hAnsi="微软雅黑" w:cs="微软雅黑" w:hint="eastAsia"/>
            <w:color w:val="001CAC" w:themeColor="hyperlink" w:themeShade="BF"/>
            <w:szCs w:val="32"/>
            <w:lang w:eastAsia="zh-CN"/>
          </w:rPr>
          <w:t>四、领导力发展与企业文化</w:t>
        </w:r>
        <w:r>
          <w:tab/>
        </w:r>
        <w:r>
          <w:fldChar w:fldCharType="begin"/>
        </w:r>
        <w:r>
          <w:instrText xml:space="preserve"> PAGEREF _Toc9803 \h </w:instrText>
        </w:r>
        <w:r>
          <w:fldChar w:fldCharType="separate"/>
        </w:r>
        <w:r>
          <w:t>9</w:t>
        </w:r>
        <w:r>
          <w:fldChar w:fldCharType="end"/>
        </w:r>
      </w:hyperlink>
    </w:p>
    <w:p>
      <w:pPr>
        <w:pStyle w:val="TOC2"/>
        <w:tabs>
          <w:tab w:val="right" w:leader="dot" w:pos="8306"/>
        </w:tabs>
      </w:pPr>
      <w:hyperlink w:anchor="_Toc13869" w:history="1">
        <w:r>
          <w:rPr>
            <w:rFonts w:ascii="宋体" w:eastAsia="宋体" w:hAnsi="宋体" w:cs="宋体" w:hint="eastAsia"/>
            <w:bCs w:val="0"/>
            <w:szCs w:val="28"/>
            <w:lang w:eastAsia="zh-CN"/>
          </w:rPr>
          <w:t>(一)、高效团队建设原则</w:t>
        </w:r>
        <w:r>
          <w:tab/>
        </w:r>
        <w:r>
          <w:fldChar w:fldCharType="begin"/>
        </w:r>
        <w:r>
          <w:instrText xml:space="preserve"> PAGEREF _Toc13869 \h </w:instrText>
        </w:r>
        <w:r>
          <w:fldChar w:fldCharType="separate"/>
        </w:r>
        <w:r>
          <w:t>9</w:t>
        </w:r>
        <w:r>
          <w:fldChar w:fldCharType="end"/>
        </w:r>
      </w:hyperlink>
    </w:p>
    <w:p>
      <w:pPr>
        <w:pStyle w:val="TOC2"/>
        <w:tabs>
          <w:tab w:val="right" w:leader="dot" w:pos="8306"/>
        </w:tabs>
      </w:pPr>
      <w:hyperlink w:anchor="_Toc22614" w:history="1">
        <w:r>
          <w:rPr>
            <w:rFonts w:ascii="宋体" w:eastAsia="宋体" w:hAnsi="宋体" w:cs="宋体" w:hint="eastAsia"/>
            <w:bCs w:val="0"/>
            <w:szCs w:val="28"/>
            <w:lang w:eastAsia="zh-CN"/>
          </w:rPr>
          <w:t>(二)、团队文化与价值观塑造</w:t>
        </w:r>
        <w:r>
          <w:tab/>
        </w:r>
        <w:r>
          <w:fldChar w:fldCharType="begin"/>
        </w:r>
        <w:r>
          <w:instrText xml:space="preserve"> PAGEREF _Toc22614 \h </w:instrText>
        </w:r>
        <w:r>
          <w:fldChar w:fldCharType="separate"/>
        </w:r>
        <w:r>
          <w:t>10</w:t>
        </w:r>
        <w:r>
          <w:fldChar w:fldCharType="end"/>
        </w:r>
      </w:hyperlink>
    </w:p>
    <w:p>
      <w:pPr>
        <w:pStyle w:val="TOC2"/>
        <w:tabs>
          <w:tab w:val="right" w:leader="dot" w:pos="8306"/>
        </w:tabs>
      </w:pPr>
      <w:hyperlink w:anchor="_Toc2722" w:history="1">
        <w:r>
          <w:rPr>
            <w:rFonts w:ascii="宋体" w:eastAsia="宋体" w:hAnsi="宋体" w:cs="宋体" w:hint="eastAsia"/>
            <w:bCs w:val="0"/>
            <w:szCs w:val="28"/>
            <w:lang w:eastAsia="zh-CN"/>
          </w:rPr>
          <w:t>(三)、领导力发展计划</w:t>
        </w:r>
        <w:r>
          <w:tab/>
        </w:r>
        <w:r>
          <w:fldChar w:fldCharType="begin"/>
        </w:r>
        <w:r>
          <w:instrText xml:space="preserve"> PAGEREF _Toc2722 \h </w:instrText>
        </w:r>
        <w:r>
          <w:fldChar w:fldCharType="separate"/>
        </w:r>
        <w:r>
          <w:t>11</w:t>
        </w:r>
        <w:r>
          <w:fldChar w:fldCharType="end"/>
        </w:r>
      </w:hyperlink>
    </w:p>
    <w:p>
      <w:pPr>
        <w:pStyle w:val="TOC2"/>
        <w:tabs>
          <w:tab w:val="right" w:leader="dot" w:pos="8306"/>
        </w:tabs>
      </w:pPr>
      <w:hyperlink w:anchor="_Toc16090" w:history="1">
        <w:r>
          <w:rPr>
            <w:rFonts w:ascii="宋体" w:eastAsia="宋体" w:hAnsi="宋体" w:cs="宋体" w:hint="eastAsia"/>
            <w:bCs w:val="0"/>
            <w:szCs w:val="28"/>
            <w:lang w:eastAsia="zh-CN"/>
          </w:rPr>
          <w:t>(四)、领导力在变革中的作用</w:t>
        </w:r>
        <w:r>
          <w:tab/>
        </w:r>
        <w:r>
          <w:fldChar w:fldCharType="begin"/>
        </w:r>
        <w:r>
          <w:instrText xml:space="preserve"> PAGEREF _Toc16090 \h </w:instrText>
        </w:r>
        <w:r>
          <w:fldChar w:fldCharType="separate"/>
        </w:r>
        <w:r>
          <w:t>12</w:t>
        </w:r>
        <w:r>
          <w:fldChar w:fldCharType="end"/>
        </w:r>
      </w:hyperlink>
    </w:p>
    <w:p>
      <w:pPr>
        <w:pStyle w:val="TOC1"/>
        <w:tabs>
          <w:tab w:val="right" w:leader="dot" w:pos="8306"/>
        </w:tabs>
      </w:pPr>
      <w:hyperlink w:anchor="_Toc16524" w:history="1">
        <w:r>
          <w:rPr>
            <w:rFonts w:ascii="微软雅黑" w:eastAsia="微软雅黑" w:hAnsi="微软雅黑" w:cs="微软雅黑" w:hint="eastAsia"/>
            <w:color w:val="001CAC" w:themeColor="hyperlink" w:themeShade="BF"/>
            <w:szCs w:val="32"/>
            <w:lang w:eastAsia="zh-CN"/>
          </w:rPr>
          <w:t>五、可持续发展与绿色经营</w:t>
        </w:r>
        <w:r>
          <w:tab/>
        </w:r>
        <w:r>
          <w:fldChar w:fldCharType="begin"/>
        </w:r>
        <w:r>
          <w:instrText xml:space="preserve"> PAGEREF _Toc16524 \h </w:instrText>
        </w:r>
        <w:r>
          <w:fldChar w:fldCharType="separate"/>
        </w:r>
        <w:r>
          <w:t>13</w:t>
        </w:r>
        <w:r>
          <w:fldChar w:fldCharType="end"/>
        </w:r>
      </w:hyperlink>
    </w:p>
    <w:p>
      <w:pPr>
        <w:pStyle w:val="TOC2"/>
        <w:tabs>
          <w:tab w:val="right" w:leader="dot" w:pos="8306"/>
        </w:tabs>
      </w:pPr>
      <w:hyperlink w:anchor="_Toc8532" w:history="1">
        <w:r>
          <w:rPr>
            <w:rFonts w:ascii="宋体" w:eastAsia="宋体" w:hAnsi="宋体" w:cs="宋体" w:hint="eastAsia"/>
            <w:bCs w:val="0"/>
            <w:szCs w:val="28"/>
            <w:lang w:eastAsia="zh-CN"/>
          </w:rPr>
          <w:t>(一)、可持续发展战略与目标</w:t>
        </w:r>
        <w:r>
          <w:tab/>
        </w:r>
        <w:r>
          <w:fldChar w:fldCharType="begin"/>
        </w:r>
        <w:r>
          <w:instrText xml:space="preserve"> PAGEREF _Toc8532 \h </w:instrText>
        </w:r>
        <w:r>
          <w:fldChar w:fldCharType="separate"/>
        </w:r>
        <w:r>
          <w:t>13</w:t>
        </w:r>
        <w:r>
          <w:fldChar w:fldCharType="end"/>
        </w:r>
      </w:hyperlink>
    </w:p>
    <w:p>
      <w:pPr>
        <w:pStyle w:val="TOC2"/>
        <w:tabs>
          <w:tab w:val="right" w:leader="dot" w:pos="8306"/>
        </w:tabs>
      </w:pPr>
      <w:hyperlink w:anchor="_Toc19092" w:history="1">
        <w:r>
          <w:rPr>
            <w:rFonts w:ascii="宋体" w:eastAsia="宋体" w:hAnsi="宋体" w:cs="宋体" w:hint="eastAsia"/>
            <w:bCs w:val="0"/>
            <w:szCs w:val="28"/>
            <w:lang w:eastAsia="zh-CN"/>
          </w:rPr>
          <w:t>(二)、环保政策与实践</w:t>
        </w:r>
        <w:r>
          <w:tab/>
        </w:r>
        <w:r>
          <w:fldChar w:fldCharType="begin"/>
        </w:r>
        <w:r>
          <w:instrText xml:space="preserve"> PAGEREF _Toc19092 \h </w:instrText>
        </w:r>
        <w:r>
          <w:fldChar w:fldCharType="separate"/>
        </w:r>
        <w:r>
          <w:t>15</w:t>
        </w:r>
        <w:r>
          <w:fldChar w:fldCharType="end"/>
        </w:r>
      </w:hyperlink>
    </w:p>
    <w:p>
      <w:pPr>
        <w:pStyle w:val="TOC2"/>
        <w:tabs>
          <w:tab w:val="right" w:leader="dot" w:pos="8306"/>
        </w:tabs>
      </w:pPr>
      <w:hyperlink w:anchor="_Toc13439" w:history="1">
        <w:r>
          <w:rPr>
            <w:rFonts w:ascii="宋体" w:eastAsia="宋体" w:hAnsi="宋体" w:cs="宋体" w:hint="eastAsia"/>
            <w:bCs w:val="0"/>
            <w:szCs w:val="28"/>
            <w:lang w:eastAsia="zh-CN"/>
          </w:rPr>
          <w:t>(三)、资源利用与循环经济</w:t>
        </w:r>
        <w:r>
          <w:tab/>
        </w:r>
        <w:r>
          <w:fldChar w:fldCharType="begin"/>
        </w:r>
        <w:r>
          <w:instrText xml:space="preserve"> PAGEREF _Toc13439 \h </w:instrText>
        </w:r>
        <w:r>
          <w:fldChar w:fldCharType="separate"/>
        </w:r>
        <w:r>
          <w:t>17</w:t>
        </w:r>
        <w:r>
          <w:fldChar w:fldCharType="end"/>
        </w:r>
      </w:hyperlink>
    </w:p>
    <w:p>
      <w:pPr>
        <w:pStyle w:val="TOC2"/>
        <w:tabs>
          <w:tab w:val="right" w:leader="dot" w:pos="8306"/>
        </w:tabs>
      </w:pPr>
      <w:hyperlink w:anchor="_Toc11376" w:history="1">
        <w:r>
          <w:rPr>
            <w:rFonts w:ascii="宋体" w:eastAsia="宋体" w:hAnsi="宋体" w:cs="宋体" w:hint="eastAsia"/>
            <w:bCs w:val="0"/>
            <w:szCs w:val="28"/>
            <w:lang w:eastAsia="zh-CN"/>
          </w:rPr>
          <w:t>(四)、碳中和与生态足迹</w:t>
        </w:r>
        <w:r>
          <w:tab/>
        </w:r>
        <w:r>
          <w:fldChar w:fldCharType="begin"/>
        </w:r>
        <w:r>
          <w:instrText xml:space="preserve"> PAGEREF _Toc11376 \h </w:instrText>
        </w:r>
        <w:r>
          <w:fldChar w:fldCharType="separate"/>
        </w:r>
        <w:r>
          <w:t>19</w:t>
        </w:r>
        <w:r>
          <w:fldChar w:fldCharType="end"/>
        </w:r>
      </w:hyperlink>
    </w:p>
    <w:p>
      <w:pPr>
        <w:pStyle w:val="TOC1"/>
        <w:tabs>
          <w:tab w:val="right" w:leader="dot" w:pos="8306"/>
        </w:tabs>
      </w:pPr>
      <w:hyperlink w:anchor="_Toc12149" w:history="1">
        <w:r>
          <w:rPr>
            <w:rFonts w:ascii="微软雅黑" w:eastAsia="微软雅黑" w:hAnsi="微软雅黑" w:cs="微软雅黑" w:hint="eastAsia"/>
            <w:color w:val="001CAC" w:themeColor="hyperlink" w:themeShade="BF"/>
            <w:szCs w:val="32"/>
            <w:lang w:eastAsia="zh-CN"/>
          </w:rPr>
          <w:t>六、质量与技术管理</w:t>
        </w:r>
        <w:r>
          <w:tab/>
        </w:r>
        <w:r>
          <w:fldChar w:fldCharType="begin"/>
        </w:r>
        <w:r>
          <w:instrText xml:space="preserve"> PAGEREF _Toc12149 \h </w:instrText>
        </w:r>
        <w:r>
          <w:fldChar w:fldCharType="separate"/>
        </w:r>
        <w:r>
          <w:t>21</w:t>
        </w:r>
        <w:r>
          <w:fldChar w:fldCharType="end"/>
        </w:r>
      </w:hyperlink>
    </w:p>
    <w:p>
      <w:pPr>
        <w:pStyle w:val="TOC2"/>
        <w:tabs>
          <w:tab w:val="right" w:leader="dot" w:pos="8306"/>
        </w:tabs>
      </w:pPr>
      <w:hyperlink w:anchor="_Toc522" w:history="1">
        <w:r>
          <w:rPr>
            <w:rFonts w:ascii="宋体" w:eastAsia="宋体" w:hAnsi="宋体" w:cs="宋体" w:hint="eastAsia"/>
            <w:bCs w:val="0"/>
            <w:szCs w:val="28"/>
            <w:lang w:eastAsia="zh-CN"/>
          </w:rPr>
          <w:t>(一)、质量管理体系建设</w:t>
        </w:r>
        <w:r>
          <w:tab/>
        </w:r>
        <w:r>
          <w:fldChar w:fldCharType="begin"/>
        </w:r>
        <w:r>
          <w:instrText xml:space="preserve"> PAGEREF _Toc522 \h </w:instrText>
        </w:r>
        <w:r>
          <w:fldChar w:fldCharType="separate"/>
        </w:r>
        <w:r>
          <w:t>21</w:t>
        </w:r>
        <w:r>
          <w:fldChar w:fldCharType="end"/>
        </w:r>
      </w:hyperlink>
    </w:p>
    <w:p>
      <w:pPr>
        <w:pStyle w:val="TOC2"/>
        <w:tabs>
          <w:tab w:val="right" w:leader="dot" w:pos="8306"/>
        </w:tabs>
      </w:pPr>
      <w:hyperlink w:anchor="_Toc25294" w:history="1">
        <w:r>
          <w:rPr>
            <w:rFonts w:ascii="宋体" w:eastAsia="宋体" w:hAnsi="宋体" w:cs="宋体" w:hint="eastAsia"/>
            <w:bCs w:val="0"/>
            <w:szCs w:val="28"/>
            <w:lang w:eastAsia="zh-CN"/>
          </w:rPr>
          <w:t>(二)、技术标准与创新</w:t>
        </w:r>
        <w:r>
          <w:tab/>
        </w:r>
        <w:r>
          <w:fldChar w:fldCharType="begin"/>
        </w:r>
        <w:r>
          <w:instrText xml:space="preserve"> PAGEREF _Toc25294 \h </w:instrText>
        </w:r>
        <w:r>
          <w:fldChar w:fldCharType="separate"/>
        </w:r>
        <w:r>
          <w:t>22</w:t>
        </w:r>
        <w:r>
          <w:fldChar w:fldCharType="end"/>
        </w:r>
      </w:hyperlink>
    </w:p>
    <w:p>
      <w:pPr>
        <w:pStyle w:val="TOC1"/>
        <w:tabs>
          <w:tab w:val="right" w:leader="dot" w:pos="8306"/>
        </w:tabs>
      </w:pPr>
      <w:hyperlink w:anchor="_Toc13478" w:history="1">
        <w:r>
          <w:rPr>
            <w:rFonts w:ascii="微软雅黑" w:eastAsia="微软雅黑" w:hAnsi="微软雅黑" w:cs="微软雅黑" w:hint="eastAsia"/>
            <w:color w:val="001CAC" w:themeColor="hyperlink" w:themeShade="BF"/>
            <w:szCs w:val="32"/>
            <w:lang w:eastAsia="zh-CN"/>
          </w:rPr>
          <w:t>七、制度运行与优化</w:t>
        </w:r>
        <w:r>
          <w:tab/>
        </w:r>
        <w:r>
          <w:fldChar w:fldCharType="begin"/>
        </w:r>
        <w:r>
          <w:instrText xml:space="preserve"> PAGEREF _Toc13478 \h </w:instrText>
        </w:r>
        <w:r>
          <w:fldChar w:fldCharType="separate"/>
        </w:r>
        <w:r>
          <w:t>23</w:t>
        </w:r>
        <w:r>
          <w:fldChar w:fldCharType="end"/>
        </w:r>
      </w:hyperlink>
    </w:p>
    <w:p>
      <w:pPr>
        <w:pStyle w:val="TOC2"/>
        <w:tabs>
          <w:tab w:val="right" w:leader="dot" w:pos="8306"/>
        </w:tabs>
      </w:pPr>
      <w:hyperlink w:anchor="_Toc10656" w:history="1">
        <w:r>
          <w:rPr>
            <w:rFonts w:ascii="宋体" w:eastAsia="宋体" w:hAnsi="宋体" w:cs="宋体" w:hint="eastAsia"/>
            <w:bCs w:val="0"/>
            <w:szCs w:val="28"/>
            <w:lang w:eastAsia="zh-CN"/>
          </w:rPr>
          <w:t>(一)、制度执行与监督</w:t>
        </w:r>
        <w:r>
          <w:tab/>
        </w:r>
        <w:r>
          <w:fldChar w:fldCharType="begin"/>
        </w:r>
        <w:r>
          <w:instrText xml:space="preserve"> PAGEREF _Toc10656 \h </w:instrText>
        </w:r>
        <w:r>
          <w:fldChar w:fldCharType="separate"/>
        </w:r>
        <w:r>
          <w:t>23</w:t>
        </w:r>
        <w:r>
          <w:fldChar w:fldCharType="end"/>
        </w:r>
      </w:hyperlink>
    </w:p>
    <w:p>
      <w:pPr>
        <w:pStyle w:val="TOC2"/>
        <w:tabs>
          <w:tab w:val="right" w:leader="dot" w:pos="8306"/>
        </w:tabs>
      </w:pPr>
      <w:hyperlink w:anchor="_Toc30303" w:history="1">
        <w:r>
          <w:rPr>
            <w:rFonts w:ascii="宋体" w:eastAsia="宋体" w:hAnsi="宋体" w:cs="宋体" w:hint="eastAsia"/>
            <w:bCs w:val="0"/>
            <w:szCs w:val="28"/>
            <w:lang w:eastAsia="zh-CN"/>
          </w:rPr>
          <w:t>(二)、制度优化与更新</w:t>
        </w:r>
        <w:r>
          <w:tab/>
        </w:r>
        <w:r>
          <w:fldChar w:fldCharType="begin"/>
        </w:r>
        <w:r>
          <w:instrText xml:space="preserve"> PAGEREF _Toc30303 \h </w:instrText>
        </w:r>
        <w:r>
          <w:fldChar w:fldCharType="separate"/>
        </w:r>
        <w:r>
          <w:t>23</w:t>
        </w:r>
        <w:r>
          <w:fldChar w:fldCharType="end"/>
        </w:r>
      </w:hyperlink>
    </w:p>
    <w:p>
      <w:pPr>
        <w:pStyle w:val="TOC1"/>
        <w:tabs>
          <w:tab w:val="right" w:leader="dot" w:pos="8306"/>
        </w:tabs>
      </w:pPr>
      <w:hyperlink w:anchor="_Toc2955" w:history="1">
        <w:r>
          <w:rPr>
            <w:rFonts w:ascii="微软雅黑" w:eastAsia="微软雅黑" w:hAnsi="微软雅黑" w:cs="微软雅黑" w:hint="eastAsia"/>
            <w:color w:val="001CAC" w:themeColor="hyperlink" w:themeShade="BF"/>
            <w:szCs w:val="32"/>
            <w:lang w:eastAsia="zh-CN"/>
          </w:rPr>
          <w:t>八、质量管理与持续改进</w:t>
        </w:r>
        <w:r>
          <w:tab/>
        </w:r>
        <w:r>
          <w:fldChar w:fldCharType="begin"/>
        </w:r>
        <w:r>
          <w:instrText xml:space="preserve"> PAGEREF _Toc2955 \h </w:instrText>
        </w:r>
        <w:r>
          <w:fldChar w:fldCharType="separate"/>
        </w:r>
        <w:r>
          <w:t>24</w:t>
        </w:r>
        <w:r>
          <w:fldChar w:fldCharType="end"/>
        </w:r>
      </w:hyperlink>
    </w:p>
    <w:p>
      <w:pPr>
        <w:pStyle w:val="TOC2"/>
        <w:tabs>
          <w:tab w:val="right" w:leader="dot" w:pos="8306"/>
        </w:tabs>
      </w:pPr>
      <w:hyperlink w:anchor="_Toc7803" w:history="1">
        <w:r>
          <w:rPr>
            <w:rFonts w:ascii="宋体" w:eastAsia="宋体" w:hAnsi="宋体" w:cs="宋体" w:hint="eastAsia"/>
            <w:bCs w:val="0"/>
            <w:szCs w:val="28"/>
            <w:lang w:eastAsia="zh-CN"/>
          </w:rPr>
          <w:t>(一)、质量管理体系建设</w:t>
        </w:r>
        <w:r>
          <w:tab/>
        </w:r>
        <w:r>
          <w:fldChar w:fldCharType="begin"/>
        </w:r>
        <w:r>
          <w:instrText xml:space="preserve"> PAGEREF _Toc7803 \h </w:instrText>
        </w:r>
        <w:r>
          <w:fldChar w:fldCharType="separate"/>
        </w:r>
        <w:r>
          <w:t>24</w:t>
        </w:r>
        <w:r>
          <w:fldChar w:fldCharType="end"/>
        </w:r>
      </w:hyperlink>
    </w:p>
    <w:p>
      <w:pPr>
        <w:pStyle w:val="TOC2"/>
        <w:tabs>
          <w:tab w:val="right" w:leader="dot" w:pos="8306"/>
        </w:tabs>
      </w:pPr>
      <w:hyperlink w:anchor="_Toc24642" w:history="1">
        <w:r>
          <w:rPr>
            <w:rFonts w:ascii="宋体" w:eastAsia="宋体" w:hAnsi="宋体" w:cs="宋体" w:hint="eastAsia"/>
            <w:bCs w:val="0"/>
            <w:szCs w:val="28"/>
            <w:lang w:eastAsia="zh-CN"/>
          </w:rPr>
          <w:t>(二)、生产过程控制与优化</w:t>
        </w:r>
        <w:r>
          <w:tab/>
        </w:r>
        <w:r>
          <w:fldChar w:fldCharType="begin"/>
        </w:r>
        <w:r>
          <w:instrText xml:space="preserve"> PAGEREF _Toc24642 \h </w:instrText>
        </w:r>
        <w:r>
          <w:fldChar w:fldCharType="separate"/>
        </w:r>
        <w:r>
          <w:t>25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469" w:history="1">
        <w:r>
          <w:rPr>
            <w:rFonts w:ascii="宋体" w:eastAsia="宋体" w:hAnsi="宋体" w:cs="宋体" w:hint="eastAsia"/>
            <w:bCs w:val="0"/>
            <w:szCs w:val="28"/>
            <w:lang w:eastAsia="zh-CN"/>
          </w:rPr>
          <w:t>(三)、产品质量检验与测试</w:t>
        </w:r>
        <w:r>
          <w:tab/>
        </w:r>
        <w:r>
          <w:fldChar w:fldCharType="begin"/>
        </w:r>
        <w:r>
          <w:instrText xml:space="preserve"> PAGEREF _Toc5469 \h </w:instrText>
        </w:r>
        <w:r>
          <w:fldChar w:fldCharType="separate"/>
        </w:r>
        <w:r>
          <w:t>26</w:t>
        </w:r>
        <w:r>
          <w:fldChar w:fldCharType="end"/>
        </w:r>
      </w:hyperlink>
    </w:p>
    <w:p>
      <w:pPr>
        <w:pStyle w:val="TOC2"/>
        <w:tabs>
          <w:tab w:val="right" w:leader="dot" w:pos="8306"/>
        </w:tabs>
      </w:pPr>
      <w:hyperlink w:anchor="_Toc2086" w:history="1">
        <w:r>
          <w:rPr>
            <w:rFonts w:ascii="宋体" w:eastAsia="宋体" w:hAnsi="宋体" w:cs="宋体" w:hint="eastAsia"/>
            <w:bCs w:val="0"/>
            <w:szCs w:val="28"/>
            <w:lang w:eastAsia="zh-CN"/>
          </w:rPr>
          <w:t>(四)、用户反馈与质量改进</w:t>
        </w:r>
        <w:r>
          <w:tab/>
        </w:r>
        <w:r>
          <w:fldChar w:fldCharType="begin"/>
        </w:r>
        <w:r>
          <w:instrText xml:space="preserve"> PAGEREF _Toc2086 \h </w:instrText>
        </w:r>
        <w:r>
          <w:fldChar w:fldCharType="separate"/>
        </w:r>
        <w:r>
          <w:t>26</w:t>
        </w:r>
        <w:r>
          <w:fldChar w:fldCharType="end"/>
        </w:r>
      </w:hyperlink>
    </w:p>
    <w:p>
      <w:pPr>
        <w:pStyle w:val="TOC1"/>
        <w:tabs>
          <w:tab w:val="right" w:leader="dot" w:pos="8306"/>
        </w:tabs>
      </w:pPr>
      <w:hyperlink w:anchor="_Toc13611" w:history="1">
        <w:r>
          <w:rPr>
            <w:rFonts w:ascii="微软雅黑" w:eastAsia="微软雅黑" w:hAnsi="微软雅黑" w:cs="微软雅黑" w:hint="eastAsia"/>
            <w:color w:val="001CAC" w:themeColor="hyperlink" w:themeShade="BF"/>
            <w:szCs w:val="32"/>
            <w:lang w:eastAsia="zh-CN"/>
          </w:rPr>
          <w:t>九、氧气机行业背景及市场分析</w:t>
        </w:r>
        <w:r>
          <w:tab/>
        </w:r>
        <w:r>
          <w:fldChar w:fldCharType="begin"/>
        </w:r>
        <w:r>
          <w:instrText xml:space="preserve"> PAGEREF _Toc13611 \h </w:instrText>
        </w:r>
        <w:r>
          <w:fldChar w:fldCharType="separate"/>
        </w:r>
        <w:r>
          <w:t>27</w:t>
        </w:r>
        <w:r>
          <w:fldChar w:fldCharType="end"/>
        </w:r>
      </w:hyperlink>
    </w:p>
    <w:p>
      <w:pPr>
        <w:pStyle w:val="TOC2"/>
        <w:tabs>
          <w:tab w:val="right" w:leader="dot" w:pos="8306"/>
        </w:tabs>
      </w:pPr>
      <w:hyperlink w:anchor="_Toc10992" w:history="1">
        <w:r>
          <w:rPr>
            <w:rFonts w:ascii="宋体" w:eastAsia="宋体" w:hAnsi="宋体" w:cs="宋体" w:hint="eastAsia"/>
            <w:bCs w:val="0"/>
            <w:szCs w:val="28"/>
            <w:lang w:eastAsia="zh-CN"/>
          </w:rPr>
          <w:t>(一)、氧气机行业创新驱动</w:t>
        </w:r>
        <w:r>
          <w:tab/>
        </w:r>
        <w:r>
          <w:fldChar w:fldCharType="begin"/>
        </w:r>
        <w:r>
          <w:instrText xml:space="preserve"> PAGEREF _Toc10992 \h </w:instrText>
        </w:r>
        <w:r>
          <w:fldChar w:fldCharType="separate"/>
        </w:r>
        <w:r>
          <w:t>27</w:t>
        </w:r>
        <w:r>
          <w:fldChar w:fldCharType="end"/>
        </w:r>
      </w:hyperlink>
    </w:p>
    <w:p>
      <w:pPr>
        <w:pStyle w:val="TOC2"/>
        <w:tabs>
          <w:tab w:val="right" w:leader="dot" w:pos="8306"/>
        </w:tabs>
      </w:pPr>
      <w:hyperlink w:anchor="_Toc27732" w:history="1">
        <w:r>
          <w:rPr>
            <w:rFonts w:ascii="宋体" w:eastAsia="宋体" w:hAnsi="宋体" w:cs="宋体" w:hint="eastAsia"/>
            <w:bCs w:val="0"/>
            <w:szCs w:val="28"/>
            <w:lang w:eastAsia="zh-CN"/>
          </w:rPr>
          <w:t>(二)、氧气机行业发展现状</w:t>
        </w:r>
        <w:r>
          <w:tab/>
        </w:r>
        <w:r>
          <w:fldChar w:fldCharType="begin"/>
        </w:r>
        <w:r>
          <w:instrText xml:space="preserve"> PAGEREF _Toc27732 \h </w:instrText>
        </w:r>
        <w:r>
          <w:fldChar w:fldCharType="separate"/>
        </w:r>
        <w:r>
          <w:t>28</w:t>
        </w:r>
        <w:r>
          <w:fldChar w:fldCharType="end"/>
        </w:r>
      </w:hyperlink>
    </w:p>
    <w:p>
      <w:pPr>
        <w:pStyle w:val="TOC2"/>
        <w:tabs>
          <w:tab w:val="right" w:leader="dot" w:pos="8306"/>
        </w:tabs>
      </w:pPr>
      <w:hyperlink w:anchor="_Toc13442" w:history="1">
        <w:r>
          <w:rPr>
            <w:rFonts w:ascii="宋体" w:eastAsia="宋体" w:hAnsi="宋体" w:cs="宋体" w:hint="eastAsia"/>
            <w:bCs w:val="0"/>
            <w:szCs w:val="28"/>
            <w:lang w:eastAsia="zh-CN"/>
          </w:rPr>
          <w:t>(三)、氧气机行业高质量发展</w:t>
        </w:r>
        <w:r>
          <w:tab/>
        </w:r>
        <w:r>
          <w:fldChar w:fldCharType="begin"/>
        </w:r>
        <w:r>
          <w:instrText xml:space="preserve"> PAGEREF _Toc13442 \h </w:instrText>
        </w:r>
        <w:r>
          <w:fldChar w:fldCharType="separate"/>
        </w:r>
        <w:r>
          <w:t>29</w:t>
        </w:r>
        <w:r>
          <w:fldChar w:fldCharType="end"/>
        </w:r>
      </w:hyperlink>
    </w:p>
    <w:p>
      <w:pPr>
        <w:pStyle w:val="TOC2"/>
        <w:tabs>
          <w:tab w:val="right" w:leader="dot" w:pos="8306"/>
        </w:tabs>
      </w:pPr>
      <w:hyperlink w:anchor="_Toc6556" w:history="1">
        <w:r>
          <w:rPr>
            <w:rFonts w:ascii="宋体" w:eastAsia="宋体" w:hAnsi="宋体" w:cs="宋体" w:hint="eastAsia"/>
            <w:bCs w:val="0"/>
            <w:szCs w:val="28"/>
            <w:lang w:eastAsia="zh-CN"/>
          </w:rPr>
          <w:t>(四)、氧气机行业产业链分析</w:t>
        </w:r>
        <w:r>
          <w:tab/>
        </w:r>
        <w:r>
          <w:fldChar w:fldCharType="begin"/>
        </w:r>
        <w:r>
          <w:instrText xml:space="preserve"> PAGEREF _Toc6556 \h </w:instrText>
        </w:r>
        <w:r>
          <w:fldChar w:fldCharType="separate"/>
        </w:r>
        <w:r>
          <w:t>30</w:t>
        </w:r>
        <w:r>
          <w:fldChar w:fldCharType="end"/>
        </w:r>
      </w:hyperlink>
    </w:p>
    <w:p>
      <w:pPr>
        <w:pStyle w:val="TOC2"/>
        <w:tabs>
          <w:tab w:val="right" w:leader="dot" w:pos="8306"/>
        </w:tabs>
      </w:pPr>
      <w:hyperlink w:anchor="_Toc18766" w:history="1">
        <w:r>
          <w:rPr>
            <w:rFonts w:ascii="宋体" w:eastAsia="宋体" w:hAnsi="宋体" w:cs="宋体" w:hint="eastAsia"/>
            <w:bCs w:val="0"/>
            <w:szCs w:val="28"/>
            <w:lang w:eastAsia="zh-CN"/>
          </w:rPr>
          <w:t>(五)、氧气机行业发展方向</w:t>
        </w:r>
        <w:r>
          <w:tab/>
        </w:r>
        <w:r>
          <w:fldChar w:fldCharType="begin"/>
        </w:r>
        <w:r>
          <w:instrText xml:space="preserve"> PAGEREF _Toc18766 \h </w:instrText>
        </w:r>
        <w:r>
          <w:fldChar w:fldCharType="separate"/>
        </w:r>
        <w:r>
          <w:t>31</w:t>
        </w:r>
        <w:r>
          <w:fldChar w:fldCharType="end"/>
        </w:r>
      </w:hyperlink>
    </w:p>
    <w:p>
      <w:pPr>
        <w:pStyle w:val="TOC2"/>
        <w:tabs>
          <w:tab w:val="right" w:leader="dot" w:pos="8306"/>
        </w:tabs>
      </w:pPr>
      <w:hyperlink w:anchor="_Toc5480" w:history="1">
        <w:r>
          <w:rPr>
            <w:rFonts w:ascii="宋体" w:eastAsia="宋体" w:hAnsi="宋体" w:cs="宋体" w:hint="eastAsia"/>
            <w:bCs w:val="0"/>
            <w:szCs w:val="28"/>
            <w:lang w:eastAsia="zh-CN"/>
          </w:rPr>
          <w:t>(六)、氧气机行业前景</w:t>
        </w:r>
        <w:r>
          <w:tab/>
        </w:r>
        <w:r>
          <w:fldChar w:fldCharType="begin"/>
        </w:r>
        <w:r>
          <w:instrText xml:space="preserve"> PAGEREF _Toc5480 \h </w:instrText>
        </w:r>
        <w:r>
          <w:fldChar w:fldCharType="separate"/>
        </w:r>
        <w:r>
          <w:t>33</w:t>
        </w:r>
        <w:r>
          <w:fldChar w:fldCharType="end"/>
        </w:r>
      </w:hyperlink>
    </w:p>
    <w:p>
      <w:pPr>
        <w:pStyle w:val="TOC2"/>
        <w:tabs>
          <w:tab w:val="right" w:leader="dot" w:pos="8306"/>
        </w:tabs>
      </w:pPr>
      <w:hyperlink w:anchor="_Toc30458" w:history="1">
        <w:r>
          <w:rPr>
            <w:rFonts w:ascii="宋体" w:eastAsia="宋体" w:hAnsi="宋体" w:cs="宋体" w:hint="eastAsia"/>
            <w:bCs w:val="0"/>
            <w:szCs w:val="28"/>
            <w:lang w:eastAsia="zh-CN"/>
          </w:rPr>
          <w:t>(七)、氧气机行业发展趋势</w:t>
        </w:r>
        <w:r>
          <w:tab/>
        </w:r>
        <w:r>
          <w:fldChar w:fldCharType="begin"/>
        </w:r>
        <w:r>
          <w:instrText xml:space="preserve"> PAGEREF _Toc30458 \h </w:instrText>
        </w:r>
        <w:r>
          <w:fldChar w:fldCharType="separate"/>
        </w:r>
        <w:r>
          <w:t>35</w:t>
        </w:r>
        <w:r>
          <w:fldChar w:fldCharType="end"/>
        </w:r>
      </w:hyperlink>
    </w:p>
    <w:p>
      <w:pPr>
        <w:pStyle w:val="TOC1"/>
        <w:tabs>
          <w:tab w:val="right" w:leader="dot" w:pos="8306"/>
        </w:tabs>
      </w:pPr>
      <w:hyperlink w:anchor="_Toc14924" w:history="1">
        <w:r>
          <w:rPr>
            <w:rFonts w:ascii="微软雅黑" w:eastAsia="微软雅黑" w:hAnsi="微软雅黑" w:cs="微软雅黑" w:hint="eastAsia"/>
            <w:color w:val="001CAC" w:themeColor="hyperlink" w:themeShade="BF"/>
            <w:szCs w:val="32"/>
            <w:lang w:eastAsia="zh-CN"/>
          </w:rPr>
          <w:t>十、项目管理与团队协作</w:t>
        </w:r>
        <w:r>
          <w:tab/>
        </w:r>
        <w:r>
          <w:fldChar w:fldCharType="begin"/>
        </w:r>
        <w:r>
          <w:instrText xml:space="preserve"> PAGEREF _Toc14924 \h </w:instrText>
        </w:r>
        <w:r>
          <w:fldChar w:fldCharType="separate"/>
        </w:r>
        <w:r>
          <w:t>37</w:t>
        </w:r>
        <w:r>
          <w:fldChar w:fldCharType="end"/>
        </w:r>
      </w:hyperlink>
    </w:p>
    <w:p>
      <w:pPr>
        <w:pStyle w:val="TOC2"/>
        <w:tabs>
          <w:tab w:val="right" w:leader="dot" w:pos="8306"/>
        </w:tabs>
      </w:pPr>
      <w:hyperlink w:anchor="_Toc19247" w:history="1">
        <w:r>
          <w:rPr>
            <w:rFonts w:ascii="宋体" w:eastAsia="宋体" w:hAnsi="宋体" w:cs="宋体" w:hint="eastAsia"/>
            <w:bCs w:val="0"/>
            <w:szCs w:val="28"/>
            <w:lang w:eastAsia="zh-CN"/>
          </w:rPr>
          <w:t>(一)、项目管理方法论</w:t>
        </w:r>
        <w:r>
          <w:tab/>
        </w:r>
        <w:r>
          <w:fldChar w:fldCharType="begin"/>
        </w:r>
        <w:r>
          <w:instrText xml:space="preserve"> PAGEREF _Toc19247 \h </w:instrText>
        </w:r>
        <w:r>
          <w:fldChar w:fldCharType="separate"/>
        </w:r>
        <w:r>
          <w:t>37</w:t>
        </w:r>
        <w:r>
          <w:fldChar w:fldCharType="end"/>
        </w:r>
      </w:hyperlink>
    </w:p>
    <w:p>
      <w:pPr>
        <w:pStyle w:val="TOC2"/>
        <w:tabs>
          <w:tab w:val="right" w:leader="dot" w:pos="8306"/>
        </w:tabs>
      </w:pPr>
      <w:hyperlink w:anchor="_Toc3887" w:history="1">
        <w:r>
          <w:rPr>
            <w:rFonts w:ascii="宋体" w:eastAsia="宋体" w:hAnsi="宋体" w:cs="宋体" w:hint="eastAsia"/>
            <w:bCs w:val="0"/>
            <w:szCs w:val="28"/>
            <w:lang w:eastAsia="zh-CN"/>
          </w:rPr>
          <w:t>(二)、团队组建与角色分工</w:t>
        </w:r>
        <w:r>
          <w:tab/>
        </w:r>
        <w:r>
          <w:fldChar w:fldCharType="begin"/>
        </w:r>
        <w:r>
          <w:instrText xml:space="preserve"> PAGEREF _Toc3887 \h </w:instrText>
        </w:r>
        <w:r>
          <w:fldChar w:fldCharType="separate"/>
        </w:r>
        <w:r>
          <w:t>37</w:t>
        </w:r>
        <w:r>
          <w:fldChar w:fldCharType="end"/>
        </w:r>
      </w:hyperlink>
    </w:p>
    <w:p>
      <w:pPr>
        <w:pStyle w:val="TOC2"/>
        <w:tabs>
          <w:tab w:val="right" w:leader="dot" w:pos="8306"/>
        </w:tabs>
      </w:pPr>
      <w:hyperlink w:anchor="_Toc2470" w:history="1">
        <w:r>
          <w:rPr>
            <w:rFonts w:ascii="宋体" w:eastAsia="宋体" w:hAnsi="宋体" w:cs="宋体" w:hint="eastAsia"/>
            <w:bCs w:val="0"/>
            <w:szCs w:val="28"/>
            <w:lang w:eastAsia="zh-CN"/>
          </w:rPr>
          <w:t>(三)、团队沟通与协作机制</w:t>
        </w:r>
        <w:r>
          <w:tab/>
        </w:r>
        <w:r>
          <w:fldChar w:fldCharType="begin"/>
        </w:r>
        <w:r>
          <w:instrText xml:space="preserve"> PAGEREF _Toc2470 \h </w:instrText>
        </w:r>
        <w:r>
          <w:fldChar w:fldCharType="separate"/>
        </w:r>
        <w:r>
          <w:t>38</w:t>
        </w:r>
        <w:r>
          <w:fldChar w:fldCharType="end"/>
        </w:r>
      </w:hyperlink>
    </w:p>
    <w:p>
      <w:pPr>
        <w:pStyle w:val="TOC2"/>
        <w:tabs>
          <w:tab w:val="right" w:leader="dot" w:pos="8306"/>
        </w:tabs>
      </w:pPr>
      <w:hyperlink w:anchor="_Toc1928" w:history="1">
        <w:r>
          <w:rPr>
            <w:rFonts w:ascii="宋体" w:eastAsia="宋体" w:hAnsi="宋体" w:cs="宋体" w:hint="eastAsia"/>
            <w:bCs w:val="0"/>
            <w:szCs w:val="28"/>
            <w:lang w:eastAsia="zh-CN"/>
          </w:rPr>
          <w:t>(四)、项目风险管理与应对</w:t>
        </w:r>
        <w:r>
          <w:tab/>
        </w:r>
        <w:r>
          <w:fldChar w:fldCharType="begin"/>
        </w:r>
        <w:r>
          <w:instrText xml:space="preserve"> PAGEREF _Toc1928 \h </w:instrText>
        </w:r>
        <w:r>
          <w:fldChar w:fldCharType="separate"/>
        </w:r>
        <w:r>
          <w:t>39</w:t>
        </w:r>
        <w:r>
          <w:fldChar w:fldCharType="end"/>
        </w:r>
      </w:hyperlink>
    </w:p>
    <w:p>
      <w:pPr>
        <w:pStyle w:val="TOC1"/>
        <w:tabs>
          <w:tab w:val="right" w:leader="dot" w:pos="8306"/>
        </w:tabs>
      </w:pPr>
      <w:hyperlink w:anchor="_Toc17405" w:history="1">
        <w:r>
          <w:rPr>
            <w:rFonts w:ascii="微软雅黑" w:eastAsia="微软雅黑" w:hAnsi="微软雅黑" w:cs="微软雅黑" w:hint="eastAsia"/>
            <w:color w:val="001CAC" w:themeColor="hyperlink" w:themeShade="BF"/>
            <w:szCs w:val="32"/>
            <w:lang w:eastAsia="zh-CN"/>
          </w:rPr>
          <w:t>十一、制度建设与管理</w:t>
        </w:r>
        <w:r>
          <w:tab/>
        </w:r>
        <w:r>
          <w:fldChar w:fldCharType="begin"/>
        </w:r>
        <w:r>
          <w:instrText xml:space="preserve"> PAGEREF _Toc17405 \h </w:instrText>
        </w:r>
        <w:r>
          <w:fldChar w:fldCharType="separate"/>
        </w:r>
        <w:r>
          <w:t>41</w:t>
        </w:r>
        <w:r>
          <w:fldChar w:fldCharType="end"/>
        </w:r>
      </w:hyperlink>
    </w:p>
    <w:p>
      <w:pPr>
        <w:pStyle w:val="TOC2"/>
        <w:tabs>
          <w:tab w:val="right" w:leader="dot" w:pos="8306"/>
        </w:tabs>
      </w:pPr>
      <w:hyperlink w:anchor="_Toc12924" w:history="1">
        <w:r>
          <w:rPr>
            <w:rFonts w:ascii="宋体" w:eastAsia="宋体" w:hAnsi="宋体" w:cs="宋体" w:hint="eastAsia"/>
            <w:bCs w:val="0"/>
            <w:szCs w:val="28"/>
            <w:lang w:eastAsia="zh-CN"/>
          </w:rPr>
          <w:t>(一)、公司治理结构</w:t>
        </w:r>
        <w:r>
          <w:tab/>
        </w:r>
        <w:r>
          <w:fldChar w:fldCharType="begin"/>
        </w:r>
        <w:r>
          <w:instrText xml:space="preserve"> PAGEREF _Toc12924 \h </w:instrText>
        </w:r>
        <w:r>
          <w:fldChar w:fldCharType="separate"/>
        </w:r>
        <w:r>
          <w:t>41</w:t>
        </w:r>
        <w:r>
          <w:fldChar w:fldCharType="end"/>
        </w:r>
      </w:hyperlink>
    </w:p>
    <w:p>
      <w:pPr>
        <w:pStyle w:val="TOC2"/>
        <w:tabs>
          <w:tab w:val="right" w:leader="dot" w:pos="8306"/>
        </w:tabs>
      </w:pPr>
      <w:hyperlink w:anchor="_Toc26842" w:history="1">
        <w:r>
          <w:rPr>
            <w:rFonts w:ascii="宋体" w:eastAsia="宋体" w:hAnsi="宋体" w:cs="宋体" w:hint="eastAsia"/>
            <w:bCs w:val="0"/>
            <w:szCs w:val="28"/>
            <w:lang w:eastAsia="zh-CN"/>
          </w:rPr>
          <w:t>(二)、内部控制与审计</w:t>
        </w:r>
        <w:r>
          <w:tab/>
        </w:r>
        <w:r>
          <w:fldChar w:fldCharType="begin"/>
        </w:r>
        <w:r>
          <w:instrText xml:space="preserve"> PAGEREF _Toc26842 \h </w:instrText>
        </w:r>
        <w:r>
          <w:fldChar w:fldCharType="separate"/>
        </w:r>
        <w:r>
          <w:t>42</w:t>
        </w:r>
        <w:r>
          <w:fldChar w:fldCharType="end"/>
        </w:r>
      </w:hyperlink>
    </w:p>
    <w:p>
      <w:pPr>
        <w:pStyle w:val="TOC2"/>
        <w:tabs>
          <w:tab w:val="right" w:leader="dot" w:pos="8306"/>
        </w:tabs>
      </w:pPr>
      <w:hyperlink w:anchor="_Toc14304" w:history="1">
        <w:r>
          <w:rPr>
            <w:rFonts w:ascii="宋体" w:eastAsia="宋体" w:hAnsi="宋体" w:cs="宋体" w:hint="eastAsia"/>
            <w:bCs w:val="0"/>
            <w:szCs w:val="28"/>
            <w:lang w:eastAsia="zh-CN"/>
          </w:rPr>
          <w:t>(三)、法律法规合规体系</w:t>
        </w:r>
        <w:r>
          <w:tab/>
        </w:r>
        <w:r>
          <w:fldChar w:fldCharType="begin"/>
        </w:r>
        <w:r>
          <w:instrText xml:space="preserve"> PAGEREF _Toc14304 \h </w:instrText>
        </w:r>
        <w:r>
          <w:fldChar w:fldCharType="separate"/>
        </w:r>
        <w:r>
          <w:t>42</w:t>
        </w:r>
        <w:r>
          <w:fldChar w:fldCharType="end"/>
        </w:r>
      </w:hyperlink>
    </w:p>
    <w:p>
      <w:pPr>
        <w:pStyle w:val="TOC1"/>
        <w:tabs>
          <w:tab w:val="right" w:leader="dot" w:pos="8306"/>
        </w:tabs>
      </w:pPr>
      <w:hyperlink w:anchor="_Toc19804" w:history="1">
        <w:r>
          <w:rPr>
            <w:rFonts w:ascii="微软雅黑" w:eastAsia="微软雅黑" w:hAnsi="微软雅黑" w:cs="微软雅黑" w:hint="eastAsia"/>
            <w:color w:val="001CAC" w:themeColor="hyperlink" w:themeShade="BF"/>
            <w:szCs w:val="32"/>
            <w:lang w:eastAsia="zh-CN"/>
          </w:rPr>
          <w:t>十二、氧气机行业投资管理策略</w:t>
        </w:r>
        <w:r>
          <w:tab/>
        </w:r>
        <w:r>
          <w:fldChar w:fldCharType="begin"/>
        </w:r>
        <w:r>
          <w:instrText xml:space="preserve"> PAGEREF _Toc19804 \h </w:instrText>
        </w:r>
        <w:r>
          <w:fldChar w:fldCharType="separate"/>
        </w:r>
        <w:r>
          <w:t>43</w:t>
        </w:r>
        <w:r>
          <w:fldChar w:fldCharType="end"/>
        </w:r>
      </w:hyperlink>
    </w:p>
    <w:p>
      <w:pPr>
        <w:pStyle w:val="TOC2"/>
        <w:tabs>
          <w:tab w:val="right" w:leader="dot" w:pos="8306"/>
        </w:tabs>
      </w:pPr>
      <w:hyperlink w:anchor="_Toc14965" w:history="1">
        <w:r>
          <w:rPr>
            <w:rFonts w:ascii="宋体" w:eastAsia="宋体" w:hAnsi="宋体" w:cs="宋体" w:hint="eastAsia"/>
            <w:bCs w:val="0"/>
            <w:szCs w:val="28"/>
            <w:lang w:eastAsia="zh-CN"/>
          </w:rPr>
          <w:t>(一)、氧气机行业投资估算主要内容</w:t>
        </w:r>
        <w:r>
          <w:tab/>
        </w:r>
        <w:r>
          <w:fldChar w:fldCharType="begin"/>
        </w:r>
        <w:r>
          <w:instrText xml:space="preserve"> PAGEREF _Toc14965 \h </w:instrText>
        </w:r>
        <w:r>
          <w:fldChar w:fldCharType="separate"/>
        </w:r>
        <w:r>
          <w:t>43</w:t>
        </w:r>
        <w:r>
          <w:fldChar w:fldCharType="end"/>
        </w:r>
      </w:hyperlink>
    </w:p>
    <w:p>
      <w:pPr>
        <w:pStyle w:val="TOC2"/>
        <w:tabs>
          <w:tab w:val="right" w:leader="dot" w:pos="8306"/>
        </w:tabs>
      </w:pPr>
      <w:hyperlink w:anchor="_Toc2800" w:history="1">
        <w:r>
          <w:rPr>
            <w:rFonts w:ascii="宋体" w:eastAsia="宋体" w:hAnsi="宋体" w:cs="宋体" w:hint="eastAsia"/>
            <w:bCs w:val="0"/>
            <w:szCs w:val="28"/>
            <w:lang w:eastAsia="zh-CN"/>
          </w:rPr>
          <w:t>(二)、氧气机行业设备购置投资费用管理</w:t>
        </w:r>
        <w:r>
          <w:tab/>
        </w:r>
        <w:r>
          <w:fldChar w:fldCharType="begin"/>
        </w:r>
        <w:r>
          <w:instrText xml:space="preserve"> PAGEREF _Toc2800 \h </w:instrText>
        </w:r>
        <w:r>
          <w:fldChar w:fldCharType="separate"/>
        </w:r>
        <w:r>
          <w:t>46</w:t>
        </w:r>
        <w:r>
          <w:fldChar w:fldCharType="end"/>
        </w:r>
      </w:hyperlink>
    </w:p>
    <w:p>
      <w:pPr>
        <w:pStyle w:val="TOC2"/>
        <w:tabs>
          <w:tab w:val="right" w:leader="dot" w:pos="8306"/>
        </w:tabs>
      </w:pPr>
      <w:hyperlink w:anchor="_Toc12503" w:history="1">
        <w:r>
          <w:rPr>
            <w:rFonts w:ascii="宋体" w:eastAsia="宋体" w:hAnsi="宋体" w:cs="宋体" w:hint="eastAsia"/>
            <w:bCs w:val="0"/>
            <w:szCs w:val="28"/>
            <w:lang w:eastAsia="zh-CN"/>
          </w:rPr>
          <w:t>(三)、氧气机行业装修施工投资费用管理</w:t>
        </w:r>
        <w:r>
          <w:tab/>
        </w:r>
        <w:r>
          <w:fldChar w:fldCharType="begin"/>
        </w:r>
        <w:r>
          <w:instrText xml:space="preserve"> PAGEREF _Toc12503 \h </w:instrText>
        </w:r>
        <w:r>
          <w:fldChar w:fldCharType="separate"/>
        </w:r>
        <w:r>
          <w:t>50</w:t>
        </w:r>
        <w:r>
          <w:fldChar w:fldCharType="end"/>
        </w:r>
      </w:hyperlink>
    </w:p>
    <w:p>
      <w:pPr>
        <w:pStyle w:val="TOC2"/>
        <w:tabs>
          <w:tab w:val="right" w:leader="dot" w:pos="8306"/>
        </w:tabs>
      </w:pPr>
      <w:hyperlink w:anchor="_Toc7434" w:history="1">
        <w:r>
          <w:rPr>
            <w:rFonts w:ascii="宋体" w:eastAsia="宋体" w:hAnsi="宋体" w:cs="宋体" w:hint="eastAsia"/>
            <w:bCs w:val="0"/>
            <w:szCs w:val="28"/>
            <w:lang w:eastAsia="zh-CN"/>
          </w:rPr>
          <w:t>(四)、氧气机行业流动资金管理</w:t>
        </w:r>
        <w:r>
          <w:tab/>
        </w:r>
        <w:r>
          <w:fldChar w:fldCharType="begin"/>
        </w:r>
        <w:r>
          <w:instrText xml:space="preserve"> PAGEREF _Toc7434 \h </w:instrText>
        </w:r>
        <w:r>
          <w:fldChar w:fldCharType="separate"/>
        </w:r>
        <w:r>
          <w:t>51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p>
    <w:p>
      <w:pPr>
        <w:pStyle w:val="Heading1"/>
        <w:jc w:val="center"/>
        <w:rPr>
          <w:rFonts w:ascii="微软雅黑" w:eastAsia="微软雅黑" w:hAnsi="微软雅黑" w:cs="微软雅黑" w:hint="eastAsia"/>
          <w:color w:val="2E54A1" w:themeColor="accent1" w:themeShade="BF"/>
          <w:lang w:eastAsia="zh-CN"/>
        </w:rPr>
      </w:pPr>
      <w:bookmarkStart w:id="1" w:name="_Toc22262"/>
      <w:r>
        <w:rPr>
          <w:rFonts w:ascii="微软雅黑" w:eastAsia="微软雅黑" w:hAnsi="微软雅黑" w:cs="微软雅黑" w:hint="eastAsia"/>
          <w:color w:val="2E54A1" w:themeColor="accent1" w:themeShade="BF"/>
          <w:lang w:eastAsia="zh-CN"/>
        </w:rPr>
        <w:t>前言</w:t>
      </w:r>
      <w:bookmarkEnd w:id="1"/>
    </w:p>
    <w:p>
      <w:pPr>
        <w:spacing w:line="480" w:lineRule="auto"/>
        <w:ind w:firstLine="480" w:firstLineChars="200"/>
        <w:rPr>
          <w:rFonts w:ascii="宋体" w:eastAsia="宋体" w:hAnsi="宋体" w:cs="宋体" w:hint="eastAsia"/>
          <w:sz w:val="24"/>
          <w:szCs w:val="22"/>
        </w:rPr>
      </w:pPr>
      <w:r>
        <w:rPr>
          <w:rFonts w:ascii="宋体" w:eastAsia="宋体" w:hAnsi="宋体" w:cs="宋体" w:hint="eastAsia"/>
          <w:sz w:val="24"/>
          <w:szCs w:val="22"/>
          <w:lang w:eastAsia="zh-CN"/>
        </w:rPr>
        <w:t>氧气机行业研究报告致力于对氧气机行业进行详尽研究和分析，旨在为氧气机行业相关从业人员提供参考和借鉴。报告所包含的内容仅供学术研究和学习交流，不可用作商业用途。通过对行业发展历程、市场趋势和竞争态势的深入考察，本报告力求准确呈现行业现状和未来发展方向，为读者提供全面而有价值的行业洞察和决策支持。</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2" w:name="_Toc14341"/>
      <w:r>
        <w:rPr>
          <w:rFonts w:ascii="微软雅黑" w:eastAsia="微软雅黑" w:hAnsi="微软雅黑" w:cs="微软雅黑" w:hint="eastAsia"/>
          <w:color w:val="2E54A1" w:themeColor="accent1" w:themeShade="BF"/>
          <w:sz w:val="32"/>
          <w:szCs w:val="32"/>
          <w:lang w:eastAsia="zh-CN"/>
        </w:rPr>
        <w:t>一、公司文化与社会责任</w:t>
      </w:r>
      <w:bookmarkEnd w:id="2"/>
    </w:p>
    <w:p>
      <w:pPr>
        <w:pStyle w:val="Heading2"/>
        <w:spacing w:line="480" w:lineRule="auto"/>
        <w:rPr>
          <w:rFonts w:ascii="宋体" w:eastAsia="宋体" w:hAnsi="宋体" w:cs="宋体" w:hint="eastAsia"/>
          <w:bCs w:val="0"/>
          <w:sz w:val="28"/>
          <w:szCs w:val="28"/>
          <w:lang w:eastAsia="zh-CN"/>
        </w:rPr>
      </w:pPr>
      <w:bookmarkStart w:id="3" w:name="_Toc25214"/>
      <w:r>
        <w:rPr>
          <w:rFonts w:ascii="宋体" w:eastAsia="宋体" w:hAnsi="宋体" w:cs="宋体" w:hint="eastAsia"/>
          <w:b/>
          <w:bCs w:val="0"/>
          <w:sz w:val="28"/>
          <w:szCs w:val="28"/>
          <w:lang w:eastAsia="zh-CN"/>
        </w:rPr>
        <w:t>(一)、公司文化建设</w:t>
      </w:r>
      <w:bookmarkEnd w:id="3"/>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塑造公司文化的过程中，我们强调共同的价值观和团队协作，旨在创造积极向上、充满活力的工作氛围。核心价值体现在对员工的尊重和关爱，鼓励创新和开放沟通。通过持续的文化建设活动，如文化培训、团队建设、员工互动等，我们致力于激发员工的工作激情和创造力，形成共同的企业文化认同。</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氧气机行业公司文化建设的过程中,我们强调领导层的引领作用。通过领导者的言行和榜样力量,将企业核心价值观融入组织的各个层面，引导员工在日常工作中体现公司文化的核心精神。这有助于形成一支高度凝聚力的团队，共同追求公司的使命和愿景。</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此外，我们注重将公司文化融入日常工作中，通过设立相关奖励机制、文化传承活动等形式，让员工更深入地体验和理解公司文化。</w:t>
      </w:r>
    </w:p>
    <w:p>
      <w:pPr>
        <w:spacing w:line="480" w:lineRule="auto"/>
        <w:ind w:firstLine="420" w:firstLineChars="0"/>
        <w:rPr>
          <w:rFonts w:ascii="宋体" w:eastAsia="宋体" w:hAnsi="宋体" w:cs="宋体" w:hint="eastAsia"/>
          <w:sz w:val="24"/>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在氧气机行业公司文化建设中，我们视员工为企业文化的传播者和参与者，通过激励和认可，营造积极的文化氛围，使每个员工都成为公司文化的倡导者和践行者。</w:t>
      </w:r>
    </w:p>
    <w:p>
      <w:pPr>
        <w:pStyle w:val="Heading2"/>
        <w:spacing w:line="480" w:lineRule="auto"/>
        <w:rPr>
          <w:rFonts w:ascii="宋体" w:eastAsia="宋体" w:hAnsi="宋体" w:cs="宋体" w:hint="eastAsia"/>
          <w:bCs w:val="0"/>
          <w:sz w:val="28"/>
          <w:szCs w:val="28"/>
          <w:lang w:eastAsia="zh-CN"/>
        </w:rPr>
      </w:pPr>
      <w:bookmarkStart w:id="4" w:name="_Toc23376"/>
      <w:r>
        <w:rPr>
          <w:rFonts w:ascii="宋体" w:eastAsia="宋体" w:hAnsi="宋体" w:cs="宋体" w:hint="eastAsia"/>
          <w:b/>
          <w:bCs w:val="0"/>
          <w:sz w:val="28"/>
          <w:szCs w:val="28"/>
          <w:lang w:eastAsia="zh-CN"/>
        </w:rPr>
        <w:t>(二)、企业社会责任与可持续发展</w:t>
      </w:r>
      <w:bookmarkEnd w:id="4"/>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在履行企业社会责任方面，我们积极参与社会公益事业，支持当地社区的发展。通过设立基金、捐赠物资、参与慈善活动等方式，我们关心社会弱势群体的福祉，致力于为社会创造更多的价值。</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可持续发展方面，我们将可持续性纳入业务战略中，采取切实可行的措施减少环境影响。我们致力于提高资源利用效率，推动绿色生产，降低碳排放，从而实现经济、社会和环境的三重可持续发展目标。通过制定并执行可持续发展计划，我们在业务成长的同时最大限度地减少了对环境的负面影响。</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在推动可持续发展的过程中，我们与供应链伙伴共同努力，倡导合作共赢的理念。通过建立透明的供应链管理体系，我们要求供应商也遵循相应的环保和社会责任标准,共同推动整个产业链的可持续发展。</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总体而言，氧气机行业企业在社会责任与可持续发展方面的努力不仅体现了企业的社会担当,更将为未来的可持续性发展翼定坚实基础。</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我们将继续不懈努力,为社会、环境和业务的共同繁荣贡献一份力量。</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5" w:name="_Toc9365"/>
      <w:r>
        <w:rPr>
          <w:rFonts w:ascii="微软雅黑" w:eastAsia="微软雅黑" w:hAnsi="微软雅黑" w:cs="微软雅黑" w:hint="eastAsia"/>
          <w:color w:val="2E54A1" w:themeColor="accent1" w:themeShade="BF"/>
          <w:sz w:val="32"/>
          <w:szCs w:val="32"/>
          <w:lang w:eastAsia="zh-CN"/>
        </w:rPr>
        <w:t>二、氧气机行业质量管理方案</w:t>
      </w:r>
      <w:bookmarkEnd w:id="5"/>
    </w:p>
    <w:p>
      <w:pPr>
        <w:pStyle w:val="Heading2"/>
        <w:spacing w:line="480" w:lineRule="auto"/>
        <w:rPr>
          <w:rFonts w:ascii="宋体" w:eastAsia="宋体" w:hAnsi="宋体" w:cs="宋体" w:hint="eastAsia"/>
          <w:bCs w:val="0"/>
          <w:sz w:val="28"/>
          <w:szCs w:val="28"/>
          <w:lang w:eastAsia="zh-CN"/>
        </w:rPr>
      </w:pPr>
      <w:bookmarkStart w:id="6" w:name="_Toc6213"/>
      <w:r>
        <w:rPr>
          <w:rFonts w:ascii="宋体" w:eastAsia="宋体" w:hAnsi="宋体" w:cs="宋体" w:hint="eastAsia"/>
          <w:b/>
          <w:bCs w:val="0"/>
          <w:sz w:val="28"/>
          <w:szCs w:val="28"/>
          <w:lang w:eastAsia="zh-CN"/>
        </w:rPr>
        <w:t>(一)、氧气机行业质量管理要求</w:t>
      </w:r>
      <w:bookmarkEnd w:id="6"/>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1.1产品质量标准制定：</w:t>
      </w:r>
    </w:p>
    <w:p>
      <w:pPr>
        <w:spacing w:line="480" w:lineRule="auto"/>
        <w:ind w:firstLine="420" w:firstLineChars="0"/>
        <w:rPr>
          <w:rFonts w:ascii="宋体" w:eastAsia="宋体" w:hAnsi="宋体" w:cs="宋体" w:hint="eastAsia"/>
          <w:sz w:val="24"/>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生产过程中,氧气机行业将建立详细的产品质量标准。这包括对每个产品的规格、性能、材料要求等方面的明确规定。这些标准将基于国家法规和氧气机行业标准，并定期进行审查和更新，以确保产品质量一直符合最新的要求。</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1.2生产流程控制：</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通过实施先进的生产流程控制系统,氧气机行业将在每个生产环节建立质量控制点。这些控制点将监测关键参数，确保生产过程中的一致性和合规性。任何偏离标准的情况都将立即被检测到，并采取纠正措施，以保证产品质量的稳定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1.3原材料供应管理：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了确保产品的高质量,氧气机行业将与经过认证的供应商建立紧密的合作关系。这包括对原材料进行全面的质量检查，并制定供应商绩效评估体系。只有那些符合质量标准的供应商才能为氧气机行业提供原材料。</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1.4质量培训与认证：</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氧气机行业将设立全面的质量培训计划,确保员工熟悉产品质量标准和操作规程。此外，公司将争取相关的质量认证，如ISO等，以证明产品质量达到国际标准，提高产品在市场上的信誉度。</w:t>
      </w:r>
    </w:p>
    <w:p>
      <w:pPr>
        <w:pStyle w:val="Heading2"/>
        <w:spacing w:line="480" w:lineRule="auto"/>
        <w:rPr>
          <w:rFonts w:ascii="宋体" w:eastAsia="宋体" w:hAnsi="宋体" w:cs="宋体" w:hint="eastAsia"/>
          <w:bCs w:val="0"/>
          <w:sz w:val="28"/>
          <w:szCs w:val="28"/>
          <w:lang w:eastAsia="zh-CN"/>
        </w:rPr>
      </w:pPr>
      <w:bookmarkStart w:id="7" w:name="_Toc20135"/>
      <w:r>
        <w:rPr>
          <w:rFonts w:ascii="宋体" w:eastAsia="宋体" w:hAnsi="宋体" w:cs="宋体" w:hint="eastAsia"/>
          <w:b/>
          <w:bCs w:val="0"/>
          <w:sz w:val="28"/>
          <w:szCs w:val="28"/>
          <w:lang w:eastAsia="zh-CN"/>
        </w:rPr>
        <w:t>(二)、氧气机行业服务质量管理方案</w:t>
      </w:r>
      <w:bookmarkEnd w:id="7"/>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2.1客户需求分析：</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氧气机行业将建立完善的客户档案，详细记录客户需求和期望。通过调研和反馈机制，公司将不断更新客户档案，以确保产品和服务能够与客户需求保持一致。</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2.2服务标准制定：</w:t>
      </w:r>
    </w:p>
    <w:p>
      <w:pPr>
        <w:spacing w:line="480" w:lineRule="auto"/>
        <w:ind w:firstLine="420" w:firstLineChars="0"/>
        <w:rPr>
          <w:rFonts w:ascii="宋体" w:eastAsia="宋体" w:hAnsi="宋体" w:cs="宋体" w:hint="eastAsia"/>
          <w:sz w:val="24"/>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为确保服务质量，氧气机行业将建立明确的服务标准。这包括服务流程的规范化、服务质量的具体要求等。所有员工都将接受培训，以确保能够提供符合公司标准的高质量服务。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2.3客户反馈机制：</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公司将建立快速响应的客户反馈机制。通过定期的客户满意度调查和实时的客户反馈通道，氧气机行业将收集客户的意见和建议。这些反馈将被用于不断改进服务质量，并确保客户满意度的持续提高。</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2.4服务培训与评估：</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为提高员工的服务水平,氧气机行业将定期进行服务培训。通过实施评估机制，公司将对员工的服务水平进行定期评估，发现问题并进行及时纠正，以确保服务质量的不断提升。</w:t>
      </w:r>
    </w:p>
    <w:p>
      <w:pPr>
        <w:pStyle w:val="Heading2"/>
        <w:spacing w:line="480" w:lineRule="auto"/>
        <w:rPr>
          <w:rFonts w:ascii="宋体" w:eastAsia="宋体" w:hAnsi="宋体" w:cs="宋体" w:hint="eastAsia"/>
          <w:bCs w:val="0"/>
          <w:sz w:val="28"/>
          <w:szCs w:val="28"/>
          <w:lang w:eastAsia="zh-CN"/>
        </w:rPr>
      </w:pPr>
      <w:bookmarkStart w:id="8" w:name="_Toc14172"/>
      <w:r>
        <w:rPr>
          <w:rFonts w:ascii="宋体" w:eastAsia="宋体" w:hAnsi="宋体" w:cs="宋体" w:hint="eastAsia"/>
          <w:b/>
          <w:bCs w:val="0"/>
          <w:sz w:val="28"/>
          <w:szCs w:val="28"/>
          <w:lang w:eastAsia="zh-CN"/>
        </w:rPr>
        <w:t>(三)、氧气机行业质量成本管理方案</w:t>
      </w:r>
      <w:bookmarkEnd w:id="8"/>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3.1质量成本分析：</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氧气机行业将进行全面的质量成本分析，包括内部和外部的质量成本。通过详细的成本核算，公司将了解到底哪些环节对质量成本有影响，并能够有针对性地制定改进计划。</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3.2质量投资规划：</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在质量管理方面，氧气机行业将制定明确的投资计划。这些投资将主要用于质量改进项目，包括技术升级、设备更新等。确保质量投资的合理性和高效性，是公司质量管理方案的重要一环。</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3.3质量成本核算体系：</w:t>
      </w:r>
    </w:p>
    <w:p>
      <w:pPr>
        <w:spacing w:line="480" w:lineRule="auto"/>
        <w:ind w:firstLine="420" w:firstLineChars="0"/>
        <w:rPr>
          <w:rFonts w:ascii="宋体" w:eastAsia="宋体" w:hAnsi="宋体" w:cs="宋体" w:hint="eastAsia"/>
          <w:sz w:val="24"/>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氧气机行业将建立完善的质量成本核算体系。这将包括每个生产环节和服务阶段的详细核算，以便全面了解质量成本的构成。通过这个体系，公司将更好地管理和控制质量成本。</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3.4质量绩效评估：</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公司将设立质量绩效评估体系,对质量管理方案的实施效果进行定期评估。关键绩效指标，如产品质量、客户满意度等，将用于评估方案的有效性。通过这个过程,公司将不断调整和优化质量管理方案，确保其始终保持高效性。</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9" w:name="_Toc22819"/>
      <w:r>
        <w:rPr>
          <w:rFonts w:ascii="微软雅黑" w:eastAsia="微软雅黑" w:hAnsi="微软雅黑" w:cs="微软雅黑" w:hint="eastAsia"/>
          <w:color w:val="2E54A1" w:themeColor="accent1" w:themeShade="BF"/>
          <w:sz w:val="32"/>
          <w:szCs w:val="32"/>
          <w:lang w:eastAsia="zh-CN"/>
        </w:rPr>
        <w:t>三、安全与劳动保护</w:t>
      </w:r>
      <w:bookmarkEnd w:id="9"/>
    </w:p>
    <w:p>
      <w:pPr>
        <w:pStyle w:val="Heading2"/>
        <w:spacing w:line="480" w:lineRule="auto"/>
        <w:rPr>
          <w:rFonts w:ascii="宋体" w:eastAsia="宋体" w:hAnsi="宋体" w:cs="宋体" w:hint="eastAsia"/>
          <w:bCs w:val="0"/>
          <w:sz w:val="28"/>
          <w:szCs w:val="28"/>
          <w:lang w:eastAsia="zh-CN"/>
        </w:rPr>
      </w:pPr>
      <w:bookmarkStart w:id="10" w:name="_Toc8655"/>
      <w:r>
        <w:rPr>
          <w:rFonts w:ascii="宋体" w:eastAsia="宋体" w:hAnsi="宋体" w:cs="宋体" w:hint="eastAsia"/>
          <w:b/>
          <w:bCs w:val="0"/>
          <w:sz w:val="28"/>
          <w:szCs w:val="28"/>
          <w:lang w:eastAsia="zh-CN"/>
        </w:rPr>
        <w:t>(一)、设计依据与法规合规</w:t>
      </w:r>
      <w:bookmarkEnd w:id="10"/>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过深入研究和全面了解相关的法规和标准，我们确保项目的设计与规划符合国家和地区的法规要求。这不仅有助于项目的合法合规运行，也为劳动保护提供了坚实的法律基础。我们注重对设计方案的审核，确保其符合各项法规的要求，以预防潜在的安全风险和劳动保护隐患。</w:t>
      </w:r>
    </w:p>
    <w:p>
      <w:pPr>
        <w:pStyle w:val="Heading2"/>
        <w:spacing w:line="480" w:lineRule="auto"/>
        <w:rPr>
          <w:rFonts w:ascii="宋体" w:eastAsia="宋体" w:hAnsi="宋体" w:cs="宋体" w:hint="eastAsia"/>
          <w:bCs w:val="0"/>
          <w:sz w:val="28"/>
          <w:szCs w:val="28"/>
          <w:lang w:eastAsia="zh-CN"/>
        </w:rPr>
      </w:pPr>
      <w:bookmarkStart w:id="11" w:name="_Toc14516"/>
      <w:r>
        <w:rPr>
          <w:rFonts w:ascii="宋体" w:eastAsia="宋体" w:hAnsi="宋体" w:cs="宋体" w:hint="eastAsia"/>
          <w:b/>
          <w:bCs w:val="0"/>
          <w:sz w:val="28"/>
          <w:szCs w:val="28"/>
          <w:lang w:eastAsia="zh-CN"/>
        </w:rPr>
        <w:t>(二)、劳动安全预期效果评价</w:t>
      </w:r>
      <w:bookmarkEnd w:id="11"/>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劳动安全预期效果评价是我们保障项目运营安全的重要手段之一。通过在项目运营前对潜在的风险和安全隐患进行充分评估，我们能够预见可能发生的问题，并制定相应的应对策略。这有助于提前排除潜在的安全隐患，保障项目运营的平稳进行。我们注重对每一项工作环节的风险评估，确保在项目的每个阶段都有科学可行的安全保障措施。</w:t>
      </w:r>
    </w:p>
    <w:p>
      <w:pPr>
        <w:pStyle w:val="Heading2"/>
        <w:spacing w:line="480" w:lineRule="auto"/>
        <w:rPr>
          <w:rFonts w:ascii="宋体" w:eastAsia="宋体" w:hAnsi="宋体" w:cs="宋体" w:hint="eastAsia"/>
          <w:bCs w:val="0"/>
          <w:sz w:val="28"/>
          <w:szCs w:val="28"/>
          <w:lang w:eastAsia="zh-CN"/>
        </w:rPr>
      </w:pPr>
      <w:bookmarkStart w:id="12" w:name="_Toc28790"/>
      <w:r>
        <w:rPr>
          <w:rFonts w:ascii="宋体" w:eastAsia="宋体" w:hAnsi="宋体" w:cs="宋体" w:hint="eastAsia"/>
          <w:b/>
          <w:bCs w:val="0"/>
          <w:sz w:val="28"/>
          <w:szCs w:val="28"/>
          <w:lang w:eastAsia="zh-CN"/>
        </w:rPr>
        <w:t>(三)、主要防范措施</w:t>
      </w:r>
      <w:bookmarkEnd w:id="12"/>
    </w:p>
    <w:p>
      <w:pPr>
        <w:spacing w:line="480" w:lineRule="auto"/>
        <w:ind w:firstLine="420" w:firstLineChars="0"/>
        <w:rPr>
          <w:rFonts w:ascii="宋体" w:eastAsia="宋体" w:hAnsi="宋体" w:cs="宋体" w:hint="eastAsia"/>
          <w:sz w:val="24"/>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项目实施的过程中,我们对安全操作规程的执行持续严格把关，确保所有参与项目的人员都接受了相应的安全培训,掌握了必要的操作技能。我们认识到培训的重要性，因此通过定期的培训计划，不断提升团队成员的安全意识和紧急情况处理能力。这有助于在实际工作中做到心中有数，保障每位成员在项目中的工作安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了应对各类突发状况,我们在项目实施中设立了定期的安全检查与演练机制。通过模拟各类可能发生的安全问题，我们评估团队的应急响应能力，及时纠正不足之处，并优化应对方案。这种演练不仅提高了团队的整体素养，也使每位成员更加熟悉项目环境，为实际工作中的风险提前做好准备。</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现场安全管理方面，我们建立了一套科学的安全生产责任制度。每位项目参与者都有明确的安全责任,包括对自己和他人的安全负责。我们强调团队协作，鼓励成员间相互监督，形成了一个紧密的安全管理网络。同时，我们加强了现场的安全监控和隐患排查机制，确保安全隐患能够及时发现、迅速处理,从而将潜在风险控制在最小范围内。</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通过这些全面、有力的防范措施，我们不仅在项目实施中确保了高水平的安全管理，也向团队传递了对安全的高度重视。这种安全文化的建设不仅仅是符合法规要求,更是我们对团队成员生命安全的高度责任感的体现。在未来的项目中，我们将继续秉持着对安全的执着追求，为每个项目成员提供一个安全、稳定的工作环境。</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13" w:name="_Toc9803"/>
      <w:r>
        <w:rPr>
          <w:rFonts w:ascii="微软雅黑" w:eastAsia="微软雅黑" w:hAnsi="微软雅黑" w:cs="微软雅黑" w:hint="eastAsia"/>
          <w:color w:val="2E54A1" w:themeColor="accent1" w:themeShade="BF"/>
          <w:sz w:val="32"/>
          <w:szCs w:val="32"/>
          <w:lang w:eastAsia="zh-CN"/>
        </w:rPr>
        <w:t>四、领导力发展与企业文化</w:t>
      </w:r>
      <w:bookmarkEnd w:id="13"/>
    </w:p>
    <w:p>
      <w:pPr>
        <w:pStyle w:val="Heading2"/>
        <w:spacing w:line="480" w:lineRule="auto"/>
        <w:rPr>
          <w:rFonts w:ascii="宋体" w:eastAsia="宋体" w:hAnsi="宋体" w:cs="宋体" w:hint="eastAsia"/>
          <w:bCs w:val="0"/>
          <w:sz w:val="28"/>
          <w:szCs w:val="28"/>
          <w:lang w:eastAsia="zh-CN"/>
        </w:rPr>
      </w:pPr>
      <w:bookmarkStart w:id="14" w:name="_Toc13869"/>
      <w:r>
        <w:rPr>
          <w:rFonts w:ascii="宋体" w:eastAsia="宋体" w:hAnsi="宋体" w:cs="宋体" w:hint="eastAsia"/>
          <w:b/>
          <w:bCs w:val="0"/>
          <w:sz w:val="28"/>
          <w:szCs w:val="28"/>
          <w:lang w:eastAsia="zh-CN"/>
        </w:rPr>
        <w:t>(一)、高效团队建设原则</w:t>
      </w:r>
      <w:bookmarkEnd w:id="14"/>
    </w:p>
    <w:p>
      <w:pPr>
        <w:spacing w:line="480" w:lineRule="auto"/>
        <w:ind w:firstLine="420" w:firstLineChars="0"/>
        <w:rPr>
          <w:rFonts w:ascii="宋体" w:eastAsia="宋体" w:hAnsi="宋体" w:cs="宋体" w:hint="eastAsia"/>
          <w:sz w:val="24"/>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在进行高效团队建设时，我们秉持着一系列重要的原则，以确保团队能够协同合作、追求卓越。下面是我们团队建设的核心原则：</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使命明确：团队的使命和目标需要清晰明确，让每位团队成员都能理解并为之努力。明确的使命能够激发团队成员的动力，使他们在共同的目标下更好地协同合作。</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优势互补：我们鼓励团队成员发挥各自的优势，形成一个互补性强、多才多艺的团队。这种多元性有助于更好地应对各种任务和挑战，提高团队整体的综合素质。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开放沟通：沟通是团队协作的基石。我们倡导开放、透明的沟通机制，鼓励团队成员分享意见和建议。通过积极的沟通，团队能够更好地理解彼此，有效解决问题。</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共同承担责任：每个团队成员都参与责任的分担，形成共同的责任感。这有助于建立团队协同工作的氛围，确保每个成员都为团队的目标负责。</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激发创新：我们鼓励团队成员提出新的想法和方法，不怕犯错误。创新是推动团队发展的重要动力，我们致力于创造一个鼓励创新的团队文化。</w:t>
      </w:r>
    </w:p>
    <w:p>
      <w:pPr>
        <w:pStyle w:val="Heading2"/>
        <w:spacing w:line="480" w:lineRule="auto"/>
        <w:rPr>
          <w:rFonts w:ascii="宋体" w:eastAsia="宋体" w:hAnsi="宋体" w:cs="宋体" w:hint="eastAsia"/>
          <w:bCs w:val="0"/>
          <w:sz w:val="28"/>
          <w:szCs w:val="28"/>
          <w:lang w:eastAsia="zh-CN"/>
        </w:rPr>
      </w:pPr>
      <w:bookmarkStart w:id="15" w:name="_Toc22614"/>
      <w:r>
        <w:rPr>
          <w:rFonts w:ascii="宋体" w:eastAsia="宋体" w:hAnsi="宋体" w:cs="宋体" w:hint="eastAsia"/>
          <w:b/>
          <w:bCs w:val="0"/>
          <w:sz w:val="28"/>
          <w:szCs w:val="28"/>
          <w:lang w:eastAsia="zh-CN"/>
        </w:rPr>
        <w:t>(二)、团队文化与价值观塑造</w:t>
      </w:r>
      <w:bookmarkEnd w:id="15"/>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团队文化和价值观方面的塑造原则：</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共同愿景：我们着眼于共同的愿景，通过共同的目标来激励团队成员。这一愿景能够为团队提供明确的方向，使每个成员在工作中能够感到使命必达。</w:t>
      </w:r>
    </w:p>
    <w:p>
      <w:pPr>
        <w:spacing w:line="480" w:lineRule="auto"/>
        <w:ind w:firstLine="420" w:firstLineChars="0"/>
        <w:rPr>
          <w:rFonts w:ascii="宋体" w:eastAsia="宋体" w:hAnsi="宋体" w:cs="宋体" w:hint="eastAsia"/>
          <w:sz w:val="24"/>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宋体" w:eastAsia="宋体" w:hAnsi="宋体" w:cs="宋体" w:hint="eastAsia"/>
          <w:sz w:val="24"/>
          <w:szCs w:val="24"/>
          <w:lang w:eastAsia="zh-CN"/>
        </w:rPr>
        <w:t>信任与透明度：我们倡导建立一个基于信任和透明度的文化。成员间相互信任能够促使更好的合作,而透明度则有助于团队成员全面了解团队的决策过程和发展方向。</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合作与共享：我们强调合作和共享的文化，鼓励团队成员彼此支持，共同努力。通过合作，团队成员能够发挥各自的优势，创造出更大的价值。</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多元文化：我们重视多元文化的价值观，尊重不同背景和观点的存在。这有助于创造一个开放、包容的团队环境，鼓励成员间的多元化交流和合作。</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持续学习：我们鼓励团队成员保持对新知识的渴求，持续学习和不断进步。这有助于形成积极向上、创新的文化氛围，推动团队不断提升综合素质。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通过这些原则,我们塑造了一个充满活力、积极向上的团队文化，使每位成员都能在共享的价值观下共同成长、共同进步。这有助于增强团队的凝聚力，推动团队不断向前发展。</w:t>
      </w:r>
    </w:p>
    <w:p>
      <w:pPr>
        <w:pStyle w:val="Heading2"/>
        <w:spacing w:line="480" w:lineRule="auto"/>
        <w:rPr>
          <w:rFonts w:ascii="宋体" w:eastAsia="宋体" w:hAnsi="宋体" w:cs="宋体" w:hint="eastAsia"/>
          <w:bCs w:val="0"/>
          <w:sz w:val="28"/>
          <w:szCs w:val="28"/>
          <w:lang w:eastAsia="zh-CN"/>
        </w:rPr>
      </w:pPr>
      <w:bookmarkStart w:id="16" w:name="_Toc2722"/>
      <w:r>
        <w:rPr>
          <w:rFonts w:ascii="宋体" w:eastAsia="宋体" w:hAnsi="宋体" w:cs="宋体" w:hint="eastAsia"/>
          <w:b/>
          <w:bCs w:val="0"/>
          <w:sz w:val="28"/>
          <w:szCs w:val="28"/>
          <w:lang w:eastAsia="zh-CN"/>
        </w:rPr>
        <w:t>(三)、领导力发展计划</w:t>
      </w:r>
      <w:bookmarkEnd w:id="16"/>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领导力发展计划是确保氧气机行业项目顺利推进和取得成功的关键组成部分。在这一计划中，我们将注重培养和提升团队领导层的领导力素质，以适应项目不断发展和变化的需求。</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1.领导力评估与识别：</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首先，我们将进行全面的领导力评估，通过明确领导层的优势和发展领域，为个别领导制定个性化的发展计划。这涵盖了领导者的沟通技能、团队协作、决策能力等方面的综合评估。</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2.培训与发展课程：</w:t>
      </w:r>
    </w:p>
    <w:p>
      <w:pPr>
        <w:spacing w:line="480" w:lineRule="auto"/>
        <w:ind w:firstLine="420" w:firstLineChars="0"/>
        <w:rPr>
          <w:rFonts w:ascii="宋体" w:eastAsia="宋体" w:hAnsi="宋体" w:cs="宋体" w:hint="eastAsia"/>
          <w:sz w:val="24"/>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基于领导力评估的结果，我们将制定有针对性的培训和发展课程。这些课程涵盖领导力理论、沟通技巧、团队建设、冲突解决等方面旨在提高领导者的综合能力。培训将以定期的工作坊、讲座、在线学习等多种形式进行，确保领导者能够不断学习和成长。</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3.导师制度与辅导：</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我们将建立导师制度，由经验丰富的领导者担任导师，与新晋领导者进行定期的一对一辅导。这有助于新领导者更好地理解项目的运作和公司文化，同时也提供了实践中的指导和反馈。</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4.实战项目与领导经验：</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除了理论学习,我们将推动领导者参与实际项目和领导团队的机会。通过亲身经历，领导者将能够更深入地理解项目的挑战和机遇，锻炼领导力技能。</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5.持续反馈和评估：</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领导力发展计划将持续进行反馈和评估。通过360度评估、员工调查和项目绩效评估等手段，我们将不断监测领导者的发展进程，及时调整和优化发展计划，确保其与项目目标保持一致。</w:t>
      </w:r>
    </w:p>
    <w:p>
      <w:pPr>
        <w:pStyle w:val="Heading2"/>
        <w:spacing w:line="480" w:lineRule="auto"/>
        <w:rPr>
          <w:rFonts w:ascii="宋体" w:eastAsia="宋体" w:hAnsi="宋体" w:cs="宋体" w:hint="eastAsia"/>
          <w:bCs w:val="0"/>
          <w:sz w:val="28"/>
          <w:szCs w:val="28"/>
          <w:lang w:eastAsia="zh-CN"/>
        </w:rPr>
      </w:pPr>
      <w:bookmarkStart w:id="17" w:name="_Toc16090"/>
      <w:r>
        <w:rPr>
          <w:rFonts w:ascii="宋体" w:eastAsia="宋体" w:hAnsi="宋体" w:cs="宋体" w:hint="eastAsia"/>
          <w:b/>
          <w:bCs w:val="0"/>
          <w:sz w:val="28"/>
          <w:szCs w:val="28"/>
          <w:lang w:eastAsia="zh-CN"/>
        </w:rPr>
        <w:t>(四)、领导力在变革中的作用</w:t>
      </w:r>
      <w:bookmarkEnd w:id="17"/>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1.制定愿景和方向：</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领导者在变革中的首要任务是制定清晰的愿景和方向。通过与团队共享未来的理想状态，领导者能够激发团队的共鸣和动力。这一愿景应当明确定义变革的目标和意义,为团队提供一个明确的前进方向。</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2.传递信任和支持：</w:t>
      </w:r>
    </w:p>
    <w:p>
      <w:pPr>
        <w:spacing w:line="480" w:lineRule="auto"/>
        <w:ind w:firstLine="420" w:firstLineChars="0"/>
        <w:rPr>
          <w:rFonts w:ascii="宋体" w:eastAsia="宋体" w:hAnsi="宋体" w:cs="宋体" w:hint="eastAsia"/>
          <w:sz w:val="24"/>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宋体" w:eastAsia="宋体" w:hAnsi="宋体" w:cs="宋体" w:hint="eastAsia"/>
          <w:sz w:val="24"/>
          <w:szCs w:val="24"/>
          <w:lang w:eastAsia="zh-CN"/>
        </w:rPr>
        <w:t>在变革期间，团队成员可能面临不确定性和焦虑。领导者的角色就是传递信任和支持，使团队充满信心地迎接变革。建立良好的沟通机制,解答疑虑,同时为团队提供资源和支持,有助于稳定团队情绪。</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3.激发团队的积极性：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领导者应当激发团队的积极性和创造性,鼓励成员参与变革过程，分享想法和建议。通过赋予团队更多的责任和自主权，领导者能够激发成员的参与感和责任心，从而促进变革的顺利进行。</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4.管理变革的复杂性：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领导者需要具备处理变革中复杂局面的能力。这包括对风险的识别和管理，解决团队内部的冲突，以及对外部压力的应对。领导者的决策和行动应当能够在变革的动荡中保持组织的稳定性。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5.促进文化变革：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变革通常伴随着组织文化的调整。领导者需要引领文化变革，确保组织的价值观和行为规范与变革目标相一致。通过示范和鼓励期望的行为，领导者可以引导团队逐步适应新的文化氛围。</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6.持续学习和适应：</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领导者在变革中的作用也包括自身的不断学习和适应。对于变革的动态过程，领导者需要保持灵活性，随时调整策略，并从经验中吸取教训。这种反思和适应性是成功推动变革的重要因素。</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18" w:name="_Toc16524"/>
      <w:r>
        <w:rPr>
          <w:rFonts w:ascii="微软雅黑" w:eastAsia="微软雅黑" w:hAnsi="微软雅黑" w:cs="微软雅黑" w:hint="eastAsia"/>
          <w:color w:val="2E54A1" w:themeColor="accent1" w:themeShade="BF"/>
          <w:sz w:val="32"/>
          <w:szCs w:val="32"/>
          <w:lang w:eastAsia="zh-CN"/>
        </w:rPr>
        <w:t>五、可持续发展与绿色经营</w:t>
      </w:r>
      <w:bookmarkEnd w:id="18"/>
    </w:p>
    <w:p>
      <w:pPr>
        <w:pStyle w:val="Heading2"/>
        <w:spacing w:line="480" w:lineRule="auto"/>
        <w:rPr>
          <w:rFonts w:ascii="宋体" w:eastAsia="宋体" w:hAnsi="宋体" w:cs="宋体" w:hint="eastAsia"/>
          <w:bCs w:val="0"/>
          <w:sz w:val="28"/>
          <w:szCs w:val="28"/>
          <w:lang w:eastAsia="zh-CN"/>
        </w:rPr>
      </w:pPr>
      <w:bookmarkStart w:id="19" w:name="_Toc8532"/>
      <w:r>
        <w:rPr>
          <w:rFonts w:ascii="宋体" w:eastAsia="宋体" w:hAnsi="宋体" w:cs="宋体" w:hint="eastAsia"/>
          <w:b/>
          <w:bCs w:val="0"/>
          <w:sz w:val="28"/>
          <w:szCs w:val="28"/>
          <w:lang w:eastAsia="zh-CN"/>
        </w:rPr>
        <w:t>(一)、可持续发展战略与目标</w:t>
      </w:r>
      <w:bookmarkEnd w:id="19"/>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一、可持续发展战略</w:t>
      </w:r>
    </w:p>
    <w:p>
      <w:pPr>
        <w:spacing w:line="480" w:lineRule="auto"/>
        <w:ind w:firstLine="420" w:firstLineChars="0"/>
        <w:rPr>
          <w:rFonts w:ascii="宋体" w:eastAsia="宋体" w:hAnsi="宋体" w:cs="宋体" w:hint="eastAsia"/>
          <w:sz w:val="24"/>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可持续发展战略是指社会、经济、环境三者协调、可持续发展的战略。这种战略旨在确保当代人的发展不损害未来世代的发展权利，同时强调对有限资源的合理分配和有效利用，以实现长期的、全面的社会发展。</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二、可持续发展战略的核心要素</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1.经济发展：在可持续发展战略中，经济发展不再是以牺牲环境为代价的，而是与环境保护相互促进。这种发展模式强调提高资源利用效率，减少环境污染，实现绿色、低碳的经济发展。</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2.环境保护：环境保护是可持续发展战略的重要组成部分。这包括采取措施减少环境污染，保护生物多样性，降低温室气体排放，以及提高应对环境变化的能力等。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3.社会进步：可持续发展战略强调社会公平和公正，以及社会福利的普遍提高。这包括提供公平的教育和就业机会，改善医疗卫生条件，以及促进社会和谐稳定等。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三、可持续发展战略的目标</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1.实现资源的高效利用：通过提高资源利用效率，减少浪费，实现资源的可持续利用。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2.保护和恢复生态环境：采取措施保护生态环境，减少污染，恢复已经受损的环境。</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3.促进绿色经济发展：推动绿色经济的发展，鼓励企业采取环保措施，开发生态产品和服务。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4.提升社会福祉：通过提供公平的教育和就业机会，改善医疗卫生条件，促进社会和谐稳定。</w:t>
      </w:r>
    </w:p>
    <w:p>
      <w:pPr>
        <w:spacing w:line="480" w:lineRule="auto"/>
        <w:ind w:firstLine="420" w:firstLineChars="0"/>
        <w:rPr>
          <w:rFonts w:ascii="宋体" w:eastAsia="宋体" w:hAnsi="宋体" w:cs="宋体" w:hint="eastAsia"/>
          <w:sz w:val="24"/>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宋体" w:eastAsia="宋体" w:hAnsi="宋体" w:cs="宋体" w:hint="eastAsia"/>
          <w:sz w:val="24"/>
          <w:szCs w:val="24"/>
          <w:lang w:eastAsia="zh-CN"/>
        </w:rPr>
        <w:t>5.建立合作机制：在国际层面，建立合作机制以应对全球性环境问题；在国内层面，各级政府和企业需要建立合作关系以实现可持续发展目标。</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6.应对气候变化：采取措施应对气候变化，包括减少温室气体排放，提高应对气候变化的能力等。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7.推动创新和转型：鼓励科技创新和制度创新，推动经济社会的绿色转型。</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8.加强政策引导：通过制定和执行相关政策，引导企业和个人采取有利于可持续发展的行为。</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9.提高公众意识：加强环保宣传教育，提高公众的环保意识和参与度。</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10.构建全球伙伴关系：加强与其他国家和地区在环保和可持续发展方面的合作与交流，共同应对全球环境问题。</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四、实施可持续发展战略的挑战与机遇</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1.挑战：实施可持续发展战略面临着诸多挑战，如产业结构调整的困难、环保技术的制约、资源短缺的压力等。此外，不同地区和不同群体之间的环保意识和行动也存在差异，需要加强协调和合作。</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2.机遇：实施可持续发展战略也带来了许多机遇。随着环保技术和绿色经济的发展，新的就业机会和商业模式将不断涌现。同时，可持续发展的生活方式和消费模式也将促进社会公平和公正,提高人民的生活质量。</w:t>
      </w:r>
    </w:p>
    <w:p>
      <w:pPr>
        <w:pStyle w:val="Heading2"/>
        <w:spacing w:line="480" w:lineRule="auto"/>
        <w:rPr>
          <w:rFonts w:ascii="宋体" w:eastAsia="宋体" w:hAnsi="宋体" w:cs="宋体" w:hint="eastAsia"/>
          <w:bCs w:val="0"/>
          <w:sz w:val="28"/>
          <w:szCs w:val="28"/>
          <w:lang w:eastAsia="zh-CN"/>
        </w:rPr>
      </w:pPr>
      <w:bookmarkStart w:id="20" w:name="_Toc19092"/>
      <w:r>
        <w:rPr>
          <w:rFonts w:ascii="宋体" w:eastAsia="宋体" w:hAnsi="宋体" w:cs="宋体" w:hint="eastAsia"/>
          <w:b/>
          <w:bCs w:val="0"/>
          <w:sz w:val="28"/>
          <w:szCs w:val="28"/>
          <w:lang w:eastAsia="zh-CN"/>
        </w:rPr>
        <w:t>(二)、环保政策与实践</w:t>
      </w:r>
      <w:bookmarkEnd w:id="20"/>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一、环保政策概述</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环保政策是指政府为了保护自然环境、防止环境污染、维护生态平衡而制定的一系列法规和措施。环保政策不仅关注人类的生产和生活活动对于环境的影响，也重视自然界对于人类生存和发展的意义。</w:t>
      </w:r>
    </w:p>
    <w:p>
      <w:pPr>
        <w:spacing w:line="480" w:lineRule="auto"/>
        <w:ind w:firstLine="420" w:firstLineChars="0"/>
        <w:rPr>
          <w:rFonts w:ascii="宋体" w:eastAsia="宋体" w:hAnsi="宋体" w:cs="宋体" w:hint="eastAsia"/>
          <w:sz w:val="24"/>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宋体" w:eastAsia="宋体" w:hAnsi="宋体" w:cs="宋体" w:hint="eastAsia"/>
          <w:sz w:val="24"/>
          <w:szCs w:val="24"/>
          <w:lang w:eastAsia="zh-CN"/>
        </w:rPr>
        <w:t>二、环保政策的主要内容</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1.环境保护法规：政府制定了一系列环境保护法规，对环境行为进行规范和约束。例如《中华人民共和国环境保护法》、《中华人民共和国水污染防治法》等。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2.污染物排放标准：为了控制环境污染，政府制定了各种污染物排放标准。企业必须符合相应的排放标准才能进行生产和经营活动。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3.生态环境保护政策：政府采取了一系列生态环境保护政策，以维护生态平衡和提高环境质量。例如生态补偿机制、绿色GDP核算等。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4.环境经济政策：政府通过财政、税收等手段调节企业和个人的环境行为。例如环境税、绿色金融等。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5.环境管理制度：政府建立了环境影响评价、排污许可、环境监测等环境管理制度，以确保环境保护政策的执行和监督。</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三、环保实践的主要措施</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1.推广清洁能源：加大对清洁能源的扶持力度，鼓励使用太阳能、风能等可再生能源，减少对化石能源的依赖。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2.实施节能减排：通过技术手段提高能源利用效率，减少污染物排放，实现节能减排的目标。</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3.建设生态工程：实施生态保护工程，修复生态环境，提高生态系统的稳定性。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4.加强环境监测：建立环境监测体系，对环境质量进行实时监测和评估，为采取相应的环保措施提供科学依据。</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5.提高公众意识：加强环保宣传教育，提高公众的环保意识和参与度，引导公众形成良好的环境行为。</w:t>
      </w:r>
    </w:p>
    <w:p>
      <w:pPr>
        <w:spacing w:line="480" w:lineRule="auto"/>
        <w:ind w:firstLine="420" w:firstLineChars="0"/>
        <w:rPr>
          <w:rFonts w:ascii="宋体" w:eastAsia="宋体" w:hAnsi="宋体" w:cs="宋体" w:hint="eastAsia"/>
          <w:sz w:val="24"/>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6.开展国际合作：积极参与全球环境治理，与其他国家和地区共同研究和应对环境问题，推动全球环保事业的发展。</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7.推动企业创新：鼓励企业进行环保技术创新，提高企业的环保水平和竞争力。对于积极采取环保措施的企业给予政策和资金支持。</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8.强化法规执行：加大对环境违法行为的处罚力度，严格执法，确保各项环保政策和法规得到有效执行。</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9.建立奖惩机制：对于环保表现优秀的企业和个人给予奖励和表彰，同时对环境违法行为进行惩罚，形成正确的社会价值导向。</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10.促进绿色经济发展：推动绿色经济的发展，鼓励企业开展环保产业和循环经济项目，促进经济结构的绿色转型。</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四、环保政策与实践的意义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环保政策与实践对于保护自然环境、维护生态平衡、促进可持续发展具有重要意义。通过制定和执行环保政策，可以有效地减少人类活动对环境的负面影响，保护生态系统的稳定性和生物多样性。同时，环保政策还可以促进经济、社会和环境的协调发展，提高人民的生活质量和幸福感。</w:t>
      </w:r>
    </w:p>
    <w:p>
      <w:pPr>
        <w:pStyle w:val="Heading2"/>
        <w:spacing w:line="480" w:lineRule="auto"/>
        <w:rPr>
          <w:rFonts w:ascii="宋体" w:eastAsia="宋体" w:hAnsi="宋体" w:cs="宋体" w:hint="eastAsia"/>
          <w:bCs w:val="0"/>
          <w:sz w:val="28"/>
          <w:szCs w:val="28"/>
          <w:lang w:eastAsia="zh-CN"/>
        </w:rPr>
      </w:pPr>
      <w:bookmarkStart w:id="21" w:name="_Toc13439"/>
      <w:r>
        <w:rPr>
          <w:rFonts w:ascii="宋体" w:eastAsia="宋体" w:hAnsi="宋体" w:cs="宋体" w:hint="eastAsia"/>
          <w:b/>
          <w:bCs w:val="0"/>
          <w:sz w:val="28"/>
          <w:szCs w:val="28"/>
          <w:lang w:eastAsia="zh-CN"/>
        </w:rPr>
        <w:t>(三)、资源利用与循环经济</w:t>
      </w:r>
      <w:bookmarkEnd w:id="21"/>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一、资源利用与循环经济</w:t>
      </w:r>
    </w:p>
    <w:p>
      <w:pPr>
        <w:spacing w:line="480" w:lineRule="auto"/>
        <w:ind w:firstLine="420" w:firstLineChars="0"/>
        <w:rPr>
          <w:rFonts w:ascii="宋体" w:eastAsia="宋体" w:hAnsi="宋体" w:cs="宋体" w:hint="eastAsia"/>
          <w:sz w:val="24"/>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宋体" w:eastAsia="宋体" w:hAnsi="宋体" w:cs="宋体" w:hint="eastAsia"/>
          <w:sz w:val="24"/>
          <w:szCs w:val="24"/>
          <w:lang w:eastAsia="zh-CN"/>
        </w:rPr>
        <w:t>资源利用是指对自然资源的开发、加工、转化和利用过程，而循环经济则是一种以资源的高效利用和循环利用为核心，以“减量化、再利用、资源化”为原则，以低消耗、低排放、高效率为基本特征的经济发展模式。循环经济侧重于对既有资源的循环利用，减少废弃物的产生，同时提高资源的利用效率，从而实现可持续发展。</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二、资源利用与循环经济的主要内容</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1.资源的有效利用：通过技术进步和科学管理，提高资源的利用效率，减少资源的浪费。</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2.废弃物的减量化：在生产和消费过程中，尽可能减少废弃物的产生，避免浪费。</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3.废弃物的回收和再利用：通过回收和再利用废弃物，将其转化为新的资源，实现资源的循环利用。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4.环保产业的发展：鼓励和支持环保产业的发展，推动环保技术的创新和应用。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5.政策引导和监管：通过制定相关政策和加强监管，引导企业和个人采取有利于资源高效利用和循环利用的行为。</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三、资源利用与循环经济的实践案例</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1.废弃物资源化：例如，农作物秸秆可以作为饲料、燃料等进行再利用；生活垃圾可以通过分类回收、资源化处理等方式转化为新的资源。</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2.产业协同：不同产业之间可以通过合作实现资源的共享和优化配置，提高资源利用效率。例如，工业余热可以用于供暖、农业灌溉等。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3.绿色消费：推广绿色消费理念，鼓励消费者购买环保产品和使用可再生能源等。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4.生态修复：通过生态修复技术，改善生态环境，提高生态系统的稳定性和可持续性。例如,通过植被恢复、湿地保护等方式改善自然环境。</w:t>
      </w:r>
    </w:p>
    <w:p>
      <w:pPr>
        <w:spacing w:line="480" w:lineRule="auto"/>
        <w:ind w:firstLine="420" w:firstLineChars="0"/>
        <w:rPr>
          <w:rFonts w:ascii="宋体" w:eastAsia="宋体" w:hAnsi="宋体" w:cs="宋体" w:hint="eastAsia"/>
          <w:sz w:val="24"/>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宋体" w:eastAsia="宋体" w:hAnsi="宋体" w:cs="宋体" w:hint="eastAsia"/>
          <w:sz w:val="24"/>
          <w:szCs w:val="24"/>
          <w:lang w:eastAsia="zh-CN"/>
        </w:rPr>
        <w:t>5.技术创新：推动环保技术创新，提高资源的开发利用水平。例如，发展太阳能、风能等可再生能源技术。</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6.政策引导：制定有利于资源高效利用和循环利用的政策，鼓励企业和个人参与循环经济发展。例如，对环保产业给予税收优惠、财政补贴等支持政策。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7.国际合作：加强与其他国家和地区在环保和资源利用方面的合作与交流，共同应对全球环境问题。例如，参与全球环境治理合作项目等。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四、资源利用与循环经济的意义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资源利用与循环经济的发展对于实现可持续发展具有重要的意义。首先，循环经济可以减少资源的浪费和环境的污染，提高经济发展的质量；其次，循环经济可以促进产业升级和转型，推动绿色经济的发展；再次，循环经济可以提供更多的就业机会和经济增长点，促进社会的稳定和繁荣；最后，循环经济可以促进全球环保合作，推动全球可持续发展进程。</w:t>
      </w:r>
    </w:p>
    <w:p>
      <w:pPr>
        <w:pStyle w:val="Heading2"/>
        <w:spacing w:line="480" w:lineRule="auto"/>
        <w:rPr>
          <w:rFonts w:ascii="宋体" w:eastAsia="宋体" w:hAnsi="宋体" w:cs="宋体" w:hint="eastAsia"/>
          <w:bCs w:val="0"/>
          <w:sz w:val="28"/>
          <w:szCs w:val="28"/>
          <w:lang w:eastAsia="zh-CN"/>
        </w:rPr>
      </w:pPr>
      <w:bookmarkStart w:id="22" w:name="_Toc11376"/>
      <w:r>
        <w:rPr>
          <w:rFonts w:ascii="宋体" w:eastAsia="宋体" w:hAnsi="宋体" w:cs="宋体" w:hint="eastAsia"/>
          <w:b/>
          <w:bCs w:val="0"/>
          <w:sz w:val="28"/>
          <w:szCs w:val="28"/>
          <w:lang w:eastAsia="zh-CN"/>
        </w:rPr>
        <w:t>(四)、碳中和与生态足迹</w:t>
      </w:r>
      <w:bookmarkEnd w:id="22"/>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一、碳中和概述</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碳中和定义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碳中和是指通过减少温室气体排放并采取补偿措施,将排放的碳释放量与吸收或降解的碳量达到平衡,从而减少对气候变化的负面影响。</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碳中和目标</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碳中和目标是指组织或国家设定的减少温室气体排放并实现碳中和的具体目标,如减少特定比例的排放量或在特定时间点实现碳中和。</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二、碳中和策略与措施</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温室气体排放减少</w:t>
      </w:r>
    </w:p>
    <w:p>
      <w:pPr>
        <w:spacing w:line="480" w:lineRule="auto"/>
        <w:ind w:firstLine="420" w:firstLineChars="0"/>
        <w:rPr>
          <w:rFonts w:ascii="宋体" w:eastAsia="宋体" w:hAnsi="宋体" w:cs="宋体" w:hint="eastAsia"/>
          <w:sz w:val="24"/>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宋体" w:eastAsia="宋体" w:hAnsi="宋体" w:cs="宋体" w:hint="eastAsia"/>
          <w:sz w:val="24"/>
          <w:szCs w:val="24"/>
          <w:lang w:eastAsia="zh-CN"/>
        </w:rPr>
        <w:t>能源效率改进：采取节能措施和使用高效能源设备，减少能源消耗和碳排放。</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可再生能源使用：增加可再生能源的比例，如太阳能、风能和水能等，减少对化石燃料的依赖。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产业结构调整：促进低碳产业的发展，减少高碳产业的排放。</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碳补偿措施</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植树造林：通过植树造林项目，吸收大气中的二氧化碳，实现碳的固定和储存。</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碳捕捉与储存技术：采用碳捕捉与储存(CCS)技术，将工业排放的二氧化碳捕捉并储存于地下或其他介质中，防止其进入大气。</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碳交易与碳市场：参与碳交易市场，购买和销售碳配额，实现碳排放的补偿和减少。</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三、生态足迹概述</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生态足迹定义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生态足迹是衡量个体、组织或国家对生态系统的资源消耗和环境影响的指标，包括土地、水、能源等资源的使用和碳排放等。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生态足迹计算</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资源消耗计算：根据资源使用量和消耗方式，计算各种资源的生态足迹，包括土地、水、能源等。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碳排放计算：根据温室气体排放量，特别是二氧化碳排放量，计算碳排放的生态足迹。</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四、生态足迹管理与减少</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资源管理与效率提升</w:t>
      </w:r>
    </w:p>
    <w:p>
      <w:pPr>
        <w:spacing w:line="480" w:lineRule="auto"/>
        <w:ind w:firstLine="420" w:firstLineChars="0"/>
        <w:rPr>
          <w:rFonts w:ascii="宋体" w:eastAsia="宋体" w:hAnsi="宋体" w:cs="宋体" w:hint="eastAsia"/>
          <w:sz w:val="24"/>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资源循环利用：推行循环经济模式，减少资源的浪费和消耗，提高资源的再利用率。</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节约用水：采取节水措施，如水资源回收利用、节水设备安装和水资源管理等，减少对水资源的需求。</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绿色能源使用：增加可再生能源的比例,减少对化石燃料的依赖，降低能源消耗和生态足迹。</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碳排放减少</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低碳交通：鼓励使用公共交通工具、推广电动车辆，并减少个人汽车使用，从而降低交通领域的碳排放。</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能源效率改进：采取节能措施,提高能源利用效率,减少碳排放。碳中和措施：采取碳中和策略和措施,实现碳排放的减少和补偿。</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23" w:name="_Toc12149"/>
      <w:r>
        <w:rPr>
          <w:rFonts w:ascii="微软雅黑" w:eastAsia="微软雅黑" w:hAnsi="微软雅黑" w:cs="微软雅黑" w:hint="eastAsia"/>
          <w:color w:val="2E54A1" w:themeColor="accent1" w:themeShade="BF"/>
          <w:sz w:val="32"/>
          <w:szCs w:val="32"/>
          <w:lang w:eastAsia="zh-CN"/>
        </w:rPr>
        <w:t>六、质量与技术管理</w:t>
      </w:r>
      <w:bookmarkEnd w:id="23"/>
    </w:p>
    <w:p>
      <w:pPr>
        <w:pStyle w:val="Heading2"/>
        <w:spacing w:line="480" w:lineRule="auto"/>
        <w:rPr>
          <w:rFonts w:ascii="宋体" w:eastAsia="宋体" w:hAnsi="宋体" w:cs="宋体" w:hint="eastAsia"/>
          <w:bCs w:val="0"/>
          <w:sz w:val="28"/>
          <w:szCs w:val="28"/>
          <w:lang w:eastAsia="zh-CN"/>
        </w:rPr>
      </w:pPr>
      <w:bookmarkStart w:id="24" w:name="_Toc522"/>
      <w:r>
        <w:rPr>
          <w:rFonts w:ascii="宋体" w:eastAsia="宋体" w:hAnsi="宋体" w:cs="宋体" w:hint="eastAsia"/>
          <w:b/>
          <w:bCs w:val="0"/>
          <w:sz w:val="28"/>
          <w:szCs w:val="28"/>
          <w:lang w:eastAsia="zh-CN"/>
        </w:rPr>
        <w:t>(一)、质量管理体系建设</w:t>
      </w:r>
      <w:bookmarkEnd w:id="24"/>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质量管理体系的建设对项目成功实施和最终交付高质量成果至关重要。首先，我们着眼于建立完善的质量管理流程。通过详细制定项目的质量计划，明确各项工作的质量标准和要求，确保项目在整个实施过程中有清晰的质量目标。我们设立了专门的质量管理团队，负责监督和执行质量计划，以及及时响应可能出现的质量问题。</w:t>
      </w:r>
    </w:p>
    <w:p>
      <w:pPr>
        <w:spacing w:line="480" w:lineRule="auto"/>
        <w:ind w:firstLine="420" w:firstLineChars="0"/>
        <w:rPr>
          <w:rFonts w:ascii="宋体" w:eastAsia="宋体" w:hAnsi="宋体" w:cs="宋体" w:hint="eastAsia"/>
          <w:sz w:val="24"/>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宋体" w:eastAsia="宋体" w:hAnsi="宋体" w:cs="宋体" w:hint="eastAsia"/>
          <w:sz w:val="24"/>
          <w:szCs w:val="24"/>
          <w:lang w:eastAsia="zh-CN"/>
        </w:rPr>
        <w:t>我们注重质量控制的实施。采用先进的质量控制工具和技术，对项目进行全面的质量检查和评估。通过制定详尽的检查表和流程，确保每个阶段的工作都符合预定的质量标准。同时，我们引入了现代化的质量管理软件，提高了对项目质量状况的监控和管理效率。</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强调持续改进的理念。在项目实施的过程中，我们定期进行内部审核和评估，总结项目经验，发现问题，并在团队内部推动相应的改进措施。通过建立反馈机制，吸纳各方意见和建议，不断优化质量管理体系，确保其适应项目的实际需求和不断变化的环境。</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最后，我们注重培训与教育。建设质量管理体系需要有高素质的团队成员，我们通过定期培训和知识分享活动，提升团队成员的质量意识和管理水平。这包括对新技术、新标准的学习，以及培养团队成员的沟通和协作能力，使其更好地适应质量管理体系的要求。</w:t>
      </w:r>
    </w:p>
    <w:p>
      <w:pPr>
        <w:pStyle w:val="Heading2"/>
        <w:spacing w:line="480" w:lineRule="auto"/>
        <w:rPr>
          <w:rFonts w:ascii="宋体" w:eastAsia="宋体" w:hAnsi="宋体" w:cs="宋体" w:hint="eastAsia"/>
          <w:bCs w:val="0"/>
          <w:sz w:val="28"/>
          <w:szCs w:val="28"/>
          <w:lang w:eastAsia="zh-CN"/>
        </w:rPr>
      </w:pPr>
      <w:bookmarkStart w:id="25" w:name="_Toc25294"/>
      <w:r>
        <w:rPr>
          <w:rFonts w:ascii="宋体" w:eastAsia="宋体" w:hAnsi="宋体" w:cs="宋体" w:hint="eastAsia"/>
          <w:b/>
          <w:bCs w:val="0"/>
          <w:sz w:val="28"/>
          <w:szCs w:val="28"/>
          <w:lang w:eastAsia="zh-CN"/>
        </w:rPr>
        <w:t>(二)、技术标准与创新</w:t>
      </w:r>
      <w:bookmarkEnd w:id="25"/>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技术标准的制定和创新是项目实施中不可或缺的一环。首先，我们注重建立统一的技术标准。通过调研氧气机行业最佳实践和先进技术，我们制定了适用于项目的技术标准，明确了项目中所采用的技术规范和流程。这有助于降低项目实施中的技术风险，确保团队在技术层面有一致的认识和执行标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强调技术创新的推动。在项目中，我们鼓励团队成员不断追求技术创新,鼓励提出新的解决方案和改进意见。为了激发创新潜力，我们设立了专门的创新团队，负责跟踪新兴技术和氧气机行业趋势，推动其在项目中的应用。通过定期的创新研讨会和项目内部竞赛，我们努力营造创新的氛围，使团队成员在技术上能够不断突破自我，提高项目的竞争力。</w:t>
      </w:r>
    </w:p>
    <w:p>
      <w:pPr>
        <w:spacing w:line="480" w:lineRule="auto"/>
        <w:ind w:firstLine="420" w:firstLineChars="0"/>
        <w:rPr>
          <w:rFonts w:ascii="宋体" w:eastAsia="宋体" w:hAnsi="宋体" w:cs="宋体" w:hint="eastAsia"/>
          <w:sz w:val="24"/>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还关注技术人才的引进和培养。通过与高校和科研机构建立合作关系，引进具有前沿技术知识的专业人才。同时，我们注重内部人才培养，制定个性化的技术培训计划，提高团队成员的技术水平。在技术标准的制定和创新推动中,我们致力于打造一个具备竞争力且富有创造力的技术团队，为项目的成功实施翼定坚实的技术基础。</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26" w:name="_Toc13478"/>
      <w:r>
        <w:rPr>
          <w:rFonts w:ascii="微软雅黑" w:eastAsia="微软雅黑" w:hAnsi="微软雅黑" w:cs="微软雅黑" w:hint="eastAsia"/>
          <w:color w:val="2E54A1" w:themeColor="accent1" w:themeShade="BF"/>
          <w:sz w:val="32"/>
          <w:szCs w:val="32"/>
          <w:lang w:eastAsia="zh-CN"/>
        </w:rPr>
        <w:t>七、制度运行与优化</w:t>
      </w:r>
      <w:bookmarkEnd w:id="26"/>
    </w:p>
    <w:p>
      <w:pPr>
        <w:pStyle w:val="Heading2"/>
        <w:spacing w:line="480" w:lineRule="auto"/>
        <w:rPr>
          <w:rFonts w:ascii="宋体" w:eastAsia="宋体" w:hAnsi="宋体" w:cs="宋体" w:hint="eastAsia"/>
          <w:bCs w:val="0"/>
          <w:sz w:val="28"/>
          <w:szCs w:val="28"/>
          <w:lang w:eastAsia="zh-CN"/>
        </w:rPr>
      </w:pPr>
      <w:bookmarkStart w:id="27" w:name="_Toc10656"/>
      <w:r>
        <w:rPr>
          <w:rFonts w:ascii="宋体" w:eastAsia="宋体" w:hAnsi="宋体" w:cs="宋体" w:hint="eastAsia"/>
          <w:b/>
          <w:bCs w:val="0"/>
          <w:sz w:val="28"/>
          <w:szCs w:val="28"/>
          <w:lang w:eastAsia="zh-CN"/>
        </w:rPr>
        <w:t>(一)、制度执行与监督</w:t>
      </w:r>
      <w:bookmarkEnd w:id="27"/>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公司治理的框架下,制度执行与监督是确保公司规章制度得到切实贯彻的重要环节。我们特别重视这一过程，通过成立专业的制度执行团队，致力于监察和评估公司各级制度的执行情况。该团队定期进行内部审核，深入各个部门开展审查，全面了解执行效果，并向高层管理层提供详尽的报告,以确保公司的各项规章制度得以有效执行。</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了进一步强化监督机制，我们鼓励员工积极参与。通过设立匿名举报机制，我们提供了一个安全、隐蔽的渠道，使员工能够自由反映制度执行中的问题。这种开放的沟通渠道有助于公司及时发现并解决潜在问题，同时也增强了员工对公司治理的信任度。</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公司领导层也积极参与制度执行情况的检查,通过定期的审查与交流,高层管理层能够深入了解制度执行的实际情况，并迅速制定必要的改进方案。这种多层次的监督机制不仅有助于维护公司内部秩序，也为公司整体治理水平的不断提升翼定坚实基础。</w:t>
      </w:r>
    </w:p>
    <w:p>
      <w:pPr>
        <w:pStyle w:val="Heading2"/>
        <w:spacing w:line="480" w:lineRule="auto"/>
        <w:rPr>
          <w:rFonts w:ascii="宋体" w:eastAsia="宋体" w:hAnsi="宋体" w:cs="宋体" w:hint="eastAsia"/>
          <w:bCs w:val="0"/>
          <w:sz w:val="28"/>
          <w:szCs w:val="28"/>
          <w:lang w:eastAsia="zh-CN"/>
        </w:rPr>
      </w:pPr>
      <w:bookmarkStart w:id="28" w:name="_Toc30303"/>
      <w:r>
        <w:rPr>
          <w:rFonts w:ascii="宋体" w:eastAsia="宋体" w:hAnsi="宋体" w:cs="宋体" w:hint="eastAsia"/>
          <w:b/>
          <w:bCs w:val="0"/>
          <w:sz w:val="28"/>
          <w:szCs w:val="28"/>
          <w:lang w:eastAsia="zh-CN"/>
        </w:rPr>
        <w:t>(二)、制度优化与更新</w:t>
      </w:r>
      <w:bookmarkEnd w:id="28"/>
    </w:p>
    <w:p>
      <w:pPr>
        <w:spacing w:line="480" w:lineRule="auto"/>
        <w:ind w:firstLine="420" w:firstLineChars="0"/>
        <w:rPr>
          <w:rFonts w:ascii="宋体" w:eastAsia="宋体" w:hAnsi="宋体" w:cs="宋体" w:hint="eastAsia"/>
          <w:sz w:val="24"/>
        </w:rPr>
      </w:pPr>
      <w:r>
        <w:rPr>
          <w:rFonts w:ascii="宋体" w:eastAsia="宋体" w:hAnsi="宋体" w:cs="宋体" w:hint="eastAsia"/>
          <w:sz w:val="24"/>
        </w:rPr>
        <w:br/>
      </w:r>
      <w:r>
        <w:rPr>
          <w:rFonts w:ascii="宋体" w:eastAsia="宋体" w:hAnsi="宋体" w:cs="宋体" w:hint="eastAsia"/>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rPr>
          <w:t>https://d.book118.com/877154102010006031</w:t>
        </w:r>
      </w:hyperlink>
    </w:p>
    <w:p>
      <w:pPr>
        <w:spacing w:line="480" w:lineRule="auto"/>
        <w:ind w:firstLine="420" w:firstLineChars="0"/>
        <w:rPr>
          <w:rFonts w:ascii="宋体" w:eastAsia="宋体" w:hAnsi="宋体" w:cs="宋体" w:hint="eastAsia"/>
          <w:sz w:val="24"/>
        </w:rPr>
      </w:pPr>
    </w:p>
    <w:sectPr>
      <w:headerReference w:type="default" r:id="rId49"/>
      <w:footerReference w:type="default" r:id="rId50"/>
      <w:type w:val="nextPage"/>
      <w:pgSz w:w="11906" w:h="16838"/>
      <w:pgMar w:top="1440" w:right="1800" w:bottom="1440" w:left="1800" w:header="851" w:footer="992" w:gutter="0"/>
      <w:pgNumType w:start="2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2775B3"/>
    <w:rsid w:val="02623C3C"/>
    <w:rsid w:val="03734037"/>
    <w:rsid w:val="13614867"/>
    <w:rsid w:val="3DAC44EE"/>
    <w:rsid w:val="453746B4"/>
    <w:rsid w:val="482775B3"/>
    <w:rsid w:val="49C53810"/>
    <w:rsid w:val="4E155AC7"/>
    <w:rsid w:val="50930768"/>
    <w:rsid w:val="62A91464"/>
    <w:rsid w:val="692E1C42"/>
    <w:rsid w:val="75FF5BB4"/>
  </w:rsids>
  <w:docVars>
    <w:docVar w:name="commondata" w:val="eyJoZGlkIjoiYjEzZTI3MzIxYzUxM2E3Y2YyMDVhZDRkMWU5YjExZD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qFormat="1"/>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autoRedefine/>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autoRedefine/>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autoRedefine/>
    <w:qFormat/>
    <w:pPr>
      <w:tabs>
        <w:tab w:val="center" w:pos="4153"/>
        <w:tab w:val="right" w:pos="8306"/>
      </w:tabs>
      <w:snapToGrid w:val="0"/>
      <w:jc w:val="left"/>
    </w:pPr>
    <w:rPr>
      <w:sz w:val="18"/>
    </w:rPr>
  </w:style>
  <w:style w:type="paragraph" w:styleId="Header">
    <w:name w:val="header"/>
    <w:basedOn w:val="Normal"/>
    <w:autoRedefine/>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autoRedefine/>
    <w:qFormat/>
    <w:pPr>
      <w:ind w:left="420" w:leftChars="200"/>
    </w:pPr>
  </w:style>
  <w:style w:type="character" w:styleId="PageNumber">
    <w:name w:val="page number"/>
    <w:basedOn w:val="DefaultParagraphFont"/>
    <w:autoRedefine/>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yperlink" Target="https://d.book118.com/877154102010006031" TargetMode="External" /><Relationship Id="rId49" Type="http://schemas.openxmlformats.org/officeDocument/2006/relationships/header" Target="header23.xml" /><Relationship Id="rId5" Type="http://schemas.openxmlformats.org/officeDocument/2006/relationships/footer" Target="footer1.xml" /><Relationship Id="rId50" Type="http://schemas.openxmlformats.org/officeDocument/2006/relationships/footer" Target="footer23.xml" /><Relationship Id="rId51" Type="http://schemas.openxmlformats.org/officeDocument/2006/relationships/theme" Target="theme/theme1.xml" /><Relationship Id="rId52"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小海豹</cp:lastModifiedBy>
  <cp:revision>1</cp:revision>
  <dcterms:created xsi:type="dcterms:W3CDTF">2023-12-10T12:06:00Z</dcterms:created>
  <dcterms:modified xsi:type="dcterms:W3CDTF">2024-01-13T12:00:21Z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1E39AA5D4B7F4B19B7D16FD992F8235D_13</vt:lpwstr>
  </property>
  <property fmtid="{D5CDD505-2E9C-101B-9397-08002B2CF9AE}" pid="3" name="KSOProductBuildVer">
    <vt:lpwstr>2052-12.1.0.16120</vt:lpwstr>
  </property>
</Properties>
</file>