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船底防污漆战略市场规划报告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172" w:history="1">
        <w:r>
          <w:rPr>
            <w:rFonts w:ascii="仿宋" w:eastAsia="仿宋" w:hAnsi="仿宋" w:cs="仿宋" w:hint="eastAsia"/>
            <w:lang w:val="en-GB"/>
          </w:rPr>
          <w:t>序言</w:t>
        </w:r>
        <w:r>
          <w:tab/>
        </w:r>
        <w:r>
          <w:fldChar w:fldCharType="begin"/>
        </w:r>
        <w:r>
          <w:instrText xml:space="preserve"> PAGEREF _Toc6172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39" w:history="1">
        <w:r>
          <w:rPr>
            <w:rFonts w:ascii="仿宋" w:eastAsia="仿宋" w:hAnsi="仿宋" w:cs="仿宋" w:hint="eastAsia"/>
            <w:lang w:val="en-GB"/>
          </w:rPr>
          <w:t>一、船底防污漆危机管理与应对策略</w:t>
        </w:r>
        <w:r>
          <w:tab/>
        </w:r>
        <w:r>
          <w:fldChar w:fldCharType="begin"/>
        </w:r>
        <w:r>
          <w:instrText xml:space="preserve"> PAGEREF _Toc32639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33" w:history="1">
        <w:r>
          <w:rPr>
            <w:rFonts w:ascii="仿宋" w:eastAsia="仿宋" w:hAnsi="仿宋" w:cs="仿宋" w:hint="eastAsia"/>
            <w:lang w:val="en-GB"/>
          </w:rPr>
          <w:t>(一)、危机预警与应急计划</w:t>
        </w:r>
        <w:r>
          <w:tab/>
        </w:r>
        <w:r>
          <w:fldChar w:fldCharType="begin"/>
        </w:r>
        <w:r>
          <w:instrText xml:space="preserve"> PAGEREF _Toc10333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75" w:history="1">
        <w:r>
          <w:rPr>
            <w:rFonts w:ascii="仿宋" w:eastAsia="仿宋" w:hAnsi="仿宋" w:cs="仿宋" w:hint="eastAsia"/>
            <w:lang w:val="en-GB"/>
          </w:rPr>
          <w:t>(二)、公关与危机沟通</w:t>
        </w:r>
        <w:r>
          <w:tab/>
        </w:r>
        <w:r>
          <w:fldChar w:fldCharType="begin"/>
        </w:r>
        <w:r>
          <w:instrText xml:space="preserve"> PAGEREF _Toc15775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9" w:history="1">
        <w:r>
          <w:rPr>
            <w:rFonts w:ascii="仿宋" w:eastAsia="仿宋" w:hAnsi="仿宋" w:cs="仿宋" w:hint="eastAsia"/>
            <w:lang w:val="en-GB"/>
          </w:rPr>
          <w:t>(三)、媒体关系与舆情管理</w:t>
        </w:r>
        <w:r>
          <w:tab/>
        </w:r>
        <w:r>
          <w:fldChar w:fldCharType="begin"/>
        </w:r>
        <w:r>
          <w:instrText xml:space="preserve"> PAGEREF _Toc1909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96" w:history="1">
        <w:r>
          <w:rPr>
            <w:rFonts w:ascii="仿宋" w:eastAsia="仿宋" w:hAnsi="仿宋" w:cs="仿宋" w:hint="eastAsia"/>
            <w:lang w:val="en-GB"/>
          </w:rPr>
          <w:t>(四)、企业社会责任与危机回应</w:t>
        </w:r>
        <w:r>
          <w:tab/>
        </w:r>
        <w:r>
          <w:fldChar w:fldCharType="begin"/>
        </w:r>
        <w:r>
          <w:instrText xml:space="preserve"> PAGEREF _Toc8596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18" w:history="1">
        <w:r>
          <w:rPr>
            <w:rFonts w:ascii="仿宋" w:eastAsia="仿宋" w:hAnsi="仿宋" w:cs="仿宋" w:hint="eastAsia"/>
            <w:lang w:val="en-GB"/>
          </w:rPr>
          <w:t>二、船底防污漆行业前景</w:t>
        </w:r>
        <w:r>
          <w:tab/>
        </w:r>
        <w:r>
          <w:fldChar w:fldCharType="begin"/>
        </w:r>
        <w:r>
          <w:instrText xml:space="preserve"> PAGEREF _Toc28418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57" w:history="1">
        <w:r>
          <w:rPr>
            <w:rFonts w:ascii="仿宋" w:eastAsia="仿宋" w:hAnsi="仿宋" w:cs="仿宋" w:hint="eastAsia"/>
            <w:lang w:val="en-GB"/>
          </w:rPr>
          <w:t>(一)、市场增长预测</w:t>
        </w:r>
        <w:r>
          <w:tab/>
        </w:r>
        <w:r>
          <w:fldChar w:fldCharType="begin"/>
        </w:r>
        <w:r>
          <w:instrText xml:space="preserve"> PAGEREF _Toc27457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61" w:history="1">
        <w:r>
          <w:rPr>
            <w:rFonts w:ascii="仿宋" w:eastAsia="仿宋" w:hAnsi="仿宋" w:cs="仿宋" w:hint="eastAsia"/>
            <w:lang w:val="en-GB"/>
          </w:rPr>
          <w:t>(二)、新兴市场机会</w:t>
        </w:r>
        <w:r>
          <w:tab/>
        </w:r>
        <w:r>
          <w:fldChar w:fldCharType="begin"/>
        </w:r>
        <w:r>
          <w:instrText xml:space="preserve"> PAGEREF _Toc24861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30" w:history="1">
        <w:r>
          <w:rPr>
            <w:rFonts w:ascii="仿宋" w:eastAsia="仿宋" w:hAnsi="仿宋" w:cs="仿宋" w:hint="eastAsia"/>
            <w:lang w:val="en-GB"/>
          </w:rPr>
          <w:t>(三)、技术前景展望</w:t>
        </w:r>
        <w:r>
          <w:tab/>
        </w:r>
        <w:r>
          <w:fldChar w:fldCharType="begin"/>
        </w:r>
        <w:r>
          <w:instrText xml:space="preserve"> PAGEREF _Toc14130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32" w:history="1">
        <w:r>
          <w:rPr>
            <w:rFonts w:ascii="仿宋" w:eastAsia="仿宋" w:hAnsi="仿宋" w:cs="仿宋" w:hint="eastAsia"/>
            <w:lang w:val="en-GB"/>
          </w:rPr>
          <w:t>(四)、政策环境变化</w:t>
        </w:r>
        <w:r>
          <w:tab/>
        </w:r>
        <w:r>
          <w:fldChar w:fldCharType="begin"/>
        </w:r>
        <w:r>
          <w:instrText xml:space="preserve"> PAGEREF _Toc26532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73" w:history="1">
        <w:r>
          <w:rPr>
            <w:rFonts w:ascii="仿宋" w:eastAsia="仿宋" w:hAnsi="仿宋" w:cs="仿宋" w:hint="eastAsia"/>
            <w:lang w:val="en-GB"/>
          </w:rPr>
          <w:t>三、SWOT分析说明</w:t>
        </w:r>
        <w:r>
          <w:tab/>
        </w:r>
        <w:r>
          <w:fldChar w:fldCharType="begin"/>
        </w:r>
        <w:r>
          <w:instrText xml:space="preserve"> PAGEREF _Toc28973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41" w:history="1">
        <w:r>
          <w:rPr>
            <w:rFonts w:ascii="仿宋" w:eastAsia="仿宋" w:hAnsi="仿宋" w:cs="仿宋" w:hint="eastAsia"/>
            <w:lang w:val="en-GB"/>
          </w:rPr>
          <w:t>(一)、优势分析(S)</w:t>
        </w:r>
        <w:r>
          <w:tab/>
        </w:r>
        <w:r>
          <w:fldChar w:fldCharType="begin"/>
        </w:r>
        <w:r>
          <w:instrText xml:space="preserve"> PAGEREF _Toc11041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14" w:history="1">
        <w:r>
          <w:rPr>
            <w:rFonts w:ascii="仿宋" w:eastAsia="仿宋" w:hAnsi="仿宋" w:cs="仿宋" w:hint="eastAsia"/>
            <w:lang w:val="en-GB"/>
          </w:rPr>
          <w:t>(二)、劣势分析(W)</w:t>
        </w:r>
        <w:r>
          <w:tab/>
        </w:r>
        <w:r>
          <w:fldChar w:fldCharType="begin"/>
        </w:r>
        <w:r>
          <w:instrText xml:space="preserve"> PAGEREF _Toc17414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9" w:history="1">
        <w:r>
          <w:rPr>
            <w:rFonts w:ascii="仿宋" w:eastAsia="仿宋" w:hAnsi="仿宋" w:cs="仿宋" w:hint="eastAsia"/>
            <w:lang w:val="en-GB"/>
          </w:rPr>
          <w:t>(三)、机会分析(O)</w:t>
        </w:r>
        <w:r>
          <w:tab/>
        </w:r>
        <w:r>
          <w:fldChar w:fldCharType="begin"/>
        </w:r>
        <w:r>
          <w:instrText xml:space="preserve"> PAGEREF _Toc1479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31" w:history="1">
        <w:r>
          <w:rPr>
            <w:rFonts w:ascii="仿宋" w:eastAsia="仿宋" w:hAnsi="仿宋" w:cs="仿宋" w:hint="eastAsia"/>
            <w:lang w:val="en-GB"/>
          </w:rPr>
          <w:t>(四)、威胁分析(T)</w:t>
        </w:r>
        <w:r>
          <w:tab/>
        </w:r>
        <w:r>
          <w:fldChar w:fldCharType="begin"/>
        </w:r>
        <w:r>
          <w:instrText xml:space="preserve"> PAGEREF _Toc14631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88" w:history="1">
        <w:r>
          <w:rPr>
            <w:rFonts w:ascii="仿宋" w:eastAsia="仿宋" w:hAnsi="仿宋" w:cs="仿宋" w:hint="eastAsia"/>
            <w:lang w:val="en-GB"/>
          </w:rPr>
          <w:t>四、员工培训与绩效提升</w:t>
        </w:r>
        <w:r>
          <w:tab/>
        </w:r>
        <w:r>
          <w:fldChar w:fldCharType="begin"/>
        </w:r>
        <w:r>
          <w:instrText xml:space="preserve"> PAGEREF _Toc6988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54" w:history="1">
        <w:r>
          <w:rPr>
            <w:rFonts w:ascii="仿宋" w:eastAsia="仿宋" w:hAnsi="仿宋" w:cs="仿宋" w:hint="eastAsia"/>
            <w:lang w:val="en-GB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_Toc3454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3" w:history="1">
        <w:r>
          <w:rPr>
            <w:rFonts w:ascii="仿宋" w:eastAsia="仿宋" w:hAnsi="仿宋" w:cs="仿宋" w:hint="eastAsia"/>
            <w:lang w:val="en-GB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_Toc1203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4" w:history="1">
        <w:r>
          <w:rPr>
            <w:rFonts w:ascii="仿宋" w:eastAsia="仿宋" w:hAnsi="仿宋" w:cs="仿宋" w:hint="eastAsia"/>
            <w:lang w:val="en-GB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_Toc11944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34" w:history="1">
        <w:r>
          <w:rPr>
            <w:rFonts w:ascii="仿宋" w:eastAsia="仿宋" w:hAnsi="仿宋" w:cs="仿宋" w:hint="eastAsia"/>
            <w:lang w:val="en-GB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_Toc22334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91" w:history="1">
        <w:r>
          <w:rPr>
            <w:rFonts w:ascii="仿宋" w:eastAsia="仿宋" w:hAnsi="仿宋" w:cs="仿宋" w:hint="eastAsia"/>
            <w:lang w:val="en-GB"/>
          </w:rPr>
          <w:t>五、人力资源分析</w:t>
        </w:r>
        <w:r>
          <w:tab/>
        </w:r>
        <w:r>
          <w:fldChar w:fldCharType="begin"/>
        </w:r>
        <w:r>
          <w:instrText xml:space="preserve"> PAGEREF _Toc10891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68" w:history="1">
        <w:r>
          <w:rPr>
            <w:rFonts w:ascii="仿宋" w:eastAsia="仿宋" w:hAnsi="仿宋" w:cs="仿宋" w:hint="eastAsia"/>
            <w:lang w:val="en-GB"/>
          </w:rPr>
          <w:t>(一)、人力资源配置</w:t>
        </w:r>
        <w:r>
          <w:tab/>
        </w:r>
        <w:r>
          <w:fldChar w:fldCharType="begin"/>
        </w:r>
        <w:r>
          <w:instrText xml:space="preserve"> PAGEREF _Toc18468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48" w:history="1">
        <w:r>
          <w:rPr>
            <w:rFonts w:ascii="仿宋" w:eastAsia="仿宋" w:hAnsi="仿宋" w:cs="仿宋" w:hint="eastAsia"/>
            <w:lang w:val="en-GB"/>
          </w:rPr>
          <w:t>(二)、员工技能培训</w:t>
        </w:r>
        <w:r>
          <w:tab/>
        </w:r>
        <w:r>
          <w:fldChar w:fldCharType="begin"/>
        </w:r>
        <w:r>
          <w:instrText xml:space="preserve"> PAGEREF _Toc27848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22" w:history="1">
        <w:r>
          <w:rPr>
            <w:rFonts w:ascii="仿宋" w:eastAsia="仿宋" w:hAnsi="仿宋" w:cs="仿宋" w:hint="eastAsia"/>
            <w:lang w:val="en-GB"/>
          </w:rPr>
          <w:t>六、船底防污漆市场地位与竞争战略</w:t>
        </w:r>
        <w:r>
          <w:tab/>
        </w:r>
        <w:r>
          <w:fldChar w:fldCharType="begin"/>
        </w:r>
        <w:r>
          <w:instrText xml:space="preserve"> PAGEREF _Toc31422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50" w:history="1">
        <w:r>
          <w:rPr>
            <w:rFonts w:ascii="仿宋" w:eastAsia="仿宋" w:hAnsi="仿宋" w:cs="仿宋" w:hint="eastAsia"/>
            <w:lang w:val="en-GB"/>
          </w:rPr>
          <w:t>(一)、公司市场地位</w:t>
        </w:r>
        <w:r>
          <w:tab/>
        </w:r>
        <w:r>
          <w:fldChar w:fldCharType="begin"/>
        </w:r>
        <w:r>
          <w:instrText xml:space="preserve"> PAGEREF _Toc16550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35" w:history="1">
        <w:r>
          <w:rPr>
            <w:rFonts w:ascii="仿宋" w:eastAsia="仿宋" w:hAnsi="仿宋" w:cs="仿宋" w:hint="eastAsia"/>
            <w:lang w:val="en-GB"/>
          </w:rPr>
          <w:t>(二)、竞争对手分析</w:t>
        </w:r>
        <w:r>
          <w:tab/>
        </w:r>
        <w:r>
          <w:fldChar w:fldCharType="begin"/>
        </w:r>
        <w:r>
          <w:instrText xml:space="preserve"> PAGEREF _Toc13635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5" w:history="1">
        <w:r>
          <w:rPr>
            <w:rFonts w:ascii="仿宋" w:eastAsia="仿宋" w:hAnsi="仿宋" w:cs="仿宋" w:hint="eastAsia"/>
            <w:lang w:val="en-GB"/>
          </w:rPr>
          <w:t>(三)、竞争战略</w:t>
        </w:r>
        <w:r>
          <w:tab/>
        </w:r>
        <w:r>
          <w:fldChar w:fldCharType="begin"/>
        </w:r>
        <w:r>
          <w:instrText xml:space="preserve"> PAGEREF _Toc865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10" w:history="1">
        <w:r>
          <w:rPr>
            <w:rFonts w:ascii="仿宋" w:eastAsia="仿宋" w:hAnsi="仿宋" w:cs="仿宋" w:hint="eastAsia"/>
            <w:lang w:val="en-GB"/>
          </w:rPr>
          <w:t>(四)、市场定位</w:t>
        </w:r>
        <w:r>
          <w:tab/>
        </w:r>
        <w:r>
          <w:fldChar w:fldCharType="begin"/>
        </w:r>
        <w:r>
          <w:instrText xml:space="preserve"> PAGEREF _Toc22610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25" w:history="1">
        <w:r>
          <w:rPr>
            <w:rFonts w:ascii="仿宋" w:eastAsia="仿宋" w:hAnsi="仿宋" w:cs="仿宋" w:hint="eastAsia"/>
            <w:lang w:val="en-GB"/>
          </w:rPr>
          <w:t>七、船底防污漆消费者市场分析</w:t>
        </w:r>
        <w:r>
          <w:tab/>
        </w:r>
        <w:r>
          <w:fldChar w:fldCharType="begin"/>
        </w:r>
        <w:r>
          <w:instrText xml:space="preserve"> PAGEREF _Toc4625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01" w:history="1">
        <w:r>
          <w:rPr>
            <w:rFonts w:ascii="仿宋" w:eastAsia="仿宋" w:hAnsi="仿宋" w:cs="仿宋" w:hint="eastAsia"/>
            <w:lang w:val="en-GB"/>
          </w:rPr>
          <w:t>(一)、目标客户群体</w:t>
        </w:r>
        <w:r>
          <w:tab/>
        </w:r>
        <w:r>
          <w:fldChar w:fldCharType="begin"/>
        </w:r>
        <w:r>
          <w:instrText xml:space="preserve"> PAGEREF _Toc6101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02" w:history="1">
        <w:r>
          <w:rPr>
            <w:rFonts w:ascii="仿宋" w:eastAsia="仿宋" w:hAnsi="仿宋" w:cs="仿宋" w:hint="eastAsia"/>
            <w:lang w:val="en-GB"/>
          </w:rPr>
          <w:t>(二)、消费者需求</w:t>
        </w:r>
        <w:r>
          <w:tab/>
        </w:r>
        <w:r>
          <w:fldChar w:fldCharType="begin"/>
        </w:r>
        <w:r>
          <w:instrText xml:space="preserve"> PAGEREF _Toc6002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52" w:history="1">
        <w:r>
          <w:rPr>
            <w:rFonts w:ascii="仿宋" w:eastAsia="仿宋" w:hAnsi="仿宋" w:cs="仿宋" w:hint="eastAsia"/>
            <w:lang w:val="en-GB"/>
          </w:rPr>
          <w:t>八、船底防污漆促销策略</w:t>
        </w:r>
        <w:r>
          <w:tab/>
        </w:r>
        <w:r>
          <w:fldChar w:fldCharType="begin"/>
        </w:r>
        <w:r>
          <w:instrText xml:space="preserve"> PAGEREF _Toc10252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35" w:history="1">
        <w:r>
          <w:rPr>
            <w:rFonts w:ascii="仿宋" w:eastAsia="仿宋" w:hAnsi="仿宋" w:cs="仿宋" w:hint="eastAsia"/>
            <w:lang w:val="en-GB"/>
          </w:rPr>
          <w:t>(一)、广告与宣传</w:t>
        </w:r>
        <w:r>
          <w:tab/>
        </w:r>
        <w:r>
          <w:fldChar w:fldCharType="begin"/>
        </w:r>
        <w:r>
          <w:instrText xml:space="preserve"> PAGEREF _Toc16735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47" w:history="1">
        <w:r>
          <w:rPr>
            <w:rFonts w:ascii="仿宋" w:eastAsia="仿宋" w:hAnsi="仿宋" w:cs="仿宋" w:hint="eastAsia"/>
            <w:lang w:val="en-GB"/>
          </w:rPr>
          <w:t>(二)、促销活动</w:t>
        </w:r>
        <w:r>
          <w:tab/>
        </w:r>
        <w:r>
          <w:fldChar w:fldCharType="begin"/>
        </w:r>
        <w:r>
          <w:instrText xml:space="preserve"> PAGEREF _Toc26547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81" w:history="1">
        <w:r>
          <w:rPr>
            <w:rFonts w:ascii="仿宋" w:eastAsia="仿宋" w:hAnsi="仿宋" w:cs="仿宋" w:hint="eastAsia"/>
            <w:lang w:val="en-GB"/>
          </w:rPr>
          <w:t>(三)、品牌推广</w:t>
        </w:r>
        <w:r>
          <w:tab/>
        </w:r>
        <w:r>
          <w:fldChar w:fldCharType="begin"/>
        </w:r>
        <w:r>
          <w:instrText xml:space="preserve"> PAGEREF _Toc25281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10" w:history="1">
        <w:r>
          <w:rPr>
            <w:rFonts w:ascii="仿宋" w:eastAsia="仿宋" w:hAnsi="仿宋" w:cs="仿宋" w:hint="eastAsia"/>
            <w:lang w:val="en-GB"/>
          </w:rPr>
          <w:t>(四)、数字营销</w:t>
        </w:r>
        <w:r>
          <w:tab/>
        </w:r>
        <w:r>
          <w:fldChar w:fldCharType="begin"/>
        </w:r>
        <w:r>
          <w:instrText xml:space="preserve"> PAGEREF _Toc6310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14" w:history="1">
        <w:r>
          <w:rPr>
            <w:rFonts w:ascii="仿宋" w:eastAsia="仿宋" w:hAnsi="仿宋" w:cs="仿宋" w:hint="eastAsia"/>
            <w:lang w:val="en-GB"/>
          </w:rPr>
          <w:t>九、船底防污漆新型运营方式</w:t>
        </w:r>
        <w:r>
          <w:tab/>
        </w:r>
        <w:r>
          <w:fldChar w:fldCharType="begin"/>
        </w:r>
        <w:r>
          <w:instrText xml:space="preserve"> PAGEREF _Toc28214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4" w:history="1">
        <w:r>
          <w:rPr>
            <w:rFonts w:ascii="仿宋" w:eastAsia="仿宋" w:hAnsi="仿宋" w:cs="仿宋" w:hint="eastAsia"/>
            <w:lang w:val="en-GB"/>
          </w:rPr>
          <w:t>(一)、创新业务模式</w:t>
        </w:r>
        <w:r>
          <w:tab/>
        </w:r>
        <w:r>
          <w:fldChar w:fldCharType="begin"/>
        </w:r>
        <w:r>
          <w:instrText xml:space="preserve"> PAGEREF _Toc634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13" w:history="1">
        <w:r>
          <w:rPr>
            <w:rFonts w:ascii="仿宋" w:eastAsia="仿宋" w:hAnsi="仿宋" w:cs="仿宋" w:hint="eastAsia"/>
            <w:lang w:val="en-GB"/>
          </w:rPr>
          <w:t>(二)、数字化运营</w:t>
        </w:r>
        <w:r>
          <w:tab/>
        </w:r>
        <w:r>
          <w:fldChar w:fldCharType="begin"/>
        </w:r>
        <w:r>
          <w:instrText xml:space="preserve"> PAGEREF _Toc22213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18" w:history="1">
        <w:r>
          <w:rPr>
            <w:rFonts w:ascii="仿宋" w:eastAsia="仿宋" w:hAnsi="仿宋" w:cs="仿宋" w:hint="eastAsia"/>
            <w:lang w:val="en-GB"/>
          </w:rPr>
          <w:t>(三)、智能化技术应用</w:t>
        </w:r>
        <w:r>
          <w:tab/>
        </w:r>
        <w:r>
          <w:fldChar w:fldCharType="begin"/>
        </w:r>
        <w:r>
          <w:instrText xml:space="preserve"> PAGEREF _Toc30418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924" w:history="1">
        <w:r>
          <w:rPr>
            <w:rFonts w:ascii="仿宋" w:eastAsia="仿宋" w:hAnsi="仿宋" w:cs="仿宋" w:hint="eastAsia"/>
            <w:lang w:val="en-GB"/>
          </w:rPr>
          <w:t>(四)、可持续经营实践</w:t>
        </w:r>
        <w:r>
          <w:tab/>
        </w:r>
        <w:r>
          <w:fldChar w:fldCharType="begin"/>
        </w:r>
        <w:r>
          <w:instrText xml:space="preserve"> PAGEREF _Toc3924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51" w:history="1">
        <w:r>
          <w:rPr>
            <w:rFonts w:ascii="仿宋" w:eastAsia="仿宋" w:hAnsi="仿宋" w:cs="仿宋" w:hint="eastAsia"/>
            <w:lang w:val="en-GB"/>
          </w:rPr>
          <w:t>十、船底防污漆定价策略</w:t>
        </w:r>
        <w:r>
          <w:tab/>
        </w:r>
        <w:r>
          <w:fldChar w:fldCharType="begin"/>
        </w:r>
        <w:r>
          <w:instrText xml:space="preserve"> PAGEREF _Toc11651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06" w:history="1">
        <w:r>
          <w:rPr>
            <w:rFonts w:ascii="仿宋" w:eastAsia="仿宋" w:hAnsi="仿宋" w:cs="仿宋" w:hint="eastAsia"/>
            <w:lang w:val="en-GB"/>
          </w:rPr>
          <w:t>(一)、定价策略概述</w:t>
        </w:r>
        <w:r>
          <w:tab/>
        </w:r>
        <w:r>
          <w:fldChar w:fldCharType="begin"/>
        </w:r>
        <w:r>
          <w:instrText xml:space="preserve"> PAGEREF _Toc26306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67" w:history="1">
        <w:r>
          <w:rPr>
            <w:rFonts w:ascii="仿宋" w:eastAsia="仿宋" w:hAnsi="仿宋" w:cs="仿宋" w:hint="eastAsia"/>
            <w:lang w:val="en-GB"/>
          </w:rPr>
          <w:t>(二)、成本分析</w:t>
        </w:r>
        <w:r>
          <w:tab/>
        </w:r>
        <w:r>
          <w:fldChar w:fldCharType="begin"/>
        </w:r>
        <w:r>
          <w:instrText xml:space="preserve"> PAGEREF _Toc24267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28" w:history="1">
        <w:r>
          <w:rPr>
            <w:rFonts w:ascii="仿宋" w:eastAsia="仿宋" w:hAnsi="仿宋" w:cs="仿宋" w:hint="eastAsia"/>
            <w:lang w:val="en-GB"/>
          </w:rPr>
          <w:t>(三)、市场需求与弹性</w:t>
        </w:r>
        <w:r>
          <w:tab/>
        </w:r>
        <w:r>
          <w:fldChar w:fldCharType="begin"/>
        </w:r>
        <w:r>
          <w:instrText xml:space="preserve"> PAGEREF _Toc11728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18" w:history="1">
        <w:r>
          <w:rPr>
            <w:rFonts w:ascii="仿宋" w:eastAsia="仿宋" w:hAnsi="仿宋" w:cs="仿宋" w:hint="eastAsia"/>
            <w:lang w:val="en-GB"/>
          </w:rPr>
          <w:t>(四)、竞争对手定价</w:t>
        </w:r>
        <w:r>
          <w:tab/>
        </w:r>
        <w:r>
          <w:fldChar w:fldCharType="begin"/>
        </w:r>
        <w:r>
          <w:instrText xml:space="preserve"> PAGEREF _Toc29718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70" w:history="1">
        <w:r>
          <w:rPr>
            <w:rFonts w:ascii="仿宋" w:eastAsia="仿宋" w:hAnsi="仿宋" w:cs="仿宋" w:hint="eastAsia"/>
            <w:lang w:val="en-GB"/>
          </w:rPr>
          <w:t>十一、船底防污漆行业发展方向</w:t>
        </w:r>
        <w:r>
          <w:tab/>
        </w:r>
        <w:r>
          <w:fldChar w:fldCharType="begin"/>
        </w:r>
        <w:r>
          <w:instrText xml:space="preserve"> PAGEREF _Toc15670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12" w:history="1">
        <w:r>
          <w:rPr>
            <w:rFonts w:ascii="仿宋" w:eastAsia="仿宋" w:hAnsi="仿宋" w:cs="仿宋" w:hint="eastAsia"/>
            <w:lang w:val="en-GB"/>
          </w:rPr>
          <w:t>(一)、未来趋势与预测</w:t>
        </w:r>
        <w:r>
          <w:tab/>
        </w:r>
        <w:r>
          <w:fldChar w:fldCharType="begin"/>
        </w:r>
        <w:r>
          <w:instrText xml:space="preserve"> PAGEREF _Toc11312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18" w:history="1">
        <w:r>
          <w:rPr>
            <w:rFonts w:ascii="仿宋" w:eastAsia="仿宋" w:hAnsi="仿宋" w:cs="仿宋" w:hint="eastAsia"/>
            <w:lang w:val="en-GB"/>
          </w:rPr>
          <w:t>(二)、新兴技术应用</w:t>
        </w:r>
        <w:r>
          <w:tab/>
        </w:r>
        <w:r>
          <w:fldChar w:fldCharType="begin"/>
        </w:r>
        <w:r>
          <w:instrText xml:space="preserve"> PAGEREF _Toc26018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86" w:history="1">
        <w:r>
          <w:rPr>
            <w:rFonts w:ascii="仿宋" w:eastAsia="仿宋" w:hAnsi="仿宋" w:cs="仿宋" w:hint="eastAsia"/>
            <w:lang w:val="en-GB"/>
          </w:rPr>
          <w:t>(三)、船底防污漆行业生态系统构建</w:t>
        </w:r>
        <w:r>
          <w:tab/>
        </w:r>
        <w:r>
          <w:fldChar w:fldCharType="begin"/>
        </w:r>
        <w:r>
          <w:instrText xml:space="preserve"> PAGEREF _Toc13786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92" w:history="1">
        <w:r>
          <w:rPr>
            <w:rFonts w:ascii="仿宋" w:eastAsia="仿宋" w:hAnsi="仿宋" w:cs="仿宋" w:hint="eastAsia"/>
            <w:lang w:val="en-GB"/>
          </w:rPr>
          <w:t>(四)、国际市场拓展策略</w:t>
        </w:r>
        <w:r>
          <w:tab/>
        </w:r>
        <w:r>
          <w:fldChar w:fldCharType="begin"/>
        </w:r>
        <w:r>
          <w:instrText xml:space="preserve"> PAGEREF _Toc24692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86" w:history="1">
        <w:r>
          <w:rPr>
            <w:rFonts w:ascii="仿宋" w:eastAsia="仿宋" w:hAnsi="仿宋" w:cs="仿宋" w:hint="eastAsia"/>
            <w:lang w:val="en-GB"/>
          </w:rPr>
          <w:t>十二、船底防污漆人才战略与团队建设</w:t>
        </w:r>
        <w:r>
          <w:tab/>
        </w:r>
        <w:r>
          <w:fldChar w:fldCharType="begin"/>
        </w:r>
        <w:r>
          <w:instrText xml:space="preserve"> PAGEREF _Toc7186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26" w:history="1">
        <w:r>
          <w:rPr>
            <w:rFonts w:ascii="仿宋" w:eastAsia="仿宋" w:hAnsi="仿宋" w:cs="仿宋" w:hint="eastAsia"/>
            <w:lang w:val="en-GB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_Toc20326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20" w:history="1">
        <w:r>
          <w:rPr>
            <w:rFonts w:ascii="仿宋" w:eastAsia="仿宋" w:hAnsi="仿宋" w:cs="仿宋" w:hint="eastAsia"/>
            <w:lang w:val="en-GB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_Toc31120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3" w:history="1">
        <w:r>
          <w:rPr>
            <w:rFonts w:ascii="仿宋" w:eastAsia="仿宋" w:hAnsi="仿宋" w:cs="仿宋" w:hint="eastAsia"/>
            <w:lang w:val="en-GB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_Toc2703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36" w:history="1">
        <w:r>
          <w:rPr>
            <w:rFonts w:ascii="仿宋" w:eastAsia="仿宋" w:hAnsi="仿宋" w:cs="仿宋" w:hint="eastAsia"/>
            <w:lang w:val="en-GB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_Toc21836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73" w:history="1">
        <w:r>
          <w:rPr>
            <w:rFonts w:ascii="仿宋" w:eastAsia="仿宋" w:hAnsi="仿宋" w:cs="仿宋" w:hint="eastAsia"/>
            <w:lang w:val="en-GB"/>
          </w:rPr>
          <w:t>十三、船底防污漆国际化战略</w:t>
        </w:r>
        <w:r>
          <w:tab/>
        </w:r>
        <w:r>
          <w:fldChar w:fldCharType="begin"/>
        </w:r>
        <w:r>
          <w:instrText xml:space="preserve"> PAGEREF _Toc14173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9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_Toc22529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57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_Toc14457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18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_Toc19218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45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_Toc17845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17" w:history="1">
        <w:r>
          <w:rPr>
            <w:rFonts w:ascii="仿宋" w:eastAsia="仿宋" w:hAnsi="仿宋" w:cs="仿宋" w:hint="eastAsia"/>
            <w:lang w:val="en-GB"/>
          </w:rPr>
          <w:t>十四、船底防污漆行业高质量发展</w:t>
        </w:r>
        <w:r>
          <w:tab/>
        </w:r>
        <w:r>
          <w:fldChar w:fldCharType="begin"/>
        </w:r>
        <w:r>
          <w:instrText xml:space="preserve"> PAGEREF _Toc4917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20" w:history="1">
        <w:r>
          <w:rPr>
            <w:rFonts w:ascii="仿宋" w:eastAsia="仿宋" w:hAnsi="仿宋" w:cs="仿宋" w:hint="eastAsia"/>
            <w:lang w:val="en-GB"/>
          </w:rPr>
          <w:t>(一)、质量管理体系</w:t>
        </w:r>
        <w:r>
          <w:tab/>
        </w:r>
        <w:r>
          <w:fldChar w:fldCharType="begin"/>
        </w:r>
        <w:r>
          <w:instrText xml:space="preserve"> PAGEREF _Toc13420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25" w:history="1">
        <w:r>
          <w:rPr>
            <w:rFonts w:ascii="仿宋" w:eastAsia="仿宋" w:hAnsi="仿宋" w:cs="仿宋" w:hint="eastAsia"/>
            <w:lang w:val="en-GB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_Toc11725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54" w:history="1">
        <w:r>
          <w:rPr>
            <w:rFonts w:ascii="仿宋" w:eastAsia="仿宋" w:hAnsi="仿宋" w:cs="仿宋" w:hint="eastAsia"/>
            <w:lang w:val="en-GB"/>
          </w:rPr>
          <w:t>(三)、生产效率提升</w:t>
        </w:r>
        <w:r>
          <w:tab/>
        </w:r>
        <w:r>
          <w:fldChar w:fldCharType="begin"/>
        </w:r>
        <w:r>
          <w:instrText xml:space="preserve"> PAGEREF _Toc31754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50" w:history="1">
        <w:r>
          <w:rPr>
            <w:rFonts w:ascii="仿宋" w:eastAsia="仿宋" w:hAnsi="仿宋" w:cs="仿宋" w:hint="eastAsia"/>
            <w:lang w:val="en-GB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_Toc11750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73" w:history="1">
        <w:r>
          <w:rPr>
            <w:rFonts w:ascii="仿宋" w:eastAsia="仿宋" w:hAnsi="仿宋" w:cs="仿宋" w:hint="eastAsia"/>
            <w:lang w:val="en-GB"/>
          </w:rPr>
          <w:t>十五、市场营销与销售策略</w:t>
        </w:r>
        <w:r>
          <w:tab/>
        </w:r>
        <w:r>
          <w:fldChar w:fldCharType="begin"/>
        </w:r>
        <w:r>
          <w:instrText xml:space="preserve"> PAGEREF _Toc8073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02" w:history="1">
        <w:r>
          <w:rPr>
            <w:rFonts w:ascii="仿宋" w:eastAsia="仿宋" w:hAnsi="仿宋" w:cs="仿宋" w:hint="eastAsia"/>
            <w:lang w:val="en-GB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_Toc24102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08" w:history="1">
        <w:r>
          <w:rPr>
            <w:rFonts w:ascii="仿宋" w:eastAsia="仿宋" w:hAnsi="仿宋" w:cs="仿宋" w:hint="eastAsia"/>
            <w:lang w:val="en-GB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_Toc11308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40" w:history="1">
        <w:r>
          <w:rPr>
            <w:rFonts w:ascii="仿宋" w:eastAsia="仿宋" w:hAnsi="仿宋" w:cs="仿宋" w:hint="eastAsia"/>
            <w:lang w:val="en-GB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_Toc5940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64" w:history="1">
        <w:r>
          <w:rPr>
            <w:rFonts w:ascii="仿宋" w:eastAsia="仿宋" w:hAnsi="仿宋" w:cs="仿宋" w:hint="eastAsia"/>
            <w:lang w:val="en-GB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_Toc16064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6172"/>
      <w:r>
        <w:rPr>
          <w:rFonts w:ascii="仿宋" w:eastAsia="仿宋" w:hAnsi="仿宋" w:cs="仿宋" w:hint="eastAsia"/>
          <w:lang w:val="en-GB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全球化经济的大潮中，船底防污漆企业竞争日益激烈，市场分析与竞争策略的研究变得尤为关键。本报告旨在通过对现行市场结构、竞争环境及消费者行为的深入剖析，为企业决策提供科学参考。通过评估行业动态及竞争对手的战略举措，本报告进一步提出相应的竞争策略建议，旨在辅助企业把握市场脉络，优化战略布局。本文档仅供学习交流使用，不得作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32639"/>
      <w:r>
        <w:rPr>
          <w:rFonts w:ascii="仿宋" w:eastAsia="仿宋" w:hAnsi="仿宋" w:cs="仿宋" w:hint="eastAsia"/>
          <w:sz w:val="28"/>
          <w:lang w:val="en-GB"/>
        </w:rPr>
        <w:t>一、船底防污漆危机管理与应对策略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10333"/>
      <w:r>
        <w:rPr>
          <w:rFonts w:ascii="仿宋" w:eastAsia="仿宋" w:hAnsi="仿宋" w:cs="仿宋" w:hint="eastAsia"/>
          <w:lang w:val="en-GB"/>
        </w:rPr>
        <w:t>(一)、危机预警与应急计划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一、危机预警与监测体系的建立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应对复杂多变的商业环境，公司决定构建一套健全且高效的危机预警体系。此体系不仅将实时监测市场动态，还将深入分析经济环境和政策变化等多个层面，旨在及时发现并应对可能对公司经营产生负面影响的因素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市场监测方面，公司将充分利用现代信息技术和数据分析工具，通过社交媒体分析、消费者调查以及竞争对手行为追踪等手段，全面把握市场脉搏。此外，公司还将密切关注国内外经济趋势、汇率波动等宏观经济因素，以及与公司业务相关的政策法规变化，确保公司经营策略与外部环境的动态变化保持同步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实现这一目标，公司将建立一支专业的危机预警团队，负责数据的收集、整理和分析工作。该团队将与公司的其他部门紧密合作，确保信息的及时传递和有效应用。同时，公司将定期对预警系统进行评估和优化，以提高其准确性和有效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二、应急计划的制定与执行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在危机预警体系的基础上，公司决定制定一套详尽的应急计划。该计划将明确各部门的职责和应对步骤，确保在危机爆发时能够迅速做出反应，最大限度地减少损失。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应急计划将根据不同类型的危机制定相应的应对策略。例如，在面对市场竞争压力时，公司将调整营销策略，加大产品创新力度；在遭遇自然灾害等不可抗力因素时，公司将启动业务连续性计划，确保公司运营的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确保应急计划的有效执行，公司将定期组织模拟演练和培训活动，提高员工的危机意识和应对能力。同时，公司将建立应急指挥中心，负责在危机发生时统一协调各部门的行动和资源，确保公司的快速响应和高效处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15775"/>
      <w:r>
        <w:rPr>
          <w:rFonts w:ascii="仿宋" w:eastAsia="仿宋" w:hAnsi="仿宋" w:cs="仿宋" w:hint="eastAsia"/>
          <w:sz w:val="28"/>
          <w:lang w:val="en-GB"/>
        </w:rPr>
        <w:t>(二)、公关与危机沟通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公关策略方面，公司将建立专业的公关团队，由资深公关专业人士组成。该团队将负责制定和执行全面的公关策略，包括品牌推广、形象建设、社会责任传播等方面。通过与媒体建立紧密的关系，公司将确保信息的及时传播和准确传递。在公关活动中，公司将强调透明度和真实性，确保公众对公司的认知是真实、全面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危机沟通团队的建立与培训是公司危机管理的重要组成部分。该团队将由危机管理专业人士、法务团队、高管层成员等组成。他们将负责在危机发生时的信息发布、危机应对策略的制定和执行。团队成员将接受定期的危机沟通培训，提高其在紧急情况下的应变能力和沟通技巧。培训内容将涵盖公关原则、媒体交往、社交媒体管理等多个方面，以确保团队在危机时能够迅速而有效地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社交媒体管理与舆情监测是公司危机沟通的重要环节。公司将加强对社交媒体的管理，建立完善的社交媒体监测系统。通过对各类社交媒体平台的实时监控，公司将及时了解公众对公司的关切点、舆论走向。在危机时，公司将积极参与社交媒体的互动，通过积极回应、解释公司立场等方式，引导舆论走向。同时，公司将保持高度警惕，及时发现和应对社交媒体上的谣言和负面信息，以避免信息传播的不当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关系维护与合作伙伴关系建设是公司危机管理的基石。公司将注重与各利益相关方的关系维护和合作伙伴关系建设。通过定期的交流活动、企业社会责任船底防污漆项目的推动等方式，公司将增进与员工、客户、供应商、投资者等各方的良好关系。在危机时，公司将充分发挥各方关系的积极作用，争取更多理解和支持。与关键合作伙伴之间，公司将建立长期稳定的合作机制，共同应对危机，形成危机共建共享的格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形象修复与长期声誉管理是公司在危机后重要的工作。公司将根据危机的具体情况，制定相应的形象修复策略。通过开展品牌形象宣传、产品升级、社会公益活动等多种手段，公司将努力恢复公众对其的信任。长期声誉管理方面，公司将不仅仅在危机时关注形象维护，而是通过日常经营和企业社会责任的全面推动，树立积极向上的企业形象，增强公众对公司的好感度和认同感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1909"/>
      <w:r>
        <w:rPr>
          <w:rFonts w:ascii="仿宋" w:eastAsia="仿宋" w:hAnsi="仿宋" w:cs="仿宋" w:hint="eastAsia"/>
          <w:sz w:val="28"/>
          <w:lang w:val="en-GB"/>
        </w:rPr>
        <w:t>(三)、媒体关系与舆情管理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媒体关系建设：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积极构建与各类媒体的良好关系。这包括与新闻机构、船底防污漆行业媒体、社交媒体等多个媒体渠道的沟通与合作。建立定期的媒体沟通渠道，向媒体提供及时准确的企业信息，展示公司的发展成就和社会责任履行，以确保对外信息传递的一致性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舆情监测与分析：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建立全面的舆情监测系统，跟踪主流媒体、社交媒体和专业论坛等多个平台的舆情信息。通过先进的舆情分析工具，实时监测与公司相关的正面和负面舆情，深度分析舆情数据，及时了解公众关注点，为公司决策提供科学依据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危机舆情处理：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建立健全的危机舆情处理机制，包括危机应对预案、危机沟通团队等。在危机事件发生时，公司将迅速做出反应，通过透明的信息发布、迅速的问题解决和积极的危机沟通，及时平息不良舆情，保护企业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定期发布信息：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https://d.book118.com/877164163056006032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船底防污漆战略市场规划报告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船底防污漆战略市场规划报告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船底防污漆战略市场规划报告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船底防污漆战略市场规划报告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船底防污漆战略市场规划报告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船底防污漆战略市场规划报告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船底防污漆战略市场规划报告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70F2ABF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70F2ABF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77164163056006032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2024-01-09T03:05:00Z</dcterms:created>
  <dcterms:modified xsi:type="dcterms:W3CDTF">2024-01-09T03:05:43Z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BADC7FD5AD3549A9902D7324A0264A05_11</vt:lpwstr>
  </property>
  <property fmtid="{D5CDD505-2E9C-101B-9397-08002B2CF9AE}" pid="3" name="KSOProductBuildVer">
    <vt:lpwstr>2052-12.1.0.16120</vt:lpwstr>
  </property>
</Properties>
</file>