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传媒广告行业相关公司筹备报告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一、传媒广告项目概况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(二)、传媒广告项目提出的理由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(三)、传媒广告项目选址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(六)、传媒广告项目投资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(七)、传媒广告项目进度规划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(九)、传媒广告项目综合评价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7" w:history="1">
        <w:r>
          <w:rPr>
            <w:rFonts w:ascii="仿宋" w:eastAsia="仿宋" w:hAnsi="仿宋" w:cs="仿宋" w:hint="eastAsia"/>
            <w:lang w:eastAsia="zh-CN"/>
          </w:rPr>
          <w:t>(一)、传媒广告项目选址原则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_Toc18769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(五)、传媒广告项目选址综合评价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(七)、传媒广告项目建设必要性分析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_Toc10455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(一)、传媒广告项目进度安排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(二)、传媒广告项目实施保障措施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七、传媒广告项目经济效益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(三)、传媒广告项目盈利能力分析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_Toc22550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(五)、传媒广告项目总投资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(一)、传媒广告项目背景分析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(二)、传媒广告项目建设必要性分析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(二)、合作传媒广告项目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7"/>
      <w:r>
        <w:rPr>
          <w:rFonts w:ascii="仿宋" w:eastAsia="仿宋" w:hAnsi="仿宋" w:cs="仿宋" w:hint="eastAsia"/>
          <w:sz w:val="28"/>
          <w:lang w:eastAsia="zh-CN"/>
        </w:rPr>
        <w:t>一、传媒广告项目概况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56"/>
      <w:r>
        <w:rPr>
          <w:rFonts w:ascii="仿宋" w:eastAsia="仿宋" w:hAnsi="仿宋" w:cs="仿宋" w:hint="eastAsia"/>
          <w:sz w:val="28"/>
          <w:lang w:eastAsia="zh-CN"/>
        </w:rPr>
        <w:t>(二)、传媒广告项目提出的理由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传媒广告项目提出的理由可能包括以下几个方面：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市场需求：随着人们对生活品质的追求，对传媒广告的需求也在不断增加。市场上对于高品质、符合个性化需求的传媒广告需求量大，因此传媒广告项目可以满足这一市场需求。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利润空间：传媒广告行业的利润空间较大，通过生产和销售高品质的传媒广告，可以获得可观的利润。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https://d.book118.com/878004064051006031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04064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2023-12-29T08:48:00Z</dcterms:created>
  <dcterms:modified xsi:type="dcterms:W3CDTF">2023-12-29T08:48:51Z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4DD0AEA4E6794FB0987875983CE48047_11</vt:lpwstr>
  </property>
  <property fmtid="{D5CDD505-2E9C-101B-9397-08002B2CF9AE}" pid="3" name="KSOProductBuildVer">
    <vt:lpwstr>2052-12.1.0.16120</vt:lpwstr>
  </property>
</Properties>
</file>