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EF035E" w:rsidRPr="00043B54" w14:paraId="4F60132F" w14:textId="2C26DF43">
      <w:pPr>
        <w:jc w:val="center"/>
        <w:textAlignment w:val="center"/>
        <w:rPr>
          <w:rFonts w:ascii="宋体" w:eastAsia="宋体" w:hAnsi="宋体" w:cs="宋体"/>
          <w:b/>
          <w:i w:val="0"/>
          <w:sz w:val="30"/>
        </w:rPr>
      </w:pPr>
      <w:r w:rsidRPr="00043B54">
        <w:drawing>
          <wp:inline>
            <wp:extent cx="12700" cy="12700"/>
            <wp:docPr id="100001" name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12700" cy="12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043B54">
        <w:rPr>
          <w:rFonts w:ascii="宋体" w:eastAsia="宋体" w:hAnsi="宋体" w:cs="宋体"/>
          <w:b/>
          <w:i w:val="0"/>
          <w:sz w:val="30"/>
        </w:rPr>
        <w:t>2024届广东省惠州市高三上学期第三次调研考试生物试题</w:t>
      </w:r>
    </w:p>
    <w:p w:rsidR="00EF035E" w:rsidRPr="00043B54">
      <w:pPr>
        <w:jc w:val="center"/>
        <w:textAlignment w:val="center"/>
        <w:rPr>
          <w:rFonts w:ascii="Calibri" w:eastAsia="Calibri" w:hAnsi="Calibri" w:cs="Calibri"/>
          <w:b w:val="0"/>
          <w:i w:val="0"/>
          <w:sz w:val="21"/>
        </w:rPr>
      </w:pPr>
      <w:r w:rsidRPr="00043B54">
        <w:rPr>
          <w:rFonts w:ascii="Calibri" w:eastAsia="Calibri" w:hAnsi="Calibri" w:cs="Calibri"/>
          <w:b w:val="0"/>
          <w:i w:val="0"/>
          <w:sz w:val="21"/>
        </w:rPr>
        <w:t>学校:___________姓名：___________班级：___________考号：___________</w:t>
      </w:r>
    </w:p>
    <w:p w:rsidR="00EF035E" w:rsidRPr="00043B54"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 w:rsidR="00EF035E" w:rsidRPr="00043B54"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</w:pPr>
      <w:r w:rsidRPr="00043B54">
        <w:rPr>
          <w:rFonts w:ascii="宋体" w:eastAsia="宋体" w:hAnsi="宋体" w:cs="宋体"/>
          <w:b/>
          <w:i w:val="0"/>
          <w:sz w:val="21"/>
        </w:rPr>
        <w:t>一、单选题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</w:t>
      </w:r>
      <w:r>
        <w:t>．NaCl溶液和蔗糖溶液是常用的生物学实验试剂，下列关于这两种试剂的说法，正确的是（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A．蔗糖为二糖，由两分子单糖脱水缩合而成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B．1mol/LNaCl溶液和1mol/L蔗糖溶液的渗透压大小相等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C．制作动物细胞临时装片时用9%的NaCl溶液维持细胞正常形态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D．蔗糖是还原性糖，与斐林试剂混合即产生砖红色沉淀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</w:t>
      </w:r>
      <w:r>
        <w:t>．酶是活细胞产生的具有催化作用的有机物，在细胞代谢中起着重要作用，在食品生产中，酶的应用非常广泛，下列说法错误的是（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A．溶菌酶能够溶解细菌的细胞壁，具有抗菌消炎作用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B．酶都需在核糖体中才能合成，且只能在胞内起作用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C．果胶酶能分解果胶，提高果汁产量和澄清度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D．工业化生产啤酒时，ɑ－淀粉酶可以增强糖化作用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3</w:t>
      </w:r>
      <w:r>
        <w:t>．不同生物在不同O</w:t>
      </w:r>
      <w:r>
        <w:rPr>
          <w:vertAlign w:val="subscript"/>
        </w:rPr>
        <w:t>2</w:t>
      </w:r>
      <w:r>
        <w:t>条件下细胞呼吸的产物可能有差异。在一个密闭的环境内，若只考虑以葡萄糖为呼吸底物，在细胞呼吸前后气体量会发生变化的是（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A．乳酸菌在完全无O</w:t>
      </w:r>
      <w:r>
        <w:rPr>
          <w:vertAlign w:val="subscript"/>
        </w:rPr>
        <w:t>2</w:t>
      </w:r>
      <w:r>
        <w:t>条件下</w:t>
      </w:r>
      <w:r>
        <w:tab/>
      </w:r>
      <w:r>
        <w:t>B．人体肌细胞在O</w:t>
      </w:r>
      <w:r>
        <w:rPr>
          <w:vertAlign w:val="subscript"/>
        </w:rPr>
        <w:t>2</w:t>
      </w:r>
      <w:r>
        <w:t>充足条件下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C．马铃薯块茎在O</w:t>
      </w:r>
      <w:r>
        <w:rPr>
          <w:vertAlign w:val="subscript"/>
        </w:rPr>
        <w:t>2</w:t>
      </w:r>
      <w:r>
        <w:t>不足条件下</w:t>
      </w:r>
      <w:r>
        <w:tab/>
      </w:r>
      <w:r>
        <w:t>D．苹果组织在O</w:t>
      </w:r>
      <w:r>
        <w:rPr>
          <w:vertAlign w:val="subscript"/>
        </w:rPr>
        <w:t>2</w:t>
      </w:r>
      <w:r>
        <w:t>不足条件下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4</w:t>
      </w:r>
      <w:r>
        <w:t>．“基因是有遗传效应的DNA或RNA片段”，对这一概念的理解正确的是（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A．所有基因均具有双螺旋结构</w:t>
      </w:r>
      <w:r>
        <w:tab/>
      </w:r>
      <w:r>
        <w:t>B．所有基因中“A＋G＝T＋C”恒成立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C．基因中的碱基序列决定其特异性</w:t>
      </w:r>
      <w:r>
        <w:tab/>
      </w:r>
      <w:r>
        <w:t>D．所有基因均位于染色体上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5</w:t>
      </w:r>
      <w:r>
        <w:t>．现有一个男性红绿色盲患者，不考虑新的突变与染色体互换，以下说法错误的是（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A．其色盲基因一定来自母亲</w:t>
      </w:r>
      <w:r>
        <w:tab/>
      </w:r>
      <w:r>
        <w:t>B．其色盲基因只会传递给女儿</w:t>
      </w:r>
    </w:p>
    <w:p>
      <w:pPr>
        <w:shd w:val="clear" w:color="auto" w:fill="FFFFFF"/>
        <w:tabs>
          <w:tab w:val="left" w:pos="4156"/>
        </w:tabs>
        <w:spacing w:line="360" w:lineRule="auto"/>
        <w:ind w:left="300"/>
        <w:jc w:val="left"/>
        <w:textAlignment w:val="center"/>
      </w:pPr>
      <w:r>
        <w:t>C．其初级精母细胞中含有2个色盲基因</w:t>
      </w:r>
      <w:r>
        <w:tab/>
      </w:r>
      <w:r>
        <w:t>D．其所有细胞中均含有色盲基因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6</w:t>
      </w:r>
      <w:r>
        <w:t>．下列关于生物变异、进化和生物多样性的叙述，错误的是（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A．种间基因库的差异可导致生殖隔离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B．新物种的形成都必须经过地理隔离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C．可遗传的变异为进化提供了原材料</w:t>
      </w:r>
    </w:p>
    <w:p>
      <w:pPr>
        <w:shd w:val="clear" w:color="auto" w:fill="FFFFFF"/>
        <w:spacing w:line="360" w:lineRule="auto"/>
        <w:ind w:left="300"/>
        <w:jc w:val="left"/>
        <w:textAlignment w:val="center"/>
        <w:sectPr>
          <w:footerReference w:type="even" r:id="rId6"/>
          <w:footerReference w:type="default" r:id="rId7"/>
          <w:pgSz w:w="11907" w:h="16839" w:code="9"/>
          <w:pgMar w:top="900" w:right="1997" w:bottom="900" w:left="1997" w:header="500" w:footer="500" w:gutter="0"/>
          <w:cols w:num="1" w:sep="1" w:space="425"/>
          <w:docGrid w:type="lines" w:linePitch="312"/>
        </w:sectPr>
      </w:pPr>
      <w:r>
        <w:t>D．自然选择控制着生物进化的方向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7</w:t>
      </w:r>
      <w:r>
        <w:t>．内环境的稳态与机体细胞的正常代谢密不可分，下列做法错误的是（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A．给高烧病人增加衣物“捂汗”，从而降低患者体温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B．给长期卧床的乳酸中毒患者静脉注射合适浓度的NaHCO</w:t>
      </w:r>
      <w:r>
        <w:rPr>
          <w:vertAlign w:val="subscript"/>
        </w:rPr>
        <w:t>3</w:t>
      </w:r>
      <w:r>
        <w:t>溶液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C．给长期卧床营养不良患者膳食中增加易消化吸收的蛋白质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D．给低血糖休克病人静脉缓慢推注50%的葡萄糖溶液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8</w:t>
      </w:r>
      <w:r>
        <w:t>．研究发现小鼠长时间睡眠剥夺后，大脑中内源性促睡眠物质PGD</w:t>
      </w:r>
      <w:r>
        <w:rPr>
          <w:vertAlign w:val="subscript"/>
        </w:rPr>
        <w:t>2</w:t>
      </w:r>
      <w:r>
        <w:t>（前列腺素D</w:t>
      </w:r>
      <w:r>
        <w:rPr>
          <w:vertAlign w:val="subscript"/>
        </w:rPr>
        <w:t>2</w:t>
      </w:r>
      <w:r>
        <w:t>）分泌量显著增加，经由Abcc</w:t>
      </w:r>
      <w:r>
        <w:rPr>
          <w:vertAlign w:val="subscript"/>
        </w:rPr>
        <w:t>4</w:t>
      </w:r>
      <w:r>
        <w:t>特异性转运蛋白释放到血液中，继而引起多种细胞因子迅速增加，使免疫系统过度激活，产生更多的细胞因子，小鼠最终死于由细胞因子风暴诱发的多器官功能障碍综合征（MODS）。下列叙述错误的是（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A．细胞因子参与B细胞和细胞毒性T细胞的活化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B．PGD</w:t>
      </w:r>
      <w:r>
        <w:rPr>
          <w:vertAlign w:val="subscript"/>
        </w:rPr>
        <w:t>2</w:t>
      </w:r>
      <w:r>
        <w:t>受体拮抗剂可降低睡眠剥夺诱发的炎症反应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C．机体产生细胞因子风暴是一个正反馈调节过程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D．注射增强小鼠免疫能力的药物可以治疗MODS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9</w:t>
      </w:r>
      <w:r>
        <w:t>．如下图表示蓝灰鹟种群的猎食频率与其所处的空间位置、猎物大小等之间的关系：同心圆代表猎食频率，最频繁的猎食活动是H处的圆圈，越是外圈的等值线表示猎食频率越低。下列有关叙述错误的是（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676525" cy="2609850"/>
            <wp:docPr id="100003" name="" descr="@@@78660396-cc4b-4d63-a971-9c69106ec9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676525" cy="260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A．该研究属于生态位的研究，属群落水平的研究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B．猎物体长越长，蓝灰鹟的猎食频率越高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C．蓝灰鹟的取食与栖息地、猎物体长等有关</w:t>
      </w:r>
    </w:p>
    <w:p>
      <w:pPr>
        <w:shd w:val="clear" w:color="auto" w:fill="FFFFFF"/>
        <w:spacing w:line="360" w:lineRule="auto"/>
        <w:ind w:left="300"/>
        <w:jc w:val="left"/>
        <w:textAlignment w:val="center"/>
      </w:pPr>
      <w:r>
        <w:t>D．蓝灰鹟的猎食频率与习性是长期自然选择的结果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10</w:t>
      </w:r>
      <w:r>
        <w:t>．目前惠州市正在打造一批森林公园，以下说法错误的是（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A．森林涵养水源、净化水质体现生物多样性的间接价值</w:t>
      </w:r>
    </w:p>
    <w:p>
      <w:pPr>
        <w:shd w:val="clear" w:color="auto" w:fill="FFFFFF"/>
        <w:spacing w:line="360" w:lineRule="auto"/>
        <w:ind w:left="380"/>
        <w:jc w:val="left"/>
        <w:textAlignment w:val="center"/>
        <w:sectPr>
          <w:footerReference w:type="even" r:id="rId9"/>
          <w:footerReference w:type="default" r:id="rId10"/>
          <w:type w:val="nextPage"/>
          <w:pgSz w:w="11907" w:h="16839" w:code="9"/>
          <w:pgMar w:top="900" w:right="1997" w:bottom="900" w:left="1997" w:header="500" w:footer="500" w:gutter="0"/>
          <w:pgNumType w:start="2"/>
          <w:cols w:num="1" w:sep="1" w:space="425"/>
          <w:titlePg w:val="0"/>
          <w:docGrid w:type="lines" w:linePitch="312"/>
        </w:sectPr>
      </w:pPr>
      <w:r>
        <w:t>B．人们在森林中游憩体现生物多样性的直接价值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C．森林中阔叶林涵养水源价值、固碳释氧均最大，因此只需对阔叶林进行保护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D．森林的光合作用能够减缓气候变化的速度，释放氧气，减轻空气污染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11</w:t>
      </w:r>
      <w:r>
        <w:t>．为掌握蚊虫种群构成及消长规律，为蚊类及蚊媒疾病的防控提供依据。研究人员对某地一年中各月主要蚊虫平均密度（设置特制灯光诱捕并统计）进行统计并汇制相关曲线，结果如图所示，以下说法错误的是（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4457700" cy="2381250"/>
            <wp:docPr id="100005" name="" descr="@@@9075a17a5c7d4fc1923e17bc7e1b9c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A．由图可知，库蚊和伊蚊种群密度变化呈现季节性变化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B．一年中影响蚊种群密度的因素有生物因素和非生物因素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C．蚊虫可以用标志重捕法来估算它们的种群密度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D．冬季和早春季节开展爱国卫生运动，可降低蚊虫环境容纳量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12</w:t>
      </w:r>
      <w:r>
        <w:t>．某实验室通过提高小鼠胚胎干细胞pSTAT3基因的表达水平，体外制备出桑葚胚样全潜能细胞。该细胞在分子水平及发育潜能上均具有自然胚胎桑葚期细胞特性，并在体外成功模拟了小鼠胚胎发育至原肠胚阶段。根据该研究，下列叙述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906503"/>
            <wp:docPr id="100007" name="" descr="@@@0ab6def746be4ea18289a0ef8fd5b9d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90650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注：pSTAT3是调控胚胎发育的关键基因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A．桑葚胚样细胞可诱导发育至囊胚期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B．诱导桑葚胚样细胞时，基因的碱基序列和表达的情况都发生改变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C．囊胚期细胞重置至桑葚样细胞的过程类似于脱分化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D．据图推测，桑葚胚发育成囊胚的过程中，pSTAT3的表达下降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3"/>
          <w:footerReference w:type="default" r:id="rId14"/>
          <w:type w:val="nextPage"/>
          <w:pgSz w:w="11907" w:h="16839" w:code="9"/>
          <w:pgMar w:top="900" w:right="1997" w:bottom="900" w:left="1997" w:header="500" w:footer="500" w:gutter="0"/>
          <w:pgNumType w:start="3"/>
          <w:cols w:num="1" w:sep="1" w:space="425"/>
          <w:titlePg w:val="0"/>
          <w:docGrid w:type="lines" w:linePitch="312"/>
        </w:sectPr>
      </w:pPr>
      <w:r>
        <w:t>13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蛋白质分子以不同方式镶嵌在磷脂双分子层中，如镶在表面、部分或全部嵌入、贯穿。为了检测膜蛋白质在膜上的分布位置，科学家设计了以下实验。将细胞分为三组：甲组不作处理；乙组用胰蛋白酶处理完整的细胞，此时胰蛋白酶不能透过细胞膜进入细胞；丙组先提高细胞膜的通透性，再用胰蛋白酶处理完整细胞，此时胰蛋白酶能进入细胞，并分布于细胞膜内外两侧（如图1所示）。分别提取、分离三组细胞膜上的蛋白质进行电泳，结果如图2所示。下列说法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00650" cy="2705100"/>
            <wp:docPr id="100009" name="" descr="@@@2586733b-6964-48ea-a37b-4b3f18454c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2705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注：控制消化处理的时间，使胰蛋白酶不能消化位于磷脂双分子层内部的蛋白质部分；电泳时，蛋白质越小，迁移越快，反之则慢。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A．蛋白质2和3部分嵌入，并位于膜的外侧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B．如果有跨膜的水通道蛋白，最可能是1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C．镶在膜内侧表面的蛋白质是4和5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D．该实验证明细胞膜的结构具有不对称性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14</w:t>
      </w:r>
      <w:r>
        <w:t>．果蝇的刚毛和截毛是一对相对性状，由一对等位基因B和b控制。现有两个纯合果蝇品系，甲品系全表现为刚毛，乙品系全表现为截毛。利用甲、乙品系果蝇进行了如下的杂交实验，结果如下表所示。以下表述错误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901"/>
        <w:gridCol w:w="1742"/>
        <w:gridCol w:w="1112"/>
        <w:gridCol w:w="3635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组合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亲本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F</w:t>
            </w:r>
            <w:r>
              <w:rPr>
                <w:vertAlign w:val="subscript"/>
              </w:rPr>
              <w:t>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F</w:t>
            </w:r>
            <w:r>
              <w:rPr>
                <w:vertAlign w:val="subscript"/>
              </w:rPr>
              <w:t>2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（一）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刚毛♀×截毛♂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全为刚毛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雌蝇全为刚毛，雄蝇刚毛、截毛各半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（二）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刚毛♂×截毛♀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全为刚毛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雄蝇全为刚毛，雌蝇刚毛、截毛各半</w:t>
            </w:r>
          </w:p>
        </w:tc>
      </w:tr>
    </w:tbl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A．等位基因B和b位于X和Y的同源区段且刚毛为显性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B．两个杂交组合的F</w:t>
      </w:r>
      <w:r>
        <w:rPr>
          <w:vertAlign w:val="subscript"/>
        </w:rPr>
        <w:t>1</w:t>
      </w:r>
      <w:r>
        <w:t>代中，雌性个体的基因型相同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C．两个杂交组合的F</w:t>
      </w:r>
      <w:r>
        <w:rPr>
          <w:vertAlign w:val="subscript"/>
        </w:rPr>
        <w:t>1</w:t>
      </w:r>
      <w:r>
        <w:t>代中，雄性个体的基因型相同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D．两个杂交组合的F</w:t>
      </w:r>
      <w:r>
        <w:rPr>
          <w:vertAlign w:val="subscript"/>
        </w:rPr>
        <w:t>2</w:t>
      </w:r>
      <w:r>
        <w:t>代中，雄性刚毛个体的基因型不同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16"/>
          <w:footerReference w:type="default" r:id="rId17"/>
          <w:type w:val="nextPage"/>
          <w:pgSz w:w="11907" w:h="16839" w:code="9"/>
          <w:pgMar w:top="900" w:right="1997" w:bottom="900" w:left="1997" w:header="500" w:footer="500" w:gutter="0"/>
          <w:pgNumType w:start="4"/>
          <w:cols w:num="1" w:sep="1" w:space="425"/>
          <w:titlePg w:val="0"/>
          <w:docGrid w:type="lines" w:linePitch="312"/>
        </w:sectPr>
      </w:pPr>
      <w:r>
        <w:t>15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．野生型大肠杆菌能在基础培养基上生长，氨基酸营养缺陷型突变株由于无法合成某种氨基酸，只能在完全培养基上生长。如图为纯化某氨基酸营养缺陷型突变株的部分流程图，①②③④代表培养基，A、B、C表示操作步骤，D、E为菌落。下列叙述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514725" cy="1323975"/>
            <wp:docPr id="100011" name="" descr="@@@298b8f7b9b0a4ec08f3fa1112471d93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3514725" cy="13239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A．A操作的目的是提高基因突变的概率，增加突变株的数量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B．B的正确操作是用接种环蘸取菌液后在②表面涂布来接种菌种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C．图中①②③为完全培养基，培养基一般用湿热灭菌法进行灭菌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D．若要获得氨基酸营养缺陷型突变株，可从④中挑取 E进行纯化培养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16</w:t>
      </w:r>
      <w:r>
        <w:t>．研究表明，生长素（IAA）、细胞分裂素（CTK）和独脚金内酯（一种植物激素）共同参与调控顶端优势的形成。在茎尖，生长素向下极性运输时，通过影响侧芽位置的细胞分裂素和独脚金内酯含量，抑制侧芽生长，相关生理机制如图所示，下列叙述正确的是（</w:t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  </w:t>
      </w:r>
      <w:r>
        <w:t>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714750" cy="2838450"/>
            <wp:docPr id="100013" name="" descr="@@@58d3e94c-7e7a-428e-b7f8-01810932b3d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3714750" cy="28384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A．生长素通过作用于IPT和CKX促进细胞分裂素的分泌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B．生长素和细胞分裂素在侧芽生长过程中始终具有协同效应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C．顶芽摘除后，侧芽处的细胞分裂素和独脚金内酯含量均升高</w:t>
      </w:r>
    </w:p>
    <w:p>
      <w:pPr>
        <w:shd w:val="clear" w:color="auto" w:fill="FFFFFF"/>
        <w:spacing w:line="360" w:lineRule="auto"/>
        <w:ind w:left="380"/>
        <w:jc w:val="left"/>
        <w:textAlignment w:val="center"/>
      </w:pPr>
      <w:r>
        <w:t>D．生长素与独脚金内酯在IPT表达过程中始终具有协同效应</w:t>
      </w:r>
    </w:p>
    <w:p>
      <w:pPr>
        <w:jc w:val="center"/>
        <w:textAlignment w:val="center"/>
        <w:rPr>
          <w:rFonts w:ascii="黑体" w:eastAsia="黑体" w:hAnsi="黑体" w:cs="黑体"/>
          <w:b/>
          <w:i w:val="0"/>
          <w:sz w:val="30"/>
        </w:rPr>
      </w:pPr>
    </w:p>
    <w:p>
      <w:pPr>
        <w:jc w:val="left"/>
        <w:textAlignment w:val="center"/>
        <w:rPr>
          <w:rFonts w:ascii="宋体" w:eastAsia="宋体" w:hAnsi="宋体" w:cs="宋体"/>
          <w:b/>
          <w:i w:val="0"/>
          <w:sz w:val="21"/>
        </w:rPr>
        <w:sectPr>
          <w:footerReference w:type="even" r:id="rId20"/>
          <w:footerReference w:type="default" r:id="rId21"/>
          <w:type w:val="nextPage"/>
          <w:pgSz w:w="11907" w:h="16839" w:code="9"/>
          <w:pgMar w:top="900" w:right="1997" w:bottom="900" w:left="1997" w:header="500" w:footer="500" w:gutter="0"/>
          <w:pgNumType w:start="5"/>
          <w:cols w:num="1" w:sep="1" w:space="425"/>
          <w:titlePg w:val="0"/>
          <w:docGrid w:type="lines" w:linePitch="312"/>
        </w:sectPr>
      </w:pPr>
      <w:r>
        <w:rPr>
          <w:rFonts w:ascii="宋体" w:eastAsia="宋体" w:hAnsi="宋体" w:cs="宋体"/>
          <w:b/>
          <w:i w:val="0"/>
          <w:sz w:val="21"/>
        </w:rPr>
        <w:t>二、非选择题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17</w:t>
      </w:r>
      <w:r>
        <w:t>．胡杨具有维持荒漠区脆弱环境生态平衡的功能，其成树期有披针形叶（A</w:t>
      </w:r>
      <w:r>
        <w:rPr>
          <w:vertAlign w:val="subscript"/>
        </w:rPr>
        <w:t>1</w:t>
      </w:r>
      <w:r>
        <w:t>）、卵圆形叶（A</w:t>
      </w:r>
      <w:r>
        <w:rPr>
          <w:vertAlign w:val="subscript"/>
        </w:rPr>
        <w:t>2</w:t>
      </w:r>
      <w:r>
        <w:t>）和阔卵圆形叶（A</w:t>
      </w:r>
      <w:r>
        <w:rPr>
          <w:vertAlign w:val="subscript"/>
        </w:rPr>
        <w:t>3</w:t>
      </w:r>
      <w:r>
        <w:t>），在模拟干旱环境下测定三种叶片的光合速率与光照强度关系，结果如下图所示。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2762250" cy="2305050"/>
            <wp:docPr id="100015" name="" descr="@@@39d454b3-66bc-4e62-a155-3cdf100274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2762250" cy="23050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(1)胡杨叶片中光合色素具有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等功能，可用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法进行分离。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(2)当光强小于250μmol·m</w:t>
      </w:r>
      <w:r>
        <w:rPr>
          <w:vertAlign w:val="superscript"/>
        </w:rPr>
        <w:t>-2</w:t>
      </w:r>
      <w:r>
        <w:t>·s</w:t>
      </w:r>
      <w:r>
        <w:rPr>
          <w:vertAlign w:val="superscript"/>
        </w:rPr>
        <w:t>-1</w:t>
      </w:r>
      <w:r>
        <w:t>时，限制三种叶净光合速率的环境因素为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；当光强为1500μmol·m</w:t>
      </w:r>
      <w:r>
        <w:rPr>
          <w:vertAlign w:val="superscript"/>
        </w:rPr>
        <w:t>-2</w:t>
      </w:r>
      <w:r>
        <w:t>·s</w:t>
      </w:r>
      <w:r>
        <w:rPr>
          <w:vertAlign w:val="superscript"/>
        </w:rPr>
        <w:t>-1</w:t>
      </w:r>
      <w:r>
        <w:t>时，造成三种叶净光合速率差异的内因有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（答2点），其中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（选用“A</w:t>
      </w:r>
      <w:r>
        <w:rPr>
          <w:vertAlign w:val="subscript"/>
        </w:rPr>
        <w:t>1</w:t>
      </w:r>
      <w:r>
        <w:t>/A</w:t>
      </w:r>
      <w:r>
        <w:rPr>
          <w:vertAlign w:val="subscript"/>
        </w:rPr>
        <w:t>2</w:t>
      </w:r>
      <w:r>
        <w:t>/A</w:t>
      </w:r>
      <w:r>
        <w:rPr>
          <w:vertAlign w:val="subscript"/>
        </w:rPr>
        <w:t>3</w:t>
      </w:r>
      <w:r>
        <w:t>”作答）叶最能适应极端干旱和强烈光照环境，判断依据是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(3)聚天冬氨酸（PASA）是一种新型的绿色环保型保水剂，利于胡杨幼苗在干旱环境下的成活生长。研究者用胡杨幼苗采取根施的方法做了5组实验，结果如下表所示：</w:t>
      </w:r>
    </w:p>
    <w:tbl>
      <w:tblPr>
        <w:tblStyle w:val="TableNormal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120" w:type="dxa"/>
          <w:left w:w="120" w:type="dxa"/>
          <w:bottom w:w="120" w:type="dxa"/>
          <w:right w:w="120" w:type="dxa"/>
        </w:tblCellMar>
      </w:tblPr>
      <w:tblGrid>
        <w:gridCol w:w="1532"/>
        <w:gridCol w:w="1586"/>
        <w:gridCol w:w="1586"/>
        <w:gridCol w:w="2439"/>
      </w:tblGrid>
      <w:tr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用量（g/株）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光饱和点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(μmol·m</w:t>
            </w:r>
            <w:r>
              <w:rPr>
                <w:vertAlign w:val="superscript"/>
              </w:rPr>
              <w:t>-2</w:t>
            </w:r>
            <w:r>
              <w:t>·s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光补偿点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(μmol·m</w:t>
            </w:r>
            <w:r>
              <w:rPr>
                <w:vertAlign w:val="superscript"/>
              </w:rPr>
              <w:t>-2</w:t>
            </w:r>
            <w:r>
              <w:t>·s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最大净光合速率</w:t>
            </w:r>
          </w:p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(μmol（CO</w:t>
            </w:r>
            <w:r>
              <w:rPr>
                <w:vertAlign w:val="subscript"/>
              </w:rPr>
              <w:t>2</w:t>
            </w:r>
            <w:r>
              <w:t>）·m</w:t>
            </w:r>
            <w:r>
              <w:rPr>
                <w:vertAlign w:val="superscript"/>
              </w:rPr>
              <w:t>-2</w:t>
            </w:r>
            <w:r>
              <w:t>·s</w:t>
            </w:r>
            <w:r>
              <w:rPr>
                <w:vertAlign w:val="superscript"/>
              </w:rPr>
              <w:t>-1</w:t>
            </w:r>
            <w:r>
              <w:t>)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1124.88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27.68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17.26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1381.50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34.66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18.69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2124.85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15.28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22.77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1590.39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22.55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21.73</w:t>
            </w:r>
          </w:p>
        </w:tc>
      </w:tr>
      <w:tr>
        <w:tblPrEx>
          <w:tblCellMar>
            <w:top w:w="120" w:type="dxa"/>
            <w:left w:w="120" w:type="dxa"/>
            <w:bottom w:w="120" w:type="dxa"/>
            <w:right w:w="120" w:type="dxa"/>
          </w:tblCellMar>
        </w:tblPrEx>
        <w:trPr>
          <w:cantSplit w:val="0"/>
        </w:trPr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20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1997.37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17.61</w:t>
            </w:r>
          </w:p>
        </w:tc>
        <w:tc>
          <w:tcPr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noWrap w:val="0"/>
            <w:tcMar>
              <w:top w:w="75" w:type="dxa"/>
              <w:bottom w:w="75" w:type="dxa"/>
            </w:tcMar>
            <w:vAlign w:val="center"/>
          </w:tcPr>
          <w:p>
            <w:pPr>
              <w:shd w:val="clear" w:color="auto" w:fill="FFFFFF"/>
              <w:spacing w:line="360" w:lineRule="auto"/>
              <w:jc w:val="center"/>
              <w:textAlignment w:val="center"/>
            </w:pPr>
            <w:r>
              <w:t>21.52</w:t>
            </w:r>
          </w:p>
        </w:tc>
      </w:tr>
    </w:tbl>
    <w:p>
      <w:pPr>
        <w:shd w:val="clear" w:color="auto" w:fill="FFFFFF"/>
        <w:spacing w:line="360" w:lineRule="auto"/>
        <w:jc w:val="left"/>
        <w:textAlignment w:val="center"/>
      </w:pPr>
      <w:r>
        <w:t>据表数据可知，该保水剂10g/株的根施量是比较合适的，理由是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18</w:t>
      </w:r>
      <w:r>
        <w:t>．某智慧农业园开创了一套“鸡＋鸭＋鱼＋菜”农业新模式，实现了养鱼不用饲料、种菜不用施肥。空中种菜，抽鱼塘水浇灌；鱼塘里，数十万尾叉尾鮰（一种杂食性鱼）游来游去，鱼塘上面建造立体鸡舍，鸡粪直接排入鱼塘，水面数百只鸭子怡然游动。回答下列问题：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3"/>
          <w:footerReference w:type="default" r:id="rId24"/>
          <w:type w:val="nextPage"/>
          <w:pgSz w:w="11907" w:h="16839" w:code="9"/>
          <w:pgMar w:top="900" w:right="1997" w:bottom="900" w:left="1997" w:header="500" w:footer="500" w:gutter="0"/>
          <w:pgNumType w:start="6"/>
          <w:cols w:num="1" w:sep="1" w:space="425"/>
          <w:titlePg w:val="0"/>
          <w:docGrid w:type="lines" w:linePitch="312"/>
        </w:sectPr>
      </w:pPr>
      <w:r>
        <w:t>(1)该系统几乎没有“废物”产生，体现了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原理；为了保证该系统的正常稳定运转，选择抗病力强的叉尾鮰鱼类非常重要，体现了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原理；各组分间要有适当的比例、有序的结构，这主要体现了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原理。一旦鸡鸭的粪便过多，也会导致叉尾鮰大量生病死亡、甚至整个系统崩溃，这也表明生态系统的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是有限的。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(2)从生态系统组成成分的角度来看，水体中的叉尾鮰鱼属于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。下图为能量流经叉尾鮰鱼的示意图，①是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；②是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276600" cy="1781175"/>
            <wp:docPr id="100017" name="" descr="@@@7c9a55ff-975f-4098-a6ec-46d5ac80999c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5"/>
                    <a:stretch>
                      <a:fillRect/>
                    </a:stretch>
                  </pic:blipFill>
                  <pic:spPr>
                    <a:xfrm>
                      <a:off x="0" y="0"/>
                      <a:ext cx="3276600" cy="1781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 w:eastAsia="Times New Roman" w:hAnsi="Times New Roman" w:cs="Times New Roman"/>
          <w:kern w:val="0"/>
          <w:sz w:val="24"/>
          <w:szCs w:val="24"/>
        </w:rPr>
        <w:t>  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(3)鸡饲料中添加了菌草料，鸡吸收后排出的粪便里含有生物酶，进入鱼塘后，有利于粪便降解和硅藻、螺旋藻生长。硅藻、螺旋藻对鱼塘水体的稳定具有重要作用，请分析原因：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。（答出2点即可）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19</w:t>
      </w:r>
      <w:r>
        <w:t>．大脑海马既能够调节情绪，也是HPA轴（下丘脑部﹣垂体﹣肾上腺皮质轴）的负反馈调节中枢，海马上有丰富的糖皮质激素受体（GR）。HPA轴功能亢进是抑郁症重要的生理变化之一，其致病与治疗机理如图1所示。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936281"/>
            <wp:docPr id="100019" name="" descr="@@@64776350-3bbf-40dd-92d3-2afbc14433a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19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6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93628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(1)5-羟色胺是一种可使人产生愉悦情绪的兴奋性神经递质，以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方式被释放到突触间隙，据图分析，长期应激刺激使突触间隙5-羟色胺的量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（选用“增大/减少/不变”作答）导致抑郁症患者情绪低落；氟西汀是目前临床广泛应用的抗抑郁西药，它能抗抑郁的作用机理是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27"/>
          <w:footerReference w:type="default" r:id="rId28"/>
          <w:type w:val="nextPage"/>
          <w:pgSz w:w="11907" w:h="16839" w:code="9"/>
          <w:pgMar w:top="900" w:right="1997" w:bottom="900" w:left="1997" w:header="500" w:footer="500" w:gutter="0"/>
          <w:pgNumType w:start="7"/>
          <w:cols w:num="1" w:sep="1" w:space="425"/>
          <w:titlePg w:val="0"/>
          <w:docGrid w:type="lines" w:linePitch="312"/>
        </w:sectPr>
      </w:pPr>
      <w:r>
        <w:t>(2)临床上抗抑郁西药存在不良反应大，易复发等问题。蛤蟆油是我国名贵的中药材，其具有抗抑郁、不良反应小等特点。科研小组分三组进行实验，并检测各组小鼠海马组织中GR的表达量，结果见图2在本实验中，空白组为正常小鼠，应进行的处理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；另外两组均为给予应激刺激而获得的抑郁症模型鼠。结合图1与图2推测，蛤蟆油抗抑郁的机理是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(3)为了验证上述推测，本实验还需要检测血浆中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的含量，当哈蟆油组的含量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（选用“大于/等于/小于”作答）模型组，说明蛤蟆油确实能够通过调节HPA轴的功能来缓解抑郁症状。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20</w:t>
      </w:r>
      <w:r>
        <w:t>．嵌合抗原受体T细胞（CAR－T）是癌症治疗的研究热点。其原理是将CAR基因导入T细胞获得嵌合抗原受体T细胞（CAR－T），CAR－T细胞可以表达出特异性更强的癌细胞抗原受体蛋白（CAR）。相比自然状态下的细胞毒性T细胞，CAR－T对肿瘤细胞的杀伤性、靶向性更强。以下图1是治疗流程：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803463"/>
            <wp:docPr id="100021" name="" descr="@@@eae902fe41fc409bb89641c9f4c724a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9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8034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(1)步骤②属于生物工程中的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工程。在选择靶抗原时，需要对抗原在正常组织和癌细胞中的表达情况进行评估。据表1分析，最好根据抗原C设计CAR－T细胞，理由是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(2)CAR基因需要连接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序列以驱动转录。在步骤④中，选择动物病毒而不选用噬菌体作为载体的原因是：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(3)步骤⑤中，需定期更换培养液，原因是：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(4)从免疫排斥反应的角度分析：CAR－T细胞构建过程中，T细胞来源于患者本人，优点是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(5)综上所述，为了提高CAR－T细胞对癌症的治疗效果，你认为可以从哪些方面着手？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（答出1条思路即可）。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21</w:t>
      </w:r>
      <w:r>
        <w:t>．为研究转化过程中外源基因插入染色体位点情况，研究者以野生型拟南芥（2n＝10，自花传粉）为材料开展相关实验，流程如下图：</w:t>
      </w:r>
    </w:p>
    <w:p>
      <w:pPr>
        <w:shd w:val="clear" w:color="auto" w:fill="FFFFFF"/>
        <w:spacing w:line="360" w:lineRule="auto"/>
        <w:jc w:val="left"/>
        <w:textAlignment w:val="center"/>
        <w:sectPr>
          <w:footerReference w:type="even" r:id="rId30"/>
          <w:footerReference w:type="default" r:id="rId31"/>
          <w:type w:val="nextPage"/>
          <w:pgSz w:w="11907" w:h="16839" w:code="9"/>
          <w:pgMar w:top="900" w:right="1997" w:bottom="900" w:left="1997" w:header="500" w:footer="500" w:gutter="0"/>
          <w:pgNumType w:start="8"/>
          <w:cols w:num="1" w:sep="1" w:space="425"/>
          <w:titlePg w:val="0"/>
          <w:docGrid w:type="lines" w:linePitch="312"/>
        </w:sectPr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862400"/>
            <wp:docPr id="100023" name="" descr="@@@52d69b6d-5bde-4d4e-a31f-8f5e379570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3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2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86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注：潮霉素能抑制植物细胞蛋白质合成而杀死植株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(1)拟南芥种子播种前需进行消毒处理，加入潮霉素的目的是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(2)研究者筛选出甲、乙、丙三类转基因植株，成熟后自花传粉、单株收种，将其种子播种于含潮霉素的选择培养基中，种子萌发率依次为3/4、15/16和63/64，请在下图细胞中画出三类转基因植株潮霉素抗性基因（用A表示）在染色体的位置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3429000" cy="1085850"/>
            <wp:docPr id="100025" name="" descr="@@@7bfdae9e-40fa-408e-a0a4-02ee1db7d10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5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3429000" cy="1085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t>(3)为验证潮霉素抗性基因在转化植株中的遗传是否遵循自由组合定律，可选择丙类植株与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之间异花传粉，将所结种子播种于含潮霉素的选择培养基中，若萌发率为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，表明遵循。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(4)为进一步检验外源基因插入染色体的位点，提取野生型与1－6号转基因植株的DNA，加入EcoRⅠ酶切后进行电泳，利用潮霉素抗性基因的一小段序列做探针（图1）进行原位分子杂交，结果如图2所示。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t>表明抗性基因插入到染色体</w:t>
      </w:r>
      <w:r>
        <w:rPr>
          <w:rFonts w:ascii="Times New Roman" w:eastAsia="Times New Roman" w:hAnsi="Times New Roman" w:cs="Times New Roman"/>
          <w:b w:val="0"/>
          <w:sz w:val="21"/>
          <w:u w:val="single"/>
        </w:rPr>
        <w:t xml:space="preserve">    </w:t>
      </w:r>
      <w:r>
        <w:t>（选用“相同/不同”作答）位点。</w:t>
      </w:r>
    </w:p>
    <w:p>
      <w:pPr>
        <w:shd w:val="clear" w:color="auto" w:fill="FFFFFF"/>
        <w:spacing w:line="360" w:lineRule="auto"/>
        <w:jc w:val="left"/>
        <w:textAlignment w:val="center"/>
      </w:pPr>
      <w:r>
        <w:rPr>
          <w:rFonts w:ascii="Times New Roman" w:eastAsia="Times New Roman" w:hAnsi="Times New Roman" w:cs="Times New Roman"/>
          <w:strike w:val="0"/>
          <w:kern w:val="0"/>
          <w:sz w:val="24"/>
          <w:szCs w:val="24"/>
          <w:u w:val="none"/>
        </w:rPr>
        <w:drawing>
          <wp:inline>
            <wp:extent cx="5276800" cy="1735324"/>
            <wp:docPr id="100027" name="" descr="@@@de78d627-5b7f-4faa-a295-69825ee6528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27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4"/>
                    <a:stretch>
                      <a:fillRect/>
                    </a:stretch>
                  </pic:blipFill>
                  <pic:spPr>
                    <a:xfrm>
                      <a:off x="0" y="0"/>
                      <a:ext cx="5276800" cy="17353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hd w:val="clear" w:color="auto" w:fill="FFFFFF"/>
        <w:spacing w:line="360" w:lineRule="auto"/>
        <w:jc w:val="left"/>
        <w:textAlignment w:val="center"/>
      </w:pPr>
      <w:r>
        <w:br/>
      </w:r>
      <w: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35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https://d.book118.com/878034015113006032</w:t>
        </w:r>
      </w:hyperlink>
    </w:p>
    <w:p>
      <w:pPr>
        <w:shd w:val="clear" w:color="auto" w:fill="FFFFFF"/>
        <w:spacing w:line="360" w:lineRule="auto"/>
        <w:jc w:val="left"/>
        <w:textAlignment w:val="center"/>
      </w:pPr>
    </w:p>
    <w:sectPr>
      <w:footerReference w:type="even" r:id="rId36"/>
      <w:footerReference w:type="default" r:id="rId37"/>
      <w:type w:val="nextPage"/>
      <w:pgSz w:w="11907" w:h="16839" w:code="9"/>
      <w:pgMar w:top="900" w:right="1997" w:bottom="900" w:left="1997" w:header="500" w:footer="500" w:gutter="0"/>
      <w:pgNumType w:start="9"/>
      <w:cols w:num="1" w:sep="1"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3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3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4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4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5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5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6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6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7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7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2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2</w:t>
    </w:r>
    <w:r>
      <w:fldChar w:fldCharType="end"/>
    </w:r>
    <w:r>
      <w:rPr>
        <w:rFonts w:hint="eastAsia"/>
      </w:rPr>
      <w:t>页</w:t>
    </w: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8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8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</w:t>
    </w: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855687" w:rsidRPr="00BC62FB" w:rsidP="00BC62FB">
    <w:pPr>
      <w:jc w:val="center"/>
    </w:pPr>
    <w:r>
      <w:rPr>
        <w:rFonts w:hint="eastAsia"/>
      </w:rPr>
      <w:t>试卷第</w:t>
    </w:r>
    <w:r>
      <w:fldChar w:fldCharType="begin"/>
    </w:r>
    <w:r>
      <w:instrText xml:space="preserve"> =</w:instrText>
    </w:r>
    <w:r>
      <w:fldChar w:fldCharType="begin"/>
    </w:r>
    <w:r>
      <w:instrText xml:space="preserve">page  </w:instrText>
    </w:r>
    <w:r>
      <w:fldChar w:fldCharType="separate"/>
    </w:r>
    <w:r>
      <w:instrText>9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9</w:t>
    </w:r>
    <w:r>
      <w:fldChar w:fldCharType="end"/>
    </w:r>
    <w:r>
      <w:rPr>
        <w:rFonts w:hint="eastAsia"/>
      </w:rPr>
      <w:t>页，共</w:t>
    </w:r>
    <w:r>
      <w:fldChar w:fldCharType="begin"/>
    </w:r>
    <w:r>
      <w:instrText xml:space="preserve"> =</w:instrText>
    </w:r>
    <w:r>
      <w:fldChar w:fldCharType="begin"/>
    </w:r>
    <w:r>
      <w:instrText xml:space="preserve">sectionpages  </w:instrText>
    </w:r>
    <w:r>
      <w:fldChar w:fldCharType="separate"/>
    </w:r>
    <w:r>
      <w:instrText>1</w:instrText>
    </w:r>
    <w:r>
      <w:rPr>
        <w:noProof/>
      </w:rPr>
      <w:fldChar w:fldCharType="end"/>
    </w:r>
    <w:r>
      <w:instrText xml:space="preserve"> </w:instrText>
    </w:r>
    <w:r>
      <w:fldChar w:fldCharType="separate"/>
    </w:r>
    <w:r>
      <w:t>1</w:t>
    </w:r>
    <w:r>
      <w:fldChar w:fldCharType="end"/>
    </w:r>
    <w:r>
      <w:rPr>
        <w:rFonts w:hint="eastAsia"/>
      </w:rPr>
      <w:t>页</w: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mirrorMargins/>
  <w:bordersDoNotSurroundHeader/>
  <w:bordersDoNotSurroundFooter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  <w:compatSetting w:name="differentiateMultirowTableHeaders" w:uri="http://schemas.microsoft.com/office/word" w:val="1"/>
  </w:compat>
  <w:rsids>
    <w:rsidRoot w:val="00C806B0"/>
    <w:rsid w:val="000232A6"/>
    <w:rsid w:val="00043B54"/>
    <w:rsid w:val="00065CD2"/>
    <w:rsid w:val="001D7A06"/>
    <w:rsid w:val="00284433"/>
    <w:rsid w:val="002A1EC6"/>
    <w:rsid w:val="002E035E"/>
    <w:rsid w:val="003F38F2"/>
    <w:rsid w:val="0064153B"/>
    <w:rsid w:val="006B16C5"/>
    <w:rsid w:val="00776133"/>
    <w:rsid w:val="00855687"/>
    <w:rsid w:val="008C07DE"/>
    <w:rsid w:val="009E611B"/>
    <w:rsid w:val="00A30CCE"/>
    <w:rsid w:val="00AC3E9C"/>
    <w:rsid w:val="00BC4F14"/>
    <w:rsid w:val="00BC62FB"/>
    <w:rsid w:val="00BF535F"/>
    <w:rsid w:val="00C806B0"/>
    <w:rsid w:val="00E476EE"/>
    <w:rsid w:val="00EF035E"/>
    <w:rsid w:val="00FA429B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522DA7E3"/>
  <w15:docId w15:val="{D3E00D0A-A3F9-4CC8-8773-39E8059DF9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a"/>
    <w:uiPriority w:val="99"/>
    <w:unhideWhenUsed/>
    <w:rsid w:val="0077613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7613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7613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7613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4.xml" /><Relationship Id="rId11" Type="http://schemas.openxmlformats.org/officeDocument/2006/relationships/image" Target="media/image3.png" /><Relationship Id="rId12" Type="http://schemas.openxmlformats.org/officeDocument/2006/relationships/image" Target="media/image4.png" /><Relationship Id="rId13" Type="http://schemas.openxmlformats.org/officeDocument/2006/relationships/footer" Target="footer5.xml" /><Relationship Id="rId14" Type="http://schemas.openxmlformats.org/officeDocument/2006/relationships/footer" Target="footer6.xml" /><Relationship Id="rId15" Type="http://schemas.openxmlformats.org/officeDocument/2006/relationships/image" Target="media/image5.png" /><Relationship Id="rId16" Type="http://schemas.openxmlformats.org/officeDocument/2006/relationships/footer" Target="footer7.xml" /><Relationship Id="rId17" Type="http://schemas.openxmlformats.org/officeDocument/2006/relationships/footer" Target="footer8.xml" /><Relationship Id="rId18" Type="http://schemas.openxmlformats.org/officeDocument/2006/relationships/image" Target="media/image6.png" /><Relationship Id="rId19" Type="http://schemas.openxmlformats.org/officeDocument/2006/relationships/image" Target="media/image7.png" /><Relationship Id="rId2" Type="http://schemas.openxmlformats.org/officeDocument/2006/relationships/webSettings" Target="webSettings.xml" /><Relationship Id="rId20" Type="http://schemas.openxmlformats.org/officeDocument/2006/relationships/footer" Target="footer9.xml" /><Relationship Id="rId21" Type="http://schemas.openxmlformats.org/officeDocument/2006/relationships/footer" Target="footer10.xml" /><Relationship Id="rId22" Type="http://schemas.openxmlformats.org/officeDocument/2006/relationships/image" Target="media/image8.png" /><Relationship Id="rId23" Type="http://schemas.openxmlformats.org/officeDocument/2006/relationships/footer" Target="footer11.xml" /><Relationship Id="rId24" Type="http://schemas.openxmlformats.org/officeDocument/2006/relationships/footer" Target="footer12.xml" /><Relationship Id="rId25" Type="http://schemas.openxmlformats.org/officeDocument/2006/relationships/image" Target="media/image9.png" /><Relationship Id="rId26" Type="http://schemas.openxmlformats.org/officeDocument/2006/relationships/image" Target="media/image10.png" /><Relationship Id="rId27" Type="http://schemas.openxmlformats.org/officeDocument/2006/relationships/footer" Target="footer13.xml" /><Relationship Id="rId28" Type="http://schemas.openxmlformats.org/officeDocument/2006/relationships/footer" Target="footer14.xml" /><Relationship Id="rId29" Type="http://schemas.openxmlformats.org/officeDocument/2006/relationships/image" Target="media/image11.png" /><Relationship Id="rId3" Type="http://schemas.openxmlformats.org/officeDocument/2006/relationships/fontTable" Target="fontTable.xml" /><Relationship Id="rId30" Type="http://schemas.openxmlformats.org/officeDocument/2006/relationships/footer" Target="footer15.xml" /><Relationship Id="rId31" Type="http://schemas.openxmlformats.org/officeDocument/2006/relationships/footer" Target="footer16.xml" /><Relationship Id="rId32" Type="http://schemas.openxmlformats.org/officeDocument/2006/relationships/image" Target="media/image12.png" /><Relationship Id="rId33" Type="http://schemas.openxmlformats.org/officeDocument/2006/relationships/image" Target="media/image13.png" /><Relationship Id="rId34" Type="http://schemas.openxmlformats.org/officeDocument/2006/relationships/image" Target="media/image14.png" /><Relationship Id="rId35" Type="http://schemas.openxmlformats.org/officeDocument/2006/relationships/hyperlink" Target="https://d.book118.com/878034015113006032" TargetMode="External" /><Relationship Id="rId36" Type="http://schemas.openxmlformats.org/officeDocument/2006/relationships/footer" Target="footer17.xml" /><Relationship Id="rId37" Type="http://schemas.openxmlformats.org/officeDocument/2006/relationships/footer" Target="footer18.xml" /><Relationship Id="rId38" Type="http://schemas.openxmlformats.org/officeDocument/2006/relationships/theme" Target="theme/theme1.xml" /><Relationship Id="rId39" Type="http://schemas.openxmlformats.org/officeDocument/2006/relationships/styles" Target="styles.xml" /><Relationship Id="rId4" Type="http://schemas.openxmlformats.org/officeDocument/2006/relationships/customXml" Target="../customXml/item1.xml" /><Relationship Id="rId5" Type="http://schemas.openxmlformats.org/officeDocument/2006/relationships/image" Target="media/image1.png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image" Target="media/image2.png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18CE314-9BAF-4030-8F04-159C3E31C44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组卷网zujuan.xkw.com</dc:creator>
  <cp:lastModifiedBy>刘 稳</cp:lastModifiedBy>
  <cp:revision>14</cp:revision>
  <dcterms:created xsi:type="dcterms:W3CDTF">2017-07-19T12:07:00Z</dcterms:created>
  <dcterms:modified xsi:type="dcterms:W3CDTF">2022-09-21T08:09:00Z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eprocessed">
    <vt:lpwstr>1</vt:lpwstr>
  </property>
  <property fmtid="{D5CDD505-2E9C-101B-9397-08002B2CF9AE}" pid="3" name="version">
    <vt:lpwstr>d0b83f945f914b4cb7a2cd8714a4610emji0nzexmda5ma</vt:lpwstr>
  </property>
</Properties>
</file>