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OC1"/>
        <w:tabs>
          <w:tab w:val="right" w:leader="dot" w:pos="8448"/>
        </w:tabs>
        <w:spacing w:line="360" w:lineRule="auto"/>
        <w:jc w:val="center"/>
        <w:rPr>
          <w:rFonts w:ascii="幼圆" w:eastAsia="幼圆" w:hAnsi="幼圆" w:cs="幼圆" w:hint="default"/>
          <w:b/>
          <w:bCs/>
          <w:sz w:val="32"/>
          <w:szCs w:val="32"/>
          <w:lang w:val="en-US" w:eastAsia="zh-CN"/>
        </w:rPr>
      </w:pPr>
      <w:bookmarkStart w:id="0" w:name="_Toc825700540_WPSOffice_Level1"/>
      <w:bookmarkStart w:id="1" w:name="_Toc1247221141_WPSOffice_Level1"/>
      <w:bookmarkStart w:id="2" w:name="_Toc1011269974"/>
      <w:bookmarkStart w:id="3" w:name="_Toc269978585"/>
      <w:bookmarkStart w:id="4" w:name="_Toc610513951"/>
      <w:bookmarkStart w:id="5" w:name="_Toc911951590_WPSOffice_Level1"/>
      <w:r>
        <w:rPr>
          <w:rFonts w:ascii="幼圆" w:eastAsia="幼圆" w:hAnsi="幼圆" w:cs="幼圆" w:hint="eastAsia"/>
          <w:b/>
          <w:bCs/>
          <w:sz w:val="32"/>
          <w:szCs w:val="32"/>
          <w:lang w:eastAsia="zh-CN"/>
        </w:rPr>
        <w:t>厦门九牧王</w:t>
      </w:r>
      <w:r>
        <w:rPr>
          <w:rFonts w:ascii="幼圆" w:eastAsia="幼圆" w:hAnsi="幼圆" w:cs="幼圆" w:hint="eastAsia"/>
          <w:b/>
          <w:bCs/>
          <w:sz w:val="32"/>
          <w:szCs w:val="32"/>
        </w:rPr>
        <w:t>公司财务风险评价</w:t>
      </w:r>
      <w:r>
        <w:rPr>
          <w:rFonts w:ascii="幼圆" w:eastAsia="幼圆" w:hAnsi="幼圆" w:cs="幼圆" w:hint="eastAsia"/>
          <w:b/>
          <w:bCs/>
          <w:sz w:val="32"/>
          <w:szCs w:val="32"/>
          <w:lang w:eastAsia="zh-CN"/>
        </w:rPr>
        <w:t>与控制实证案例分析</w:t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 w:val="24"/>
          <w:szCs w:val="24"/>
          <w:lang w:eastAsia="zh-Hans"/>
        </w:rPr>
        <w:fldChar w:fldCharType="begin"/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instrText xml:space="preserve">TOC \o "1-2" \u </w:instrTex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fldChar w:fldCharType="separate"/>
      </w:r>
      <w:r>
        <w:rPr>
          <w:rFonts w:ascii="幼圆" w:eastAsia="幼圆" w:hAnsi="幼圆" w:cs="幼圆" w:hint="eastAsia"/>
          <w:szCs w:val="28"/>
          <w:lang w:eastAsia="zh-Hans"/>
        </w:rPr>
        <w:t>引言</w:t>
      </w:r>
      <w:r>
        <w:tab/>
      </w:r>
      <w:r>
        <w:fldChar w:fldCharType="begin"/>
      </w:r>
      <w:r>
        <w:instrText xml:space="preserve"> PAGEREF _Toc31156 \h </w:instrText>
      </w:r>
      <w:r>
        <w:fldChar w:fldCharType="separate"/>
      </w:r>
      <w:r>
        <w:t>2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一、</w:t>
      </w:r>
      <w:r>
        <w:rPr>
          <w:rFonts w:ascii="幼圆" w:eastAsia="幼圆" w:hAnsi="幼圆" w:cs="幼圆" w:hint="eastAsia"/>
          <w:szCs w:val="28"/>
        </w:rPr>
        <w:t>理论基础</w:t>
      </w:r>
      <w:r>
        <w:tab/>
      </w:r>
      <w:r>
        <w:fldChar w:fldCharType="begin"/>
      </w:r>
      <w:r>
        <w:instrText xml:space="preserve"> PAGEREF _Toc10369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(一) 企业</w:t>
      </w:r>
      <w:r>
        <w:rPr>
          <w:rFonts w:ascii="幼圆" w:eastAsia="幼圆" w:hAnsi="幼圆" w:cs="幼圆" w:hint="eastAsia"/>
        </w:rPr>
        <w:t>财务风险的概念</w:t>
      </w:r>
      <w:r>
        <w:tab/>
      </w:r>
      <w:r>
        <w:fldChar w:fldCharType="begin"/>
      </w:r>
      <w:r>
        <w:instrText xml:space="preserve"> PAGEREF _Toc31643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(二) 企业财务风险的识别与特征</w:t>
      </w:r>
      <w:r>
        <w:tab/>
      </w:r>
      <w:r>
        <w:fldChar w:fldCharType="begin"/>
      </w:r>
      <w:r>
        <w:instrText xml:space="preserve"> PAGEREF _Toc12858 \h </w:instrText>
      </w:r>
      <w:r>
        <w:fldChar w:fldCharType="separate"/>
      </w:r>
      <w:r>
        <w:t>2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(三) </w:t>
      </w:r>
      <w:r>
        <w:rPr>
          <w:rFonts w:ascii="幼圆" w:eastAsia="幼圆" w:hAnsi="幼圆" w:cs="幼圆" w:hint="eastAsia"/>
        </w:rPr>
        <w:t>财务风险的</w:t>
      </w:r>
      <w:r>
        <w:rPr>
          <w:rFonts w:ascii="幼圆" w:eastAsia="幼圆" w:hAnsi="幼圆" w:cs="幼圆" w:hint="eastAsia"/>
          <w:lang w:eastAsia="zh-Hans"/>
        </w:rPr>
        <w:t>评价与控制的相关理论</w:t>
      </w:r>
      <w:r>
        <w:tab/>
      </w:r>
      <w:r>
        <w:fldChar w:fldCharType="begin"/>
      </w:r>
      <w:r>
        <w:instrText xml:space="preserve"> PAGEREF _Toc21319 \h </w:instrText>
      </w:r>
      <w:r>
        <w:fldChar w:fldCharType="separate"/>
      </w:r>
      <w:r>
        <w:t>4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二、</w:t>
      </w:r>
      <w:r>
        <w:rPr>
          <w:rFonts w:ascii="幼圆" w:eastAsia="幼圆" w:hAnsi="幼圆" w:cs="幼圆" w:hint="eastAsia"/>
          <w:szCs w:val="28"/>
          <w:lang w:eastAsia="zh-CN"/>
        </w:rPr>
        <w:t>厦门九牧王</w:t>
      </w:r>
      <w:r>
        <w:rPr>
          <w:rFonts w:ascii="幼圆" w:eastAsia="幼圆" w:hAnsi="幼圆" w:cs="幼圆" w:hint="eastAsia"/>
          <w:szCs w:val="28"/>
          <w:lang w:eastAsia="zh-Hans"/>
        </w:rPr>
        <w:t>公司的基本情况及财务风险识别</w:t>
      </w:r>
      <w:r>
        <w:tab/>
      </w:r>
      <w:r>
        <w:fldChar w:fldCharType="begin"/>
      </w:r>
      <w:r>
        <w:instrText xml:space="preserve"> PAGEREF _Toc25432 \h </w:instrText>
      </w:r>
      <w:r>
        <w:fldChar w:fldCharType="separate"/>
      </w:r>
      <w:r>
        <w:t>4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(一) </w:t>
      </w:r>
      <w:r>
        <w:rPr>
          <w:rFonts w:ascii="幼圆" w:eastAsia="幼圆" w:hAnsi="幼圆" w:cs="幼圆" w:hint="eastAsia"/>
          <w:lang w:eastAsia="zh-CN"/>
        </w:rPr>
        <w:t>厦门九牧王</w:t>
      </w:r>
      <w:r>
        <w:rPr>
          <w:rFonts w:ascii="幼圆" w:eastAsia="幼圆" w:hAnsi="幼圆" w:cs="幼圆" w:hint="eastAsia"/>
        </w:rPr>
        <w:t>公司</w:t>
      </w:r>
      <w:r>
        <w:rPr>
          <w:rFonts w:ascii="幼圆" w:eastAsia="幼圆" w:hAnsi="幼圆" w:cs="幼圆" w:hint="eastAsia"/>
          <w:lang w:val="en-US" w:eastAsia="zh-Hans"/>
        </w:rPr>
        <w:t>的</w:t>
      </w:r>
      <w:r>
        <w:rPr>
          <w:rFonts w:ascii="幼圆" w:eastAsia="幼圆" w:hAnsi="幼圆" w:cs="幼圆" w:hint="eastAsia"/>
          <w:lang w:eastAsia="zh-Hans"/>
        </w:rPr>
        <w:t>经营现状分析</w:t>
      </w:r>
      <w:r>
        <w:tab/>
      </w:r>
      <w:r>
        <w:fldChar w:fldCharType="begin"/>
      </w:r>
      <w:r>
        <w:instrText xml:space="preserve"> PAGEREF _Toc21417 \h </w:instrText>
      </w:r>
      <w:r>
        <w:fldChar w:fldCharType="separate"/>
      </w:r>
      <w:r>
        <w:t>4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(二) </w:t>
      </w:r>
      <w:r>
        <w:rPr>
          <w:rFonts w:ascii="幼圆" w:eastAsia="幼圆" w:hAnsi="幼圆" w:cs="幼圆" w:hint="eastAsia"/>
          <w:lang w:eastAsia="zh-CN"/>
        </w:rPr>
        <w:t>厦门九牧王</w:t>
      </w:r>
      <w:r>
        <w:rPr>
          <w:rFonts w:ascii="幼圆" w:eastAsia="幼圆" w:hAnsi="幼圆" w:cs="幼圆" w:hint="eastAsia"/>
        </w:rPr>
        <w:t>公司财务风险识别分析</w:t>
      </w:r>
      <w:r>
        <w:tab/>
      </w:r>
      <w:r>
        <w:fldChar w:fldCharType="begin"/>
      </w:r>
      <w:r>
        <w:instrText xml:space="preserve"> PAGEREF _Toc29335 \h </w:instrText>
      </w:r>
      <w:r>
        <w:fldChar w:fldCharType="separate"/>
      </w:r>
      <w:r>
        <w:t>7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三、</w:t>
      </w:r>
      <w:r>
        <w:rPr>
          <w:rFonts w:ascii="幼圆" w:eastAsia="幼圆" w:hAnsi="幼圆" w:cs="幼圆" w:hint="eastAsia"/>
          <w:szCs w:val="28"/>
          <w:lang w:eastAsia="zh-CN"/>
        </w:rPr>
        <w:t>厦门九牧王</w:t>
      </w:r>
      <w:r>
        <w:rPr>
          <w:rFonts w:ascii="幼圆" w:eastAsia="幼圆" w:hAnsi="幼圆" w:cs="幼圆" w:hint="eastAsia"/>
          <w:szCs w:val="28"/>
          <w:lang w:eastAsia="zh-Hans"/>
        </w:rPr>
        <w:t>公司的财务风险评价</w:t>
      </w:r>
      <w:r>
        <w:tab/>
      </w:r>
      <w:r>
        <w:fldChar w:fldCharType="begin"/>
      </w:r>
      <w:r>
        <w:instrText xml:space="preserve"> PAGEREF _Toc4574 \h </w:instrText>
      </w:r>
      <w:r>
        <w:fldChar w:fldCharType="separate"/>
      </w:r>
      <w:r>
        <w:t>11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(一) </w:t>
      </w:r>
      <w:r>
        <w:rPr>
          <w:rFonts w:ascii="幼圆" w:eastAsia="幼圆" w:hAnsi="幼圆" w:cs="幼圆" w:hint="eastAsia"/>
          <w:lang w:val="en-US" w:eastAsia="zh-Hans"/>
        </w:rPr>
        <w:t>构建</w:t>
      </w:r>
      <w:r>
        <w:rPr>
          <w:rFonts w:ascii="幼圆" w:eastAsia="幼圆" w:hAnsi="幼圆" w:cs="幼圆" w:hint="eastAsia"/>
          <w:lang w:eastAsia="zh-Hans"/>
        </w:rPr>
        <w:t>财务风险评价指标体系</w:t>
      </w:r>
      <w:r>
        <w:tab/>
      </w:r>
      <w:r>
        <w:fldChar w:fldCharType="begin"/>
      </w:r>
      <w:r>
        <w:instrText xml:space="preserve"> PAGEREF _Toc7362 \h </w:instrText>
      </w:r>
      <w:r>
        <w:fldChar w:fldCharType="separate"/>
      </w:r>
      <w:r>
        <w:t>11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 xml:space="preserve">(二) </w:t>
      </w:r>
      <w:r>
        <w:rPr>
          <w:rFonts w:ascii="幼圆" w:eastAsia="幼圆" w:hAnsi="幼圆" w:cs="幼圆" w:hint="eastAsia"/>
          <w:lang w:eastAsia="zh-CN"/>
        </w:rPr>
        <w:t>厦门九牧王</w:t>
      </w:r>
      <w:r>
        <w:rPr>
          <w:rFonts w:ascii="幼圆" w:eastAsia="幼圆" w:hAnsi="幼圆" w:cs="幼圆" w:hint="eastAsia"/>
          <w:lang w:eastAsia="zh-Hans"/>
        </w:rPr>
        <w:t>公司财务风险综合评价</w:t>
      </w:r>
      <w:r>
        <w:tab/>
      </w:r>
      <w:r>
        <w:fldChar w:fldCharType="begin"/>
      </w:r>
      <w:r>
        <w:instrText xml:space="preserve"> PAGEREF _Toc27421 \h </w:instrText>
      </w:r>
      <w:r>
        <w:fldChar w:fldCharType="separate"/>
      </w:r>
      <w:r>
        <w:t>15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四、</w:t>
      </w:r>
      <w:r>
        <w:rPr>
          <w:rFonts w:ascii="幼圆" w:eastAsia="幼圆" w:hAnsi="幼圆" w:cs="幼圆" w:hint="eastAsia"/>
          <w:szCs w:val="28"/>
          <w:lang w:eastAsia="zh-CN"/>
        </w:rPr>
        <w:t>厦门九牧王</w:t>
      </w:r>
      <w:r>
        <w:rPr>
          <w:rFonts w:ascii="幼圆" w:eastAsia="幼圆" w:hAnsi="幼圆" w:cs="幼圆" w:hint="eastAsia"/>
          <w:szCs w:val="28"/>
          <w:lang w:eastAsia="zh-Hans"/>
        </w:rPr>
        <w:t>公司财务控制策略</w:t>
      </w:r>
      <w:r>
        <w:tab/>
      </w:r>
      <w:r>
        <w:fldChar w:fldCharType="begin"/>
      </w:r>
      <w:r>
        <w:instrText xml:space="preserve"> PAGEREF _Toc30570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(一) 加强盈利能力风险控制</w:t>
      </w:r>
      <w:r>
        <w:tab/>
      </w:r>
      <w:r>
        <w:fldChar w:fldCharType="begin"/>
      </w:r>
      <w:r>
        <w:instrText xml:space="preserve"> PAGEREF _Toc24347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(二) 加强偿债能力风险控制</w:t>
      </w:r>
      <w:r>
        <w:tab/>
      </w:r>
      <w:r>
        <w:fldChar w:fldCharType="begin"/>
      </w:r>
      <w:r>
        <w:instrText xml:space="preserve"> PAGEREF _Toc27181 \h </w:instrText>
      </w:r>
      <w:r>
        <w:fldChar w:fldCharType="separate"/>
      </w:r>
      <w:r>
        <w:t>20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(三) 加强营运能力风险控制</w:t>
      </w:r>
      <w:r>
        <w:tab/>
      </w:r>
      <w:r>
        <w:fldChar w:fldCharType="begin"/>
      </w:r>
      <w:r>
        <w:instrText xml:space="preserve"> PAGEREF _Toc2746 \h </w:instrText>
      </w:r>
      <w:r>
        <w:fldChar w:fldCharType="separate"/>
      </w:r>
      <w:r>
        <w:t>21</w:t>
      </w:r>
      <w:r>
        <w:fldChar w:fldCharType="end"/>
      </w:r>
    </w:p>
    <w:p>
      <w:pPr>
        <w:pStyle w:val="TOC2"/>
        <w:tabs>
          <w:tab w:val="right" w:leader="dot" w:pos="9015"/>
        </w:tabs>
      </w:pPr>
      <w:r>
        <w:rPr>
          <w:rFonts w:ascii="幼圆" w:eastAsia="幼圆" w:hAnsi="幼圆" w:cs="幼圆" w:hint="eastAsia"/>
          <w:lang w:eastAsia="zh-Hans"/>
        </w:rPr>
        <w:t>(四) 加强现金流量能力风险控制</w:t>
      </w:r>
      <w:r>
        <w:tab/>
      </w:r>
      <w:r>
        <w:fldChar w:fldCharType="begin"/>
      </w:r>
      <w:r>
        <w:instrText xml:space="preserve"> PAGEREF _Toc2873 \h </w:instrText>
      </w:r>
      <w:r>
        <w:fldChar w:fldCharType="separate"/>
      </w:r>
      <w:r>
        <w:t>21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szCs w:val="28"/>
          <w:lang w:eastAsia="zh-Hans"/>
        </w:rPr>
        <w:t>结语</w:t>
      </w:r>
      <w:r>
        <w:tab/>
      </w:r>
      <w:r>
        <w:fldChar w:fldCharType="begin"/>
      </w:r>
      <w:r>
        <w:instrText xml:space="preserve"> PAGEREF _Toc11511 \h </w:instrText>
      </w:r>
      <w:r>
        <w:fldChar w:fldCharType="separate"/>
      </w:r>
      <w:r>
        <w:t>21</w:t>
      </w:r>
      <w:r>
        <w:fldChar w:fldCharType="end"/>
      </w:r>
    </w:p>
    <w:p>
      <w:pPr>
        <w:pStyle w:val="TOC1"/>
        <w:tabs>
          <w:tab w:val="right" w:leader="dot" w:pos="9015"/>
        </w:tabs>
      </w:pPr>
      <w:r>
        <w:rPr>
          <w:rFonts w:ascii="幼圆" w:eastAsia="幼圆" w:hAnsi="幼圆" w:cs="幼圆" w:hint="eastAsia"/>
          <w:bCs/>
          <w:szCs w:val="28"/>
          <w:lang w:eastAsia="zh-Hans"/>
        </w:rPr>
        <w:t>参考文献</w:t>
      </w:r>
      <w:r>
        <w:tab/>
      </w:r>
      <w:r>
        <w:fldChar w:fldCharType="begin"/>
      </w:r>
      <w:r>
        <w:instrText xml:space="preserve"> PAGEREF _Toc16633 \h </w:instrText>
      </w:r>
      <w:r>
        <w:fldChar w:fldCharType="separate"/>
      </w:r>
      <w:r>
        <w:t>22</w:t>
      </w:r>
      <w:r>
        <w:fldChar w:fldCharType="end"/>
      </w:r>
    </w:p>
    <w:p>
      <w:pPr>
        <w:keepNext w:val="0"/>
        <w:keepLines w:val="0"/>
        <w:pageBreakBefore w:val="0"/>
        <w:widowControl w:val="0"/>
        <w:tabs>
          <w:tab w:val="right" w:leader="do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56" w:afterLines="50" w:line="360" w:lineRule="auto"/>
        <w:ind w:firstLine="560"/>
        <w:textAlignment w:val="auto"/>
        <w:rPr>
          <w:rFonts w:ascii="幼圆" w:eastAsia="幼圆" w:hAnsi="幼圆" w:cs="幼圆" w:hint="eastAsia"/>
          <w:b/>
          <w:bCs/>
          <w:sz w:val="32"/>
          <w:szCs w:val="32"/>
        </w:rPr>
      </w:pPr>
      <w:r>
        <w:rPr>
          <w:rFonts w:ascii="幼圆" w:eastAsia="幼圆" w:hAnsi="幼圆" w:cs="幼圆" w:hint="eastAsia"/>
          <w:szCs w:val="24"/>
          <w:lang w:eastAsia="zh-Hans"/>
        </w:rPr>
        <w:fldChar w:fldCharType="end"/>
      </w:r>
      <w:bookmarkEnd w:id="0"/>
      <w:bookmarkEnd w:id="1"/>
      <w:bookmarkEnd w:id="2"/>
      <w:bookmarkEnd w:id="3"/>
      <w:bookmarkEnd w:id="4"/>
      <w:bookmarkEnd w:id="5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b/>
          <w:bCs/>
          <w:sz w:val="24"/>
        </w:rPr>
        <w:t>摘  要</w:t>
      </w:r>
      <w:r>
        <w:rPr>
          <w:rFonts w:ascii="幼圆" w:eastAsia="幼圆" w:hAnsi="幼圆" w:cs="幼圆" w:hint="eastAsia"/>
          <w:sz w:val="24"/>
        </w:rPr>
        <w:t>：</w:t>
      </w:r>
      <w:r>
        <w:rPr>
          <w:rFonts w:ascii="幼圆" w:eastAsia="幼圆" w:hAnsi="幼圆" w:cs="幼圆" w:hint="eastAsia"/>
          <w:sz w:val="24"/>
          <w:lang w:eastAsia="zh-Hans"/>
        </w:rPr>
        <w:t>本文</w:t>
      </w:r>
      <w:r>
        <w:rPr>
          <w:rFonts w:ascii="幼圆" w:eastAsia="幼圆" w:hAnsi="幼圆" w:cs="幼圆" w:hint="eastAsia"/>
          <w:sz w:val="24"/>
          <w:lang w:val="en-US" w:eastAsia="zh-Hans"/>
        </w:rPr>
        <w:t>首先从资产负债表</w:t>
      </w:r>
      <w:r>
        <w:rPr>
          <w:rFonts w:ascii="幼圆" w:eastAsia="幼圆" w:hAnsi="幼圆" w:cs="幼圆" w:hint="eastAsia"/>
          <w:sz w:val="24"/>
          <w:lang w:eastAsia="zh-Hans"/>
        </w:rPr>
        <w:t>、</w:t>
      </w:r>
      <w:r>
        <w:rPr>
          <w:rFonts w:ascii="幼圆" w:eastAsia="幼圆" w:hAnsi="幼圆" w:cs="幼圆" w:hint="eastAsia"/>
          <w:sz w:val="24"/>
          <w:lang w:val="en-US" w:eastAsia="zh-Hans"/>
        </w:rPr>
        <w:t>利润表和现金流量表三大报表分析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 xml:space="preserve"> 至 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 xml:space="preserve"> 年的经营情况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接着从财务分析指标中的</w:t>
      </w:r>
      <w:r>
        <w:rPr>
          <w:rFonts w:ascii="幼圆" w:eastAsia="幼圆" w:hAnsi="幼圆" w:cs="幼圆" w:hint="eastAsia"/>
          <w:sz w:val="24"/>
          <w:lang w:eastAsia="zh-Hans"/>
        </w:rPr>
        <w:t>盈利能力、偿债能力、营运能力以及现金流量四个方面分析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公司存在的财务风险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然后</w:t>
      </w:r>
      <w:r>
        <w:rPr>
          <w:rFonts w:ascii="幼圆" w:eastAsia="幼圆" w:hAnsi="幼圆" w:cs="幼圆" w:hint="eastAsia"/>
          <w:sz w:val="24"/>
          <w:lang w:val="en-US" w:eastAsia="zh-Hans"/>
        </w:rPr>
        <w:t>基于层次分析法</w:t>
      </w:r>
      <w:r>
        <w:rPr>
          <w:rFonts w:ascii="幼圆" w:eastAsia="幼圆" w:hAnsi="幼圆" w:cs="幼圆" w:hint="eastAsia"/>
          <w:sz w:val="24"/>
          <w:lang w:eastAsia="zh-Hans"/>
        </w:rPr>
        <w:t>构建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公司财务风险评价体系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确定各层次在评价体系中的权重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根据权重结果计算出</w:t>
      </w:r>
      <w:r>
        <w:rPr>
          <w:rFonts w:ascii="幼圆" w:eastAsia="幼圆" w:hAnsi="幼圆" w:cs="幼圆" w:hint="eastAsia"/>
          <w:sz w:val="24"/>
          <w:lang w:val="en-US" w:eastAsia="zh-CN"/>
        </w:rPr>
        <w:t>厦门九牧王</w:t>
      </w:r>
      <w:r>
        <w:rPr>
          <w:rFonts w:ascii="幼圆" w:eastAsia="幼圆" w:hAnsi="幼圆" w:cs="幼圆" w:hint="eastAsia"/>
          <w:sz w:val="24"/>
          <w:lang w:val="en-US" w:eastAsia="zh-Hans"/>
        </w:rPr>
        <w:t>公司的财务风险综合得分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研究发现</w:t>
      </w:r>
      <w:r>
        <w:rPr>
          <w:rFonts w:ascii="幼圆" w:eastAsia="幼圆" w:hAnsi="幼圆" w:cs="幼圆" w:hint="eastAsia"/>
          <w:sz w:val="24"/>
          <w:lang w:val="en-US" w:eastAsia="zh-CN"/>
        </w:rPr>
        <w:t>厦门九牧王</w:t>
      </w:r>
      <w:r>
        <w:rPr>
          <w:rFonts w:ascii="幼圆" w:eastAsia="幼圆" w:hAnsi="幼圆" w:cs="幼圆" w:hint="eastAsia"/>
          <w:sz w:val="24"/>
          <w:lang w:val="en-US" w:eastAsia="zh-Hans"/>
        </w:rPr>
        <w:t>公司的财务风险呈现稳中向好的趋势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最后根据财务风险评价结果对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公司提出针对性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控制策略。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b/>
          <w:bCs/>
          <w:sz w:val="24"/>
        </w:rPr>
        <w:t>关键词</w:t>
      </w:r>
      <w:r>
        <w:rPr>
          <w:rFonts w:ascii="幼圆" w:eastAsia="幼圆" w:hAnsi="幼圆" w:cs="幼圆" w:hint="eastAsia"/>
          <w:sz w:val="24"/>
        </w:rPr>
        <w:t>: 风险</w:t>
      </w:r>
      <w:r>
        <w:rPr>
          <w:rFonts w:ascii="幼圆" w:eastAsia="幼圆" w:hAnsi="幼圆" w:cs="幼圆" w:hint="eastAsia"/>
          <w:sz w:val="24"/>
          <w:lang w:eastAsia="zh-Hans"/>
        </w:rPr>
        <w:t>识别</w:t>
      </w:r>
      <w:r>
        <w:rPr>
          <w:rFonts w:ascii="幼圆" w:eastAsia="幼圆" w:hAnsi="幼圆" w:cs="幼圆" w:hint="eastAsia"/>
          <w:sz w:val="24"/>
        </w:rPr>
        <w:t>；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</w:rPr>
        <w:t>评价；控制策略</w:t>
      </w:r>
    </w:p>
    <w:p>
      <w:pPr>
        <w:spacing w:line="360" w:lineRule="auto"/>
        <w:ind w:firstLine="42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</w:rPr>
        <w:t xml:space="preserve"> </w:t>
      </w:r>
    </w:p>
    <w:p>
      <w:pPr>
        <w:pStyle w:val="Heading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textAlignment w:val="auto"/>
        <w:rPr>
          <w:rFonts w:ascii="幼圆" w:eastAsia="幼圆" w:hAnsi="幼圆" w:cs="幼圆" w:hint="eastAsia"/>
          <w:sz w:val="24"/>
          <w:szCs w:val="24"/>
        </w:rPr>
      </w:pP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  <w:lang w:eastAsia="zh-Hans"/>
        </w:rPr>
      </w:pPr>
      <w:bookmarkStart w:id="6" w:name="_Toc31156"/>
      <w:bookmarkStart w:id="7" w:name="_Toc2044615631"/>
      <w:bookmarkStart w:id="8" w:name="_Toc1228870660"/>
      <w:bookmarkStart w:id="9" w:name="_Toc579584491_WPSOffice_Level1"/>
      <w:bookmarkStart w:id="10" w:name="_Toc231109091"/>
      <w:bookmarkStart w:id="11" w:name="_Toc457838420_WPSOffice_Level1"/>
      <w:bookmarkStart w:id="12" w:name="_Toc509648866_WPSOffice_Level1"/>
      <w:r>
        <w:rPr>
          <w:rFonts w:ascii="幼圆" w:eastAsia="幼圆" w:hAnsi="幼圆" w:cs="幼圆" w:hint="eastAsia"/>
          <w:sz w:val="28"/>
          <w:szCs w:val="28"/>
          <w:lang w:eastAsia="zh-Hans"/>
        </w:rPr>
        <w:t>引言</w:t>
      </w:r>
      <w:bookmarkEnd w:id="6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5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"/>
          <w:cols w:space="708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val="en-US" w:eastAsia="zh-Hans"/>
        </w:rPr>
        <w:t>当今的市场环境在不断的发生变化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企业在激烈的竞争中面临着许多财务风险问题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当企业在面临财务风险时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缺乏应对能力或者在对财务风险进行控制时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缺乏有效的控制策略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都将会给企业造成严重的经济损失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因此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这就</w:t>
      </w:r>
      <w:r>
        <w:rPr>
          <w:rFonts w:ascii="幼圆" w:eastAsia="幼圆" w:hAnsi="幼圆" w:cs="幼圆" w:hint="eastAsia"/>
          <w:sz w:val="24"/>
          <w:lang w:val="en-US" w:eastAsia="zh-Hans"/>
        </w:rPr>
        <w:t>要求</w:t>
      </w:r>
      <w:r>
        <w:rPr>
          <w:rFonts w:ascii="幼圆" w:eastAsia="幼圆" w:hAnsi="幼圆" w:cs="幼圆" w:hint="eastAsia"/>
          <w:sz w:val="24"/>
          <w:lang w:eastAsia="zh-Hans"/>
        </w:rPr>
        <w:t>企业管理</w:t>
      </w:r>
      <w:r>
        <w:rPr>
          <w:rFonts w:ascii="幼圆" w:eastAsia="幼圆" w:hAnsi="幼圆" w:cs="幼圆" w:hint="eastAsia"/>
          <w:sz w:val="24"/>
          <w:lang w:val="en-US" w:eastAsia="zh-Hans"/>
        </w:rPr>
        <w:t>层对</w:t>
      </w:r>
      <w:r>
        <w:rPr>
          <w:rFonts w:ascii="幼圆" w:eastAsia="幼圆" w:hAnsi="幼圆" w:cs="幼圆" w:hint="eastAsia"/>
          <w:sz w:val="24"/>
          <w:lang w:eastAsia="zh-Hans"/>
        </w:rPr>
        <w:t>财务风险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val="en-US" w:eastAsia="zh-Hans"/>
        </w:rPr>
        <w:t>高度重视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加强</w:t>
      </w:r>
      <w:r>
        <w:rPr>
          <w:rFonts w:ascii="幼圆" w:eastAsia="幼圆" w:hAnsi="幼圆" w:cs="幼圆" w:hint="eastAsia"/>
          <w:sz w:val="24"/>
          <w:lang w:eastAsia="zh-Hans"/>
        </w:rPr>
        <w:t>财务风险的识别能力</w:t>
      </w:r>
      <w:r>
        <w:rPr>
          <w:rFonts w:ascii="幼圆" w:eastAsia="幼圆" w:hAnsi="幼圆" w:cs="幼圆" w:hint="eastAsia"/>
          <w:sz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lang w:eastAsia="zh-Hans"/>
        </w:rPr>
        <w:t>评价能力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并能对其进行有效的</w:t>
      </w:r>
      <w:r>
        <w:rPr>
          <w:rFonts w:ascii="幼圆" w:eastAsia="幼圆" w:hAnsi="幼圆" w:cs="幼圆" w:hint="eastAsia"/>
          <w:sz w:val="24"/>
          <w:lang w:eastAsia="zh-Hans"/>
        </w:rPr>
        <w:t>控制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财务风险发生的可能性</w:t>
      </w:r>
      <w:r>
        <w:rPr>
          <w:rFonts w:ascii="幼圆" w:eastAsia="幼圆" w:hAnsi="幼圆" w:cs="幼圆" w:hint="eastAsia"/>
          <w:sz w:val="24"/>
          <w:lang w:val="en-US" w:eastAsia="zh-Hans"/>
        </w:rPr>
        <w:t>才能降到最低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本文</w:t>
      </w:r>
      <w:r>
        <w:rPr>
          <w:rFonts w:ascii="幼圆" w:eastAsia="幼圆" w:hAnsi="幼圆" w:cs="幼圆" w:hint="eastAsia"/>
          <w:sz w:val="24"/>
          <w:lang w:val="en-US" w:eastAsia="zh-Hans"/>
        </w:rPr>
        <w:t>以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为研究对象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选题为财务风险评价与控制研究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从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财务</w:t>
      </w:r>
      <w:r>
        <w:rPr>
          <w:rFonts w:ascii="幼圆" w:eastAsia="幼圆" w:hAnsi="幼圆" w:cs="幼圆" w:hint="eastAsia"/>
          <w:sz w:val="24"/>
          <w:lang w:val="en-US" w:eastAsia="zh-Hans"/>
        </w:rPr>
        <w:t>状况</w:t>
      </w:r>
      <w:r>
        <w:rPr>
          <w:rFonts w:ascii="幼圆" w:eastAsia="幼圆" w:hAnsi="幼圆" w:cs="幼圆" w:hint="eastAsia"/>
          <w:sz w:val="24"/>
          <w:lang w:eastAsia="zh-Hans"/>
        </w:rPr>
        <w:t>入手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对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val="en-US" w:eastAsia="zh-Hans"/>
        </w:rPr>
        <w:t>公司财务风险进行</w:t>
      </w:r>
      <w:r>
        <w:rPr>
          <w:rFonts w:ascii="幼圆" w:eastAsia="幼圆" w:hAnsi="幼圆" w:cs="幼圆" w:hint="eastAsia"/>
          <w:sz w:val="24"/>
          <w:lang w:eastAsia="zh-Hans"/>
        </w:rPr>
        <w:t>识别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并通过构建</w:t>
      </w:r>
      <w:r>
        <w:rPr>
          <w:rFonts w:ascii="幼圆" w:eastAsia="幼圆" w:hAnsi="幼圆" w:cs="幼圆" w:hint="eastAsia"/>
          <w:sz w:val="24"/>
          <w:lang w:eastAsia="zh-Hans"/>
        </w:rPr>
        <w:t>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评价体系分析公司的财务风险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计算出</w:t>
      </w:r>
      <w:r>
        <w:rPr>
          <w:rFonts w:ascii="幼圆" w:eastAsia="幼圆" w:hAnsi="幼圆" w:cs="幼圆" w:hint="eastAsia"/>
          <w:sz w:val="24"/>
          <w:lang w:val="en-US" w:eastAsia="zh-CN"/>
        </w:rPr>
        <w:t>厦门九牧王</w:t>
      </w:r>
      <w:r>
        <w:rPr>
          <w:rFonts w:ascii="幼圆" w:eastAsia="幼圆" w:hAnsi="幼圆" w:cs="幼圆" w:hint="eastAsia"/>
          <w:sz w:val="24"/>
          <w:lang w:val="en-US" w:eastAsia="zh-Hans"/>
        </w:rPr>
        <w:t>公司财务风险的综合得分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针对得分结果提出相应的控制策略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</w:rPr>
      </w:pPr>
      <w:bookmarkStart w:id="13" w:name="_Toc10369"/>
      <w:r>
        <w:rPr>
          <w:rFonts w:ascii="幼圆" w:eastAsia="幼圆" w:hAnsi="幼圆" w:cs="幼圆" w:hint="eastAsia"/>
          <w:sz w:val="28"/>
          <w:szCs w:val="28"/>
          <w:lang w:eastAsia="zh-Hans"/>
        </w:rPr>
        <w:t>一、</w:t>
      </w:r>
      <w:r>
        <w:rPr>
          <w:rFonts w:ascii="幼圆" w:eastAsia="幼圆" w:hAnsi="幼圆" w:cs="幼圆" w:hint="eastAsia"/>
          <w:sz w:val="28"/>
          <w:szCs w:val="28"/>
        </w:rPr>
        <w:t>理论基础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</w:rPr>
      </w:pPr>
      <w:bookmarkStart w:id="14" w:name="_Toc90717445_WPSOffice_Level1"/>
      <w:bookmarkStart w:id="15" w:name="_Toc456417739_WPSOffice_Level1"/>
      <w:bookmarkStart w:id="16" w:name="_Toc1503706626_WPSOffice_Level1"/>
      <w:bookmarkStart w:id="17" w:name="_Toc1600058661"/>
      <w:bookmarkStart w:id="18" w:name="_Toc31643"/>
      <w:r>
        <w:rPr>
          <w:rFonts w:ascii="幼圆" w:eastAsia="幼圆" w:hAnsi="幼圆" w:cs="幼圆" w:hint="eastAsia"/>
          <w:sz w:val="24"/>
          <w:lang w:eastAsia="zh-Hans"/>
        </w:rPr>
        <w:t>(一) 企业</w:t>
      </w:r>
      <w:r>
        <w:rPr>
          <w:rFonts w:ascii="幼圆" w:eastAsia="幼圆" w:hAnsi="幼圆" w:cs="幼圆" w:hint="eastAsia"/>
          <w:sz w:val="24"/>
        </w:rPr>
        <w:t>财务风险的概念</w:t>
      </w:r>
      <w:bookmarkEnd w:id="14"/>
      <w:bookmarkEnd w:id="15"/>
      <w:bookmarkEnd w:id="16"/>
      <w:bookmarkEnd w:id="17"/>
      <w:bookmarkEnd w:id="18"/>
    </w:p>
    <w:p>
      <w:pPr>
        <w:bidi w:val="0"/>
        <w:spacing w:line="360" w:lineRule="auto"/>
        <w:ind w:firstLine="480" w:firstLineChars="200"/>
        <w:rPr>
          <w:rFonts w:ascii="幼圆" w:eastAsia="幼圆" w:hAnsi="幼圆" w:cs="幼圆" w:hint="eastAsia"/>
          <w:i w:val="0"/>
          <w:iCs w:val="0"/>
          <w:sz w:val="24"/>
        </w:rPr>
      </w:pP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财务风险是指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企业因为运营管理等原因而产生的风险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与企业由于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商业债务而必须承担的财务风险密切相关。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根据现如今的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市场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和经济状况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企业面临的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是无法回避的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(安琪儿,曹阳明,2022)。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是现代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市场经济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行为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一个显著特征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它既能全面的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反映企业的现状，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又能对企业的运作产生巨大的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eastAsia="zh-CN"/>
        </w:rPr>
        <w:t>影响。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因此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，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Hans"/>
        </w:rPr>
        <w:t>对企业的财务风险进行分析是其生存和发展的枢纽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。</w:t>
      </w:r>
    </w:p>
    <w:p>
      <w:pPr>
        <w:pStyle w:val="Heading2"/>
        <w:numPr>
          <w:ilvl w:val="0"/>
          <w:numId w:val="1"/>
        </w:numPr>
        <w:spacing w:before="0" w:after="0"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19" w:name="_Toc1395687693"/>
      <w:bookmarkStart w:id="20" w:name="_Toc1278949421"/>
      <w:bookmarkStart w:id="21" w:name="_Toc201352289_WPSOffice_Level1"/>
      <w:bookmarkStart w:id="22" w:name="_Toc1209705286_WPSOffice_Level1"/>
      <w:bookmarkStart w:id="23" w:name="_Toc2122192392_WPSOffice_Level1"/>
      <w:bookmarkStart w:id="24" w:name="_Toc1969074570"/>
      <w:bookmarkStart w:id="25" w:name="_Toc12858"/>
      <w:r>
        <w:rPr>
          <w:rFonts w:ascii="幼圆" w:eastAsia="幼圆" w:hAnsi="幼圆" w:cs="幼圆" w:hint="eastAsia"/>
          <w:sz w:val="24"/>
          <w:lang w:eastAsia="zh-Hans"/>
        </w:rPr>
        <w:t>企业财务风险的识别与特征</w:t>
      </w:r>
      <w:bookmarkEnd w:id="19"/>
      <w:bookmarkEnd w:id="20"/>
      <w:bookmarkEnd w:id="21"/>
      <w:bookmarkEnd w:id="22"/>
      <w:bookmarkEnd w:id="23"/>
      <w:bookmarkEnd w:id="24"/>
      <w:bookmarkEnd w:id="25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企业财务风险识别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方法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以下三种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(丁心如 ,恩德莉 ,方婉,2021)</w:t>
      </w:r>
      <w:r>
        <w:rPr>
          <w:rFonts w:ascii="幼圆" w:eastAsia="幼圆" w:hAnsi="幼圆" w:cs="幼圆" w:hint="eastAsia"/>
          <w:sz w:val="24"/>
          <w:lang w:eastAsia="zh-Hans"/>
        </w:rPr>
        <w:t>：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1.财务报表分析法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（1）概念。在比较公司关键财务指标的实际和标准指标时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公司的财务风险是根据公司财务报表中的信息准则来确定的。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（2）分析内容。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一是对企业的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稳定性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和利润进行分析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二是对企业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信用和偿债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能力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三是对企业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的稳定性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资本结构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四是对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企业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资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金分配和企业的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合理性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进行分析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；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五是对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生产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和运营中存在的缺陷及可能存在的风险进行分析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（3）优缺点。其优点是能够识别</w:t>
      </w:r>
      <w:r>
        <w:rPr>
          <w:rFonts w:ascii="幼圆" w:eastAsia="幼圆" w:hAnsi="幼圆" w:cs="幼圆" w:hint="eastAsia"/>
          <w:sz w:val="24"/>
          <w:lang w:val="en-US" w:eastAsia="zh-Hans"/>
        </w:rPr>
        <w:t>和</w:t>
      </w:r>
      <w:r>
        <w:rPr>
          <w:rFonts w:ascii="幼圆" w:eastAsia="幼圆" w:hAnsi="幼圆" w:cs="幼圆" w:hint="eastAsia"/>
          <w:sz w:val="24"/>
          <w:lang w:eastAsia="zh-Hans"/>
        </w:rPr>
        <w:t>评价财务风险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评价企业的治理绩效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并</w:t>
      </w:r>
      <w:r>
        <w:rPr>
          <w:rFonts w:ascii="幼圆" w:eastAsia="幼圆" w:hAnsi="幼圆" w:cs="幼圆" w:hint="eastAsia"/>
          <w:sz w:val="24"/>
          <w:lang w:eastAsia="zh-Hans"/>
        </w:rPr>
        <w:t>可以贯穿到整个企业的风险管理过程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缺点是不同的员工对同一份报告的内容或数据的评价不同。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2.指标分析法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</w:t>
      </w:r>
      <w:r>
        <w:rPr>
          <w:rFonts w:ascii="幼圆" w:eastAsia="幼圆" w:hAnsi="幼圆" w:cs="幼圆" w:hint="eastAsia"/>
          <w:sz w:val="24"/>
          <w:lang w:val="en-US" w:eastAsia="zh-Hans"/>
        </w:rPr>
        <w:t>依</w:t>
      </w:r>
      <w:r>
        <w:rPr>
          <w:rFonts w:ascii="幼圆" w:eastAsia="幼圆" w:hAnsi="幼圆" w:cs="幼圆" w:hint="eastAsia"/>
          <w:sz w:val="24"/>
          <w:lang w:eastAsia="zh-Hans"/>
        </w:rPr>
        <w:t>运营财务会计和统计财务会计</w:t>
      </w:r>
      <w:r>
        <w:rPr>
          <w:rFonts w:ascii="幼圆" w:eastAsia="幼圆" w:hAnsi="幼圆" w:cs="幼圆" w:hint="eastAsia"/>
          <w:sz w:val="24"/>
          <w:lang w:val="en-US" w:eastAsia="zh-Hans"/>
        </w:rPr>
        <w:t>资料</w:t>
      </w:r>
      <w:r>
        <w:rPr>
          <w:rFonts w:ascii="幼圆" w:eastAsia="幼圆" w:hAnsi="幼圆" w:cs="幼圆" w:hint="eastAsia"/>
          <w:sz w:val="24"/>
          <w:lang w:eastAsia="zh-Hans"/>
        </w:rPr>
        <w:t>为</w:t>
      </w:r>
      <w:r>
        <w:rPr>
          <w:rFonts w:ascii="幼圆" w:eastAsia="幼圆" w:hAnsi="幼圆" w:cs="幼圆" w:hint="eastAsia"/>
          <w:sz w:val="24"/>
          <w:lang w:val="en-US" w:eastAsia="zh-Hans"/>
        </w:rPr>
        <w:t>基础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通过</w:t>
      </w:r>
      <w:r>
        <w:rPr>
          <w:rFonts w:ascii="幼圆" w:eastAsia="幼圆" w:hAnsi="幼圆" w:cs="幼圆" w:hint="eastAsia"/>
          <w:sz w:val="24"/>
          <w:lang w:val="en-US" w:eastAsia="zh-Hans"/>
        </w:rPr>
        <w:t>对相关财务风险的</w:t>
      </w:r>
      <w:r>
        <w:rPr>
          <w:rFonts w:ascii="幼圆" w:eastAsia="幼圆" w:hAnsi="幼圆" w:cs="幼圆" w:hint="eastAsia"/>
          <w:sz w:val="24"/>
          <w:lang w:eastAsia="zh-Hans"/>
        </w:rPr>
        <w:t>计算、分析和比较来确定和识别财务风险。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6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（2）分析内容。所采</w:t>
      </w:r>
      <w:r>
        <w:rPr>
          <w:rFonts w:ascii="幼圆" w:eastAsia="幼圆" w:hAnsi="幼圆" w:cs="幼圆" w:hint="eastAsia"/>
          <w:sz w:val="24"/>
          <w:lang w:val="en-US" w:eastAsia="zh-Hans"/>
        </w:rPr>
        <w:t>取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关财务指标原则上应保持一致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有三个主要要求：多纬度、多层次和多角度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(高冰清, 韩思颖,2022)</w:t>
      </w:r>
      <w:r>
        <w:rPr>
          <w:rFonts w:ascii="幼圆" w:eastAsia="幼圆" w:hAnsi="幼圆" w:cs="幼圆" w:hint="eastAsia"/>
          <w:sz w:val="24"/>
          <w:lang w:eastAsia="zh-Hans"/>
        </w:rPr>
        <w:t>。这种方法可以单独使用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也可以与会计方法结合使用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在应用该方法时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如果存在对企业的运营和财务管理产生影响的财务风险时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就需要预先设定一个危险临界点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对其影响程度进行评价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（3）优点。通过对相关</w:t>
      </w:r>
      <w:r>
        <w:rPr>
          <w:rFonts w:ascii="幼圆" w:eastAsia="幼圆" w:hAnsi="幼圆" w:cs="幼圆" w:hint="eastAsia"/>
          <w:sz w:val="24"/>
          <w:lang w:val="en-US" w:eastAsia="zh-Hans"/>
        </w:rPr>
        <w:t>资料的统计</w:t>
      </w:r>
      <w:r>
        <w:rPr>
          <w:rFonts w:ascii="幼圆" w:eastAsia="幼圆" w:hAnsi="幼圆" w:cs="幼圆" w:hint="eastAsia"/>
          <w:sz w:val="24"/>
          <w:lang w:eastAsia="zh-Hans"/>
        </w:rPr>
        <w:t>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可以很</w:t>
      </w:r>
      <w:r>
        <w:rPr>
          <w:rFonts w:ascii="幼圆" w:eastAsia="幼圆" w:hAnsi="幼圆" w:cs="幼圆" w:hint="eastAsia"/>
          <w:sz w:val="24"/>
          <w:lang w:eastAsia="zh-Hans"/>
        </w:rPr>
        <w:t>好的识别财务风险。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3.经验分析法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（1）概念。选择相关领域或行业的专家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直接总结和预测公司的发展和经营规律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根据他们的经验和技能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结合外部环境</w:t>
      </w:r>
      <w:r>
        <w:rPr>
          <w:rFonts w:ascii="幼圆" w:eastAsia="幼圆" w:hAnsi="幼圆" w:cs="幼圆" w:hint="eastAsia"/>
          <w:sz w:val="24"/>
          <w:lang w:val="en-US" w:eastAsia="zh-Hans"/>
        </w:rPr>
        <w:t>发现</w:t>
      </w:r>
      <w:r>
        <w:rPr>
          <w:rFonts w:ascii="幼圆" w:eastAsia="幼圆" w:hAnsi="幼圆" w:cs="幼圆" w:hint="eastAsia"/>
          <w:sz w:val="24"/>
          <w:lang w:eastAsia="zh-Hans"/>
        </w:rPr>
        <w:t>财务风险。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（2）分析内容。</w:t>
      </w:r>
      <w:r>
        <w:rPr>
          <w:rFonts w:ascii="幼圆" w:eastAsia="幼圆" w:hAnsi="幼圆" w:cs="幼圆" w:hint="eastAsia"/>
          <w:sz w:val="24"/>
          <w:lang w:val="en-US" w:eastAsia="zh-Hans"/>
        </w:rPr>
        <w:t>经</w:t>
      </w:r>
      <w:r>
        <w:rPr>
          <w:rFonts w:ascii="幼圆" w:eastAsia="幼圆" w:hAnsi="幼圆" w:cs="幼圆" w:hint="eastAsia"/>
          <w:sz w:val="24"/>
          <w:lang w:eastAsia="zh-Hans"/>
        </w:rPr>
        <w:t>过开展研究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收集有关风险资料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确认对企业有重要意义的工程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并明确其研究主题。邀请一些专业人员参</w:t>
      </w:r>
      <w:r>
        <w:rPr>
          <w:rFonts w:ascii="幼圆" w:eastAsia="幼圆" w:hAnsi="幼圆" w:cs="幼圆" w:hint="eastAsia"/>
          <w:sz w:val="24"/>
          <w:lang w:val="en-US" w:eastAsia="zh-Hans"/>
        </w:rPr>
        <w:t>与</w:t>
      </w:r>
      <w:r>
        <w:rPr>
          <w:rFonts w:ascii="幼圆" w:eastAsia="幼圆" w:hAnsi="幼圆" w:cs="幼圆" w:hint="eastAsia"/>
          <w:sz w:val="24"/>
          <w:lang w:eastAsia="zh-Hans"/>
        </w:rPr>
        <w:t>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就有关问题提出更新信息和说明。公司管理层应根据专家的工作结果提供反馈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专家在获得反馈意见后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应第二次提出反馈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并将反馈汇总后送交企业治理办公室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如果有任何反对意见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在得到更为一致的答复之前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可以重复这两个步骤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(贺雅馨 ,伊诗,2020)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（3）优缺点。</w:t>
      </w:r>
      <w:r>
        <w:rPr>
          <w:rFonts w:ascii="幼圆" w:eastAsia="幼圆" w:hAnsi="幼圆" w:cs="幼圆" w:hint="eastAsia"/>
          <w:sz w:val="24"/>
          <w:lang w:val="en-US" w:eastAsia="zh-Hans"/>
        </w:rPr>
        <w:t>该方法的</w:t>
      </w:r>
      <w:r>
        <w:rPr>
          <w:rFonts w:ascii="幼圆" w:eastAsia="幼圆" w:hAnsi="幼圆" w:cs="幼圆" w:hint="eastAsia"/>
          <w:sz w:val="24"/>
          <w:lang w:eastAsia="zh-Hans"/>
        </w:rPr>
        <w:t>优点是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</w:t>
      </w:r>
      <w:r>
        <w:rPr>
          <w:rFonts w:ascii="幼圆" w:eastAsia="幼圆" w:hAnsi="幼圆" w:cs="幼圆" w:hint="eastAsia"/>
          <w:sz w:val="24"/>
          <w:lang w:val="en-US" w:eastAsia="zh-Hans"/>
        </w:rPr>
        <w:t>缺乏充分</w:t>
      </w:r>
      <w:r>
        <w:rPr>
          <w:rFonts w:ascii="幼圆" w:eastAsia="幼圆" w:hAnsi="幼圆" w:cs="幼圆" w:hint="eastAsia"/>
          <w:sz w:val="24"/>
          <w:lang w:eastAsia="zh-Hans"/>
        </w:rPr>
        <w:t>统计</w:t>
      </w:r>
      <w:r>
        <w:rPr>
          <w:rFonts w:ascii="幼圆" w:eastAsia="幼圆" w:hAnsi="幼圆" w:cs="幼圆" w:hint="eastAsia"/>
          <w:sz w:val="24"/>
          <w:lang w:val="en-US" w:eastAsia="zh-Hans"/>
        </w:rPr>
        <w:t>资料</w:t>
      </w:r>
      <w:r>
        <w:rPr>
          <w:rFonts w:ascii="幼圆" w:eastAsia="幼圆" w:hAnsi="幼圆" w:cs="幼圆" w:hint="eastAsia"/>
          <w:sz w:val="24"/>
          <w:lang w:eastAsia="zh-Hans"/>
        </w:rPr>
        <w:t>的情况下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能够</w:t>
      </w:r>
      <w:r>
        <w:rPr>
          <w:rFonts w:ascii="幼圆" w:eastAsia="幼圆" w:hAnsi="幼圆" w:cs="幼圆" w:hint="eastAsia"/>
          <w:sz w:val="24"/>
          <w:lang w:eastAsia="zh-Hans"/>
        </w:rPr>
        <w:t>基于对真实数据的分析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对报表中未公布的信息进行量化估计和预测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缺点是对于造成的分析评价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主要是专家的主观判断引起的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要</w:t>
      </w:r>
      <w:r>
        <w:rPr>
          <w:rFonts w:ascii="幼圆" w:eastAsia="幼圆" w:hAnsi="幼圆" w:cs="幼圆" w:hint="eastAsia"/>
          <w:sz w:val="24"/>
          <w:lang w:eastAsia="zh-Hans"/>
        </w:rPr>
        <w:t>解决这</w:t>
      </w:r>
      <w:r>
        <w:rPr>
          <w:rFonts w:ascii="幼圆" w:eastAsia="幼圆" w:hAnsi="幼圆" w:cs="幼圆" w:hint="eastAsia"/>
          <w:sz w:val="24"/>
          <w:lang w:val="en-US" w:eastAsia="zh-Hans"/>
        </w:rPr>
        <w:t>个</w:t>
      </w:r>
      <w:r>
        <w:rPr>
          <w:rFonts w:ascii="幼圆" w:eastAsia="幼圆" w:hAnsi="幼圆" w:cs="幼圆" w:hint="eastAsia"/>
          <w:sz w:val="24"/>
          <w:lang w:eastAsia="zh-Hans"/>
        </w:rPr>
        <w:t>问题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有</w:t>
      </w:r>
      <w:r>
        <w:rPr>
          <w:rFonts w:ascii="幼圆" w:eastAsia="幼圆" w:hAnsi="幼圆" w:cs="幼圆" w:hint="eastAsia"/>
          <w:sz w:val="24"/>
          <w:lang w:val="en-US" w:eastAsia="zh-Hans"/>
        </w:rPr>
        <w:t>经验</w:t>
      </w:r>
      <w:r>
        <w:rPr>
          <w:rFonts w:ascii="幼圆" w:eastAsia="幼圆" w:hAnsi="幼圆" w:cs="幼圆" w:hint="eastAsia"/>
          <w:sz w:val="24"/>
          <w:lang w:eastAsia="zh-Hans"/>
        </w:rPr>
        <w:t>的专家可以</w:t>
      </w:r>
      <w:r>
        <w:rPr>
          <w:rFonts w:ascii="幼圆" w:eastAsia="幼圆" w:hAnsi="幼圆" w:cs="幼圆" w:hint="eastAsia"/>
          <w:sz w:val="24"/>
          <w:lang w:val="en-US" w:eastAsia="zh-Hans"/>
        </w:rPr>
        <w:t>回</w:t>
      </w:r>
      <w:r>
        <w:rPr>
          <w:rFonts w:ascii="幼圆" w:eastAsia="幼圆" w:hAnsi="幼圆" w:cs="幼圆" w:hint="eastAsia"/>
          <w:sz w:val="24"/>
          <w:lang w:eastAsia="zh-Hans"/>
        </w:rPr>
        <w:t>避工作、重新评估等。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全方位的熟悉并了解财务风险的基本特征是企业财务管理的起点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这样才能够有针对性地进行风险管理与防范研究。企业财务风险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有以下</w:t>
      </w:r>
      <w:r>
        <w:rPr>
          <w:rFonts w:ascii="幼圆" w:eastAsia="幼圆" w:hAnsi="幼圆" w:cs="幼圆" w:hint="eastAsia"/>
          <w:sz w:val="24"/>
          <w:lang w:eastAsia="zh-Hans"/>
        </w:rPr>
        <w:t>特征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(姜佳怡 ,康盼雨 ,李舒涵,2019)</w:t>
      </w:r>
      <w:r>
        <w:rPr>
          <w:rFonts w:ascii="幼圆" w:eastAsia="幼圆" w:hAnsi="幼圆" w:cs="幼圆" w:hint="eastAsia"/>
          <w:sz w:val="24"/>
          <w:lang w:eastAsia="zh-Hans"/>
        </w:rPr>
        <w:t>：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1.客观性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企业财务风险的客观性</w:t>
      </w:r>
      <w:r>
        <w:rPr>
          <w:rFonts w:ascii="幼圆" w:eastAsia="幼圆" w:hAnsi="幼圆" w:cs="幼圆" w:hint="eastAsia"/>
          <w:sz w:val="24"/>
          <w:lang w:val="en-US" w:eastAsia="zh-Hans"/>
        </w:rPr>
        <w:t>取决于自身</w:t>
      </w:r>
      <w:r>
        <w:rPr>
          <w:rFonts w:ascii="幼圆" w:eastAsia="幼圆" w:hAnsi="幼圆" w:cs="幼圆" w:hint="eastAsia"/>
          <w:sz w:val="24"/>
          <w:lang w:eastAsia="zh-Hans"/>
        </w:rPr>
        <w:t>产生</w:t>
      </w:r>
      <w:r>
        <w:rPr>
          <w:rFonts w:ascii="幼圆" w:eastAsia="幼圆" w:hAnsi="幼圆" w:cs="幼圆" w:hint="eastAsia"/>
          <w:sz w:val="24"/>
          <w:lang w:val="en-US" w:eastAsia="zh-Hans"/>
        </w:rPr>
        <w:t>风险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主要原因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比</w:t>
      </w:r>
      <w:r>
        <w:rPr>
          <w:rFonts w:ascii="幼圆" w:eastAsia="幼圆" w:hAnsi="幼圆" w:cs="幼圆" w:hint="eastAsia"/>
          <w:sz w:val="24"/>
          <w:lang w:eastAsia="zh-Hans"/>
        </w:rPr>
        <w:t>如企业战略的不确定性、市场环境的变化以及企业的生产和经营活动的复杂性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都是导致企业财务风险的客观原因。</w:t>
      </w:r>
      <w:bookmarkStart w:id="26" w:name="_Toc162904773"/>
      <w:bookmarkStart w:id="27" w:name="_Toc439273030_WPSOffice_Level2"/>
      <w:bookmarkStart w:id="28" w:name="_Toc835510334_WPSOffice_Level2"/>
      <w:bookmarkStart w:id="29" w:name="_Toc251273314_WPSOffice_Level2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2.共存性</w:t>
      </w:r>
      <w:bookmarkEnd w:id="26"/>
      <w:bookmarkEnd w:id="27"/>
      <w:bookmarkEnd w:id="28"/>
      <w:bookmarkEnd w:id="29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0" w:name="_Toc2046353533"/>
      <w:bookmarkStart w:id="31" w:name="_Toc1513297720"/>
      <w:bookmarkStart w:id="32" w:name="_Toc1139095924"/>
      <w:r>
        <w:rPr>
          <w:rFonts w:ascii="幼圆" w:eastAsia="幼圆" w:hAnsi="幼圆" w:cs="幼圆" w:hint="eastAsia"/>
          <w:sz w:val="24"/>
          <w:lang w:eastAsia="zh-Hans"/>
        </w:rPr>
        <w:t>收入</w:t>
      </w:r>
      <w:r>
        <w:rPr>
          <w:rFonts w:ascii="幼圆" w:eastAsia="幼圆" w:hAnsi="幼圆" w:cs="幼圆" w:hint="eastAsia"/>
          <w:sz w:val="24"/>
          <w:lang w:val="en-US" w:eastAsia="zh-Hans"/>
        </w:rPr>
        <w:t>与</w:t>
      </w:r>
      <w:r>
        <w:rPr>
          <w:rFonts w:ascii="幼圆" w:eastAsia="幼圆" w:hAnsi="幼圆" w:cs="幼圆" w:hint="eastAsia"/>
          <w:sz w:val="24"/>
          <w:lang w:eastAsia="zh-Hans"/>
        </w:rPr>
        <w:t>财务风险是成正比的</w:t>
      </w:r>
      <w:bookmarkEnd w:id="30"/>
      <w:bookmarkEnd w:id="31"/>
      <w:bookmarkEnd w:id="32"/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val="en-US" w:eastAsia="zh-Hans"/>
        </w:rPr>
        <w:t>即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  <w:lang w:val="en-US" w:eastAsia="zh-Hans"/>
        </w:rPr>
        <w:t>愈</w:t>
      </w:r>
      <w:r>
        <w:rPr>
          <w:rFonts w:ascii="幼圆" w:eastAsia="幼圆" w:hAnsi="幼圆" w:cs="幼圆" w:hint="eastAsia"/>
          <w:sz w:val="24"/>
          <w:lang w:eastAsia="zh-Hans"/>
        </w:rPr>
        <w:t>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收入就</w:t>
      </w:r>
      <w:r>
        <w:rPr>
          <w:rFonts w:ascii="幼圆" w:eastAsia="幼圆" w:hAnsi="幼圆" w:cs="幼圆" w:hint="eastAsia"/>
          <w:sz w:val="24"/>
          <w:lang w:val="en-US" w:eastAsia="zh-Hans"/>
        </w:rPr>
        <w:t>愈</w:t>
      </w:r>
      <w:r>
        <w:rPr>
          <w:rFonts w:ascii="幼圆" w:eastAsia="幼圆" w:hAnsi="幼圆" w:cs="幼圆" w:hint="eastAsia"/>
          <w:sz w:val="24"/>
          <w:lang w:eastAsia="zh-Hans"/>
        </w:rPr>
        <w:t>高。由于</w:t>
      </w:r>
      <w:r>
        <w:rPr>
          <w:rFonts w:ascii="幼圆" w:eastAsia="幼圆" w:hAnsi="幼圆" w:cs="幼圆" w:hint="eastAsia"/>
          <w:sz w:val="24"/>
          <w:lang w:val="en-US" w:eastAsia="zh-Hans"/>
        </w:rPr>
        <w:t>各</w:t>
      </w:r>
      <w:r>
        <w:rPr>
          <w:rFonts w:ascii="幼圆" w:eastAsia="幼圆" w:hAnsi="幼圆" w:cs="幼圆" w:hint="eastAsia"/>
          <w:sz w:val="24"/>
          <w:lang w:eastAsia="zh-Hans"/>
        </w:rPr>
        <w:t>种原因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我国企业的财务风险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直接关系到</w:t>
      </w:r>
      <w:r>
        <w:rPr>
          <w:rFonts w:ascii="幼圆" w:eastAsia="幼圆" w:hAnsi="幼圆" w:cs="幼圆" w:hint="eastAsia"/>
          <w:sz w:val="24"/>
          <w:lang w:eastAsia="zh-Hans"/>
        </w:rPr>
        <w:t>生产</w:t>
      </w:r>
      <w:r>
        <w:rPr>
          <w:rFonts w:ascii="幼圆" w:eastAsia="幼圆" w:hAnsi="幼圆" w:cs="幼圆" w:hint="eastAsia"/>
          <w:sz w:val="24"/>
          <w:lang w:val="en-US" w:eastAsia="zh-Hans"/>
        </w:rPr>
        <w:t>经营</w:t>
      </w:r>
      <w:r>
        <w:rPr>
          <w:rFonts w:ascii="幼圆" w:eastAsia="幼圆" w:hAnsi="幼圆" w:cs="幼圆" w:hint="eastAsia"/>
          <w:sz w:val="24"/>
          <w:lang w:eastAsia="zh-Hans"/>
        </w:rPr>
        <w:t>和</w:t>
      </w:r>
      <w:r>
        <w:rPr>
          <w:rFonts w:ascii="幼圆" w:eastAsia="幼圆" w:hAnsi="幼圆" w:cs="幼圆" w:hint="eastAsia"/>
          <w:sz w:val="24"/>
          <w:lang w:val="en-US" w:eastAsia="zh-Hans"/>
        </w:rPr>
        <w:t>经营活动</w:t>
      </w:r>
      <w:r>
        <w:rPr>
          <w:rFonts w:ascii="幼圆" w:eastAsia="幼圆" w:hAnsi="幼圆" w:cs="幼圆" w:hint="eastAsia"/>
          <w:sz w:val="24"/>
          <w:lang w:eastAsia="zh-Hans"/>
        </w:rPr>
        <w:t>的</w:t>
      </w:r>
      <w:r>
        <w:rPr>
          <w:rFonts w:ascii="幼圆" w:eastAsia="幼圆" w:hAnsi="幼圆" w:cs="幼圆" w:hint="eastAsia"/>
          <w:sz w:val="24"/>
          <w:lang w:val="en-US" w:eastAsia="zh-Hans"/>
        </w:rPr>
        <w:t>持</w:t>
      </w:r>
      <w:r>
        <w:rPr>
          <w:rFonts w:ascii="幼圆" w:eastAsia="幼圆" w:hAnsi="幼圆" w:cs="幼圆" w:hint="eastAsia"/>
          <w:sz w:val="24"/>
          <w:lang w:eastAsia="zh-Hans"/>
        </w:rPr>
        <w:t>续性</w:t>
      </w:r>
      <w:r>
        <w:rPr>
          <w:rFonts w:ascii="幼圆" w:eastAsia="幼圆" w:hAnsi="幼圆" w:cs="幼圆" w:hint="eastAsia"/>
          <w:sz w:val="24"/>
          <w:lang w:val="en-US" w:eastAsia="zh-Hans"/>
        </w:rPr>
        <w:t>及</w:t>
      </w:r>
      <w:r>
        <w:rPr>
          <w:rFonts w:ascii="幼圆" w:eastAsia="幼圆" w:hAnsi="幼圆" w:cs="幼圆" w:hint="eastAsia"/>
          <w:sz w:val="24"/>
          <w:lang w:eastAsia="zh-Hans"/>
        </w:rPr>
        <w:t>经济利益的稳定性。</w:t>
      </w:r>
      <w:r>
        <w:rPr>
          <w:rFonts w:ascii="幼圆" w:eastAsia="幼圆" w:hAnsi="幼圆" w:cs="幼圆" w:hint="eastAsia"/>
          <w:sz w:val="24"/>
          <w:lang w:val="en-US" w:eastAsia="zh-Hans"/>
        </w:rPr>
        <w:t>所以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为了</w:t>
      </w:r>
      <w:r>
        <w:rPr>
          <w:rFonts w:ascii="幼圆" w:eastAsia="幼圆" w:hAnsi="幼圆" w:cs="幼圆" w:hint="eastAsia"/>
          <w:sz w:val="24"/>
          <w:lang w:eastAsia="zh-Hans"/>
        </w:rPr>
        <w:t>提高</w:t>
      </w:r>
      <w:r>
        <w:rPr>
          <w:rFonts w:ascii="幼圆" w:eastAsia="幼圆" w:hAnsi="幼圆" w:cs="幼圆" w:hint="eastAsia"/>
          <w:sz w:val="24"/>
          <w:lang w:val="en-US" w:eastAsia="zh-Hans"/>
        </w:rPr>
        <w:t>企业的</w:t>
      </w:r>
      <w:r>
        <w:rPr>
          <w:rFonts w:ascii="幼圆" w:eastAsia="幼圆" w:hAnsi="幼圆" w:cs="幼圆" w:hint="eastAsia"/>
          <w:sz w:val="24"/>
          <w:lang w:eastAsia="zh-Hans"/>
        </w:rPr>
        <w:t>经济效益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可以对财务风险进行科学的预防与管理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3" w:name="_Toc1197738396_WPSOffice_Level2"/>
      <w:bookmarkStart w:id="34" w:name="_Toc1113222426"/>
      <w:bookmarkStart w:id="35" w:name="_Toc26615805_WPSOffice_Level2"/>
      <w:bookmarkStart w:id="36" w:name="_Toc1960520471_WPSOffice_Level2"/>
      <w:r>
        <w:rPr>
          <w:rFonts w:ascii="幼圆" w:eastAsia="幼圆" w:hAnsi="幼圆" w:cs="幼圆" w:hint="eastAsia"/>
          <w:sz w:val="24"/>
          <w:lang w:eastAsia="zh-Hans"/>
        </w:rPr>
        <w:t>3.不确定性</w:t>
      </w:r>
      <w:bookmarkEnd w:id="33"/>
      <w:bookmarkEnd w:id="34"/>
      <w:bookmarkEnd w:id="35"/>
      <w:bookmarkEnd w:id="36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7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在财务活动的</w:t>
      </w:r>
      <w:r>
        <w:rPr>
          <w:rFonts w:ascii="幼圆" w:eastAsia="幼圆" w:hAnsi="幼圆" w:cs="幼圆" w:hint="eastAsia"/>
          <w:sz w:val="24"/>
          <w:lang w:val="en-US" w:eastAsia="zh-Hans"/>
        </w:rPr>
        <w:t>进</w:t>
      </w:r>
      <w:r>
        <w:rPr>
          <w:rFonts w:ascii="幼圆" w:eastAsia="幼圆" w:hAnsi="幼圆" w:cs="幼圆" w:hint="eastAsia"/>
          <w:sz w:val="24"/>
          <w:lang w:eastAsia="zh-Hans"/>
        </w:rPr>
        <w:t>程</w:t>
      </w:r>
      <w:r>
        <w:rPr>
          <w:rFonts w:ascii="幼圆" w:eastAsia="幼圆" w:hAnsi="幼圆" w:cs="幼圆" w:hint="eastAsia"/>
          <w:sz w:val="24"/>
          <w:lang w:val="en-US" w:eastAsia="zh-Hans"/>
        </w:rPr>
        <w:t>与成</w:t>
      </w:r>
      <w:r>
        <w:rPr>
          <w:rFonts w:ascii="幼圆" w:eastAsia="幼圆" w:hAnsi="幼圆" w:cs="幼圆" w:hint="eastAsia"/>
          <w:sz w:val="24"/>
          <w:lang w:eastAsia="zh-Hans"/>
        </w:rPr>
        <w:t>果中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财务系统面临着许多不确定性因素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例如如果企业出现突发情况或者有无法追回损失的货款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那么企业的初始收入将有所下降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同时也可能因为运营的风险引起企业的财务风险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(梅安然 ,宁心怡, 欧阳,2022)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如果投资者对未来前景充满不确定因素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</w:t>
      </w:r>
      <w:r>
        <w:rPr>
          <w:rFonts w:ascii="幼圆" w:eastAsia="幼圆" w:hAnsi="幼圆" w:cs="幼圆" w:hint="eastAsia"/>
          <w:sz w:val="24"/>
          <w:lang w:val="en-US" w:eastAsia="zh-Hans"/>
        </w:rPr>
        <w:t>应对</w:t>
      </w:r>
      <w:r>
        <w:rPr>
          <w:rFonts w:ascii="幼圆" w:eastAsia="幼圆" w:hAnsi="幼圆" w:cs="幼圆" w:hint="eastAsia"/>
          <w:sz w:val="24"/>
          <w:lang w:eastAsia="zh-Hans"/>
        </w:rPr>
        <w:t>风险可能会获得更多的回报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也可能会给企业带来亏</w:t>
      </w:r>
      <w:r>
        <w:rPr>
          <w:rFonts w:ascii="幼圆" w:eastAsia="幼圆" w:hAnsi="幼圆" w:cs="幼圆" w:hint="eastAsia"/>
          <w:sz w:val="24"/>
          <w:szCs w:val="24"/>
          <w:lang w:eastAsia="zh-Hans"/>
        </w:rPr>
        <w:t>损</w:t>
      </w:r>
      <w:r>
        <w:rPr>
          <w:rFonts w:ascii="幼圆" w:eastAsia="幼圆" w:hAnsi="幼圆" w:cs="幼圆" w:hint="eastAsia"/>
          <w:sz w:val="24"/>
          <w:szCs w:val="24"/>
          <w:lang w:val="en-US" w:eastAsia="zh-Hans"/>
        </w:rPr>
        <w:t>甚至受到冲击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37" w:name="_Toc2024998241_WPSOffice_Level2"/>
      <w:bookmarkStart w:id="38" w:name="_Toc1625960176_WPSOffice_Level2"/>
      <w:bookmarkStart w:id="39" w:name="_Toc1345948619"/>
      <w:bookmarkStart w:id="40" w:name="_Toc1051781118"/>
      <w:bookmarkStart w:id="41" w:name="_Toc655236059_WPSOffice_Level2"/>
      <w:bookmarkStart w:id="42" w:name="_Toc2115965310"/>
      <w:r>
        <w:rPr>
          <w:rFonts w:ascii="幼圆" w:eastAsia="幼圆" w:hAnsi="幼圆" w:cs="幼圆" w:hint="eastAsia"/>
          <w:sz w:val="24"/>
          <w:lang w:eastAsia="zh-Hans"/>
        </w:rPr>
        <w:t>4.全面性</w:t>
      </w:r>
      <w:bookmarkEnd w:id="37"/>
      <w:bookmarkEnd w:id="38"/>
      <w:bookmarkEnd w:id="39"/>
      <w:bookmarkEnd w:id="40"/>
      <w:bookmarkEnd w:id="41"/>
      <w:bookmarkEnd w:id="42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企业财务风险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涉及到整个</w:t>
      </w:r>
      <w:r>
        <w:rPr>
          <w:rFonts w:ascii="幼圆" w:eastAsia="幼圆" w:hAnsi="幼圆" w:cs="幼圆" w:hint="eastAsia"/>
          <w:sz w:val="24"/>
          <w:lang w:eastAsia="zh-Hans"/>
        </w:rPr>
        <w:t>财务管理</w:t>
      </w:r>
      <w:r>
        <w:rPr>
          <w:rFonts w:ascii="幼圆" w:eastAsia="幼圆" w:hAnsi="幼圆" w:cs="幼圆" w:hint="eastAsia"/>
          <w:sz w:val="24"/>
          <w:lang w:val="en-US" w:eastAsia="zh-Hans"/>
        </w:rPr>
        <w:t>过程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在企业的各个财务关系中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都</w:t>
      </w:r>
      <w:r>
        <w:rPr>
          <w:rFonts w:ascii="幼圆" w:eastAsia="幼圆" w:hAnsi="幼圆" w:cs="幼圆" w:hint="eastAsia"/>
          <w:sz w:val="24"/>
          <w:lang w:val="en-US" w:eastAsia="zh-Hans"/>
        </w:rPr>
        <w:t>有</w:t>
      </w:r>
      <w:r>
        <w:rPr>
          <w:rFonts w:ascii="幼圆" w:eastAsia="幼圆" w:hAnsi="幼圆" w:cs="幼圆" w:hint="eastAsia"/>
          <w:sz w:val="24"/>
          <w:lang w:eastAsia="zh-Hans"/>
        </w:rPr>
        <w:t>着一定的财务风险</w:t>
      </w:r>
      <w:bookmarkStart w:id="43" w:name="_Toc783269957_WPSOffice_Level2"/>
      <w:bookmarkStart w:id="44" w:name="_Toc1347351769"/>
      <w:bookmarkStart w:id="45" w:name="_Toc824598831_WPSOffice_Level2"/>
      <w:bookmarkStart w:id="46" w:name="_Toc699770850"/>
      <w:bookmarkStart w:id="47" w:name="_Toc1913185682"/>
      <w:bookmarkStart w:id="48" w:name="_Toc256301797_WPSOffice_Level2"/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若</w:t>
      </w:r>
      <w:r>
        <w:rPr>
          <w:rFonts w:ascii="幼圆" w:eastAsia="幼圆" w:hAnsi="幼圆" w:cs="幼圆" w:hint="eastAsia"/>
          <w:sz w:val="24"/>
          <w:lang w:eastAsia="zh-Hans"/>
        </w:rPr>
        <w:t>不能正确地评价和梳理</w:t>
      </w:r>
      <w:r>
        <w:rPr>
          <w:rFonts w:ascii="幼圆" w:eastAsia="幼圆" w:hAnsi="幼圆" w:cs="幼圆" w:hint="eastAsia"/>
          <w:sz w:val="24"/>
          <w:lang w:val="en-US" w:eastAsia="zh-Hans"/>
        </w:rPr>
        <w:t>财务</w:t>
      </w:r>
      <w:r>
        <w:rPr>
          <w:rFonts w:ascii="幼圆" w:eastAsia="幼圆" w:hAnsi="幼圆" w:cs="幼圆" w:hint="eastAsia"/>
          <w:sz w:val="24"/>
          <w:lang w:eastAsia="zh-Hans"/>
        </w:rPr>
        <w:t>风险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反而会在某种意义上掩盖财务风险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5.损失性</w:t>
      </w:r>
      <w:bookmarkEnd w:id="43"/>
      <w:bookmarkEnd w:id="44"/>
      <w:bookmarkEnd w:id="45"/>
      <w:bookmarkEnd w:id="46"/>
      <w:bookmarkEnd w:id="47"/>
      <w:bookmarkEnd w:id="48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财务风险</w:t>
      </w:r>
      <w:r>
        <w:rPr>
          <w:rFonts w:ascii="幼圆" w:eastAsia="幼圆" w:hAnsi="幼圆" w:cs="幼圆" w:hint="eastAsia"/>
          <w:sz w:val="24"/>
          <w:lang w:val="en-US" w:eastAsia="zh-Hans"/>
        </w:rPr>
        <w:t>常与亏</w:t>
      </w:r>
      <w:r>
        <w:rPr>
          <w:rFonts w:ascii="幼圆" w:eastAsia="幼圆" w:hAnsi="幼圆" w:cs="幼圆" w:hint="eastAsia"/>
          <w:sz w:val="24"/>
          <w:lang w:eastAsia="zh-Hans"/>
        </w:rPr>
        <w:t>损</w:t>
      </w:r>
      <w:r>
        <w:rPr>
          <w:rFonts w:ascii="幼圆" w:eastAsia="幼圆" w:hAnsi="幼圆" w:cs="幼圆" w:hint="eastAsia"/>
          <w:sz w:val="24"/>
          <w:lang w:val="en-US" w:eastAsia="zh-Hans"/>
        </w:rPr>
        <w:t>联系在一起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无论这些损失是真实的、隐性的还是定量的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它们都</w:t>
      </w:r>
      <w:r>
        <w:rPr>
          <w:rFonts w:ascii="幼圆" w:eastAsia="幼圆" w:hAnsi="幼圆" w:cs="幼圆" w:hint="eastAsia"/>
          <w:sz w:val="24"/>
          <w:lang w:val="en-US" w:eastAsia="zh-Hans"/>
        </w:rPr>
        <w:t>对</w:t>
      </w:r>
      <w:r>
        <w:rPr>
          <w:rFonts w:ascii="幼圆" w:eastAsia="幼圆" w:hAnsi="幼圆" w:cs="幼圆" w:hint="eastAsia"/>
          <w:sz w:val="24"/>
          <w:lang w:eastAsia="zh-Hans"/>
        </w:rPr>
        <w:t>企业的经济效益</w:t>
      </w:r>
      <w:r>
        <w:rPr>
          <w:rFonts w:ascii="幼圆" w:eastAsia="幼圆" w:hAnsi="幼圆" w:cs="幼圆" w:hint="eastAsia"/>
          <w:sz w:val="24"/>
          <w:lang w:val="en-US" w:eastAsia="zh-Hans"/>
        </w:rPr>
        <w:t>产生影响</w:t>
      </w:r>
      <w:r>
        <w:rPr>
          <w:rFonts w:ascii="幼圆" w:eastAsia="幼圆" w:hAnsi="幼圆" w:cs="幼圆" w:hint="eastAsia"/>
          <w:sz w:val="24"/>
          <w:lang w:val="en-US"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最终影响到企业的存亡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49" w:name="_Toc21319"/>
      <w:bookmarkStart w:id="50" w:name="_Toc1873607615"/>
      <w:bookmarkStart w:id="51" w:name="_Toc1841177198_WPSOffice_Level1"/>
      <w:bookmarkStart w:id="52" w:name="_Toc131639321_WPSOffice_Level1"/>
      <w:bookmarkStart w:id="53" w:name="_Toc1289055653_WPSOffice_Level1"/>
      <w:r>
        <w:rPr>
          <w:rFonts w:ascii="幼圆" w:eastAsia="幼圆" w:hAnsi="幼圆" w:cs="幼圆" w:hint="eastAsia"/>
          <w:sz w:val="24"/>
          <w:lang w:eastAsia="zh-Hans"/>
        </w:rPr>
        <w:t xml:space="preserve">(三) </w:t>
      </w:r>
      <w:r>
        <w:rPr>
          <w:rFonts w:ascii="幼圆" w:eastAsia="幼圆" w:hAnsi="幼圆" w:cs="幼圆" w:hint="eastAsia"/>
          <w:sz w:val="24"/>
        </w:rPr>
        <w:t>财务风险的</w:t>
      </w:r>
      <w:r>
        <w:rPr>
          <w:rFonts w:ascii="幼圆" w:eastAsia="幼圆" w:hAnsi="幼圆" w:cs="幼圆" w:hint="eastAsia"/>
          <w:sz w:val="24"/>
          <w:lang w:eastAsia="zh-Hans"/>
        </w:rPr>
        <w:t>评价与控制的相关理论</w:t>
      </w:r>
      <w:bookmarkEnd w:id="49"/>
      <w:bookmarkEnd w:id="50"/>
      <w:bookmarkEnd w:id="51"/>
      <w:bookmarkEnd w:id="52"/>
      <w:bookmarkEnd w:id="5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54" w:name="_Toc1959589944_WPSOffice_Level2"/>
      <w:bookmarkStart w:id="55" w:name="_Toc1170469344"/>
      <w:bookmarkStart w:id="56" w:name="_Toc343411189_WPSOffice_Level2"/>
      <w:bookmarkStart w:id="57" w:name="_Toc1320578526_WPSOffice_Level2"/>
      <w:r>
        <w:rPr>
          <w:rFonts w:ascii="幼圆" w:eastAsia="幼圆" w:hAnsi="幼圆" w:cs="幼圆" w:hint="eastAsia"/>
          <w:sz w:val="24"/>
          <w:lang w:eastAsia="zh-Hans"/>
        </w:rPr>
        <w:t>1.财务风险评价的概念及方法</w:t>
      </w:r>
      <w:bookmarkEnd w:id="54"/>
      <w:bookmarkEnd w:id="55"/>
      <w:bookmarkEnd w:id="56"/>
      <w:bookmarkEnd w:id="57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资产负债表、利润表和现金流量表是全面评价企业的财务状况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应收账款与企业盈利之间的关系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(潘悦玮 ,祁秋影,2021)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财务报表中包含的会计信息是公司内部财务关系的体现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在进行财务风险评价时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主要采用了多元线性评价法</w:t>
      </w:r>
      <w:r>
        <w:rPr>
          <w:rFonts w:ascii="幼圆" w:eastAsia="幼圆" w:hAnsi="幼圆" w:cs="幼圆" w:hint="eastAsia"/>
          <w:sz w:val="24"/>
          <w:lang w:eastAsia="zh-CN"/>
        </w:rPr>
        <w:t>、</w:t>
      </w:r>
      <w:r>
        <w:rPr>
          <w:rFonts w:ascii="幼圆" w:eastAsia="幼圆" w:hAnsi="幼圆" w:cs="幼圆" w:hint="eastAsia"/>
          <w:sz w:val="24"/>
          <w:lang w:eastAsia="zh-Hans"/>
        </w:rPr>
        <w:t>单变量分析模型判定法和综合评价法。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bookmarkStart w:id="58" w:name="_Toc163927603"/>
      <w:bookmarkStart w:id="59" w:name="_Toc1755797699"/>
      <w:bookmarkStart w:id="60" w:name="_Toc336596366"/>
      <w:bookmarkStart w:id="61" w:name="_Toc1832332604_WPSOffice_Level2"/>
      <w:bookmarkStart w:id="62" w:name="_Toc2011680621_WPSOffice_Level2"/>
      <w:bookmarkStart w:id="63" w:name="_Toc1267585207_WPSOffice_Level2"/>
      <w:r>
        <w:rPr>
          <w:rFonts w:ascii="幼圆" w:eastAsia="幼圆" w:hAnsi="幼圆" w:cs="幼圆" w:hint="eastAsia"/>
          <w:sz w:val="24"/>
          <w:lang w:eastAsia="zh-Hans"/>
        </w:rPr>
        <w:t>2.财务风险控制的概念及方法</w:t>
      </w:r>
      <w:bookmarkEnd w:id="58"/>
      <w:bookmarkEnd w:id="59"/>
      <w:bookmarkEnd w:id="60"/>
      <w:bookmarkEnd w:id="61"/>
      <w:bookmarkEnd w:id="62"/>
      <w:bookmarkEnd w:id="6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在财务管理过程中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通过运用相关资料及特定的方法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影响或调整经营者的财务活动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同时为了</w:t>
      </w:r>
      <w:r>
        <w:rPr>
          <w:rFonts w:ascii="幼圆" w:eastAsia="幼圆" w:hAnsi="幼圆" w:cs="幼圆" w:hint="eastAsia"/>
          <w:sz w:val="24"/>
          <w:lang w:eastAsia="zh-Hans"/>
        </w:rPr>
        <w:t>避免出现风险</w:t>
      </w:r>
      <w:r>
        <w:rPr>
          <w:rFonts w:ascii="幼圆" w:eastAsia="幼圆" w:hAnsi="幼圆" w:cs="幼圆" w:hint="eastAsia"/>
          <w:sz w:val="24"/>
          <w:lang w:val="en-US" w:eastAsia="zh-Hans"/>
        </w:rPr>
        <w:t>而实现可能的预期财务目标</w:t>
      </w:r>
      <w:r>
        <w:rPr>
          <w:rFonts w:ascii="幼圆" w:eastAsia="幼圆" w:hAnsi="幼圆" w:cs="幼圆" w:hint="eastAsia"/>
          <w:sz w:val="24"/>
          <w:lang w:eastAsia="zh-Hans"/>
        </w:rPr>
        <w:t>被称为财务风险控制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财务风险控制的方法包括防护控制、前馈控制和反馈控制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(饶雨彤, 孙婉静, 田韵,2022)</w:t>
      </w:r>
      <w:r>
        <w:rPr>
          <w:rFonts w:ascii="幼圆" w:eastAsia="幼圆" w:hAnsi="幼圆" w:cs="幼圆" w:hint="eastAsia"/>
          <w:sz w:val="24"/>
          <w:lang w:eastAsia="zh-Hans"/>
        </w:rPr>
        <w:t>。</w:t>
      </w:r>
    </w:p>
    <w:p>
      <w:pPr>
        <w:pStyle w:val="Heading1"/>
        <w:spacing w:before="0" w:after="0" w:line="360" w:lineRule="auto"/>
        <w:rPr>
          <w:rFonts w:ascii="幼圆" w:eastAsia="幼圆" w:hAnsi="幼圆" w:cs="幼圆" w:hint="eastAsia"/>
          <w:sz w:val="28"/>
          <w:szCs w:val="28"/>
          <w:lang w:eastAsia="zh-Hans"/>
        </w:rPr>
      </w:pPr>
      <w:bookmarkStart w:id="64" w:name="_Toc835510334_WPSOffice_Level1"/>
      <w:bookmarkStart w:id="65" w:name="_Toc439273030_WPSOffice_Level1"/>
      <w:bookmarkStart w:id="66" w:name="_Toc25432"/>
      <w:bookmarkStart w:id="67" w:name="_Toc469042505"/>
      <w:bookmarkStart w:id="68" w:name="_Toc251273314_WPSOffice_Level1"/>
      <w:r>
        <w:rPr>
          <w:rFonts w:ascii="幼圆" w:eastAsia="幼圆" w:hAnsi="幼圆" w:cs="幼圆" w:hint="eastAsia"/>
          <w:sz w:val="28"/>
          <w:szCs w:val="28"/>
          <w:lang w:eastAsia="zh-Hans"/>
        </w:rPr>
        <w:t>二、</w:t>
      </w:r>
      <w:r>
        <w:rPr>
          <w:rFonts w:ascii="幼圆" w:eastAsia="幼圆" w:hAnsi="幼圆" w:cs="幼圆" w:hint="eastAsia"/>
          <w:sz w:val="28"/>
          <w:szCs w:val="28"/>
          <w:lang w:eastAsia="zh-CN"/>
        </w:rPr>
        <w:t>厦门九牧王</w:t>
      </w:r>
      <w:r>
        <w:rPr>
          <w:rFonts w:ascii="幼圆" w:eastAsia="幼圆" w:hAnsi="幼圆" w:cs="幼圆" w:hint="eastAsia"/>
          <w:sz w:val="28"/>
          <w:szCs w:val="28"/>
          <w:lang w:eastAsia="zh-Hans"/>
        </w:rPr>
        <w:t>公司的基本情况及财务风险识别</w:t>
      </w:r>
      <w:bookmarkEnd w:id="64"/>
      <w:bookmarkEnd w:id="65"/>
      <w:bookmarkEnd w:id="66"/>
      <w:bookmarkEnd w:id="67"/>
      <w:bookmarkEnd w:id="68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sz w:val="24"/>
          <w:lang w:val="en-US" w:eastAsia="zh-CN"/>
        </w:rPr>
        <w:t>厦门九牧王公司是我国男装休闲行业的代表性企业，深耕男装休闲领域多年，厦门九牧王在曾经在2020-2022年三年连续获得我国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国家男装休闲企业荣誉金奖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国家优质纳税企业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以及入围了华润排行榜排出的</w:t>
      </w:r>
      <w:r>
        <w:rPr>
          <w:rFonts w:ascii="幼圆" w:eastAsia="幼圆" w:hAnsi="幼圆" w:cs="幼圆" w:hint="eastAsia"/>
          <w:sz w:val="24"/>
          <w:lang w:val="en-US" w:eastAsia="zh-CN"/>
        </w:rPr>
        <w:t>“</w:t>
      </w:r>
      <w:r>
        <w:rPr>
          <w:rFonts w:ascii="幼圆" w:eastAsia="幼圆" w:hAnsi="幼圆" w:cs="幼圆" w:hint="eastAsia"/>
          <w:sz w:val="24"/>
          <w:lang w:val="en-US" w:eastAsia="zh-CN"/>
        </w:rPr>
        <w:t>全球优质男装休闲企业500强</w:t>
      </w:r>
      <w:r>
        <w:rPr>
          <w:rFonts w:ascii="幼圆" w:eastAsia="幼圆" w:hAnsi="幼圆" w:cs="幼圆" w:hint="eastAsia"/>
          <w:sz w:val="24"/>
          <w:lang w:val="en-US" w:eastAsia="zh-CN"/>
        </w:rPr>
        <w:t>”</w:t>
      </w:r>
      <w:r>
        <w:rPr>
          <w:rFonts w:ascii="幼圆" w:eastAsia="幼圆" w:hAnsi="幼圆" w:cs="幼圆" w:hint="eastAsia"/>
          <w:sz w:val="24"/>
          <w:lang w:val="en-US" w:eastAsia="zh-CN"/>
        </w:rPr>
        <w:t>。厦门九牧王的发展是我国男装休闲企业改革创新的缩影，因此能够在很大程度上代表着我国男装休闲企业的发展状况。</w:t>
      </w:r>
    </w:p>
    <w:p>
      <w:pPr>
        <w:pStyle w:val="Heading2"/>
        <w:spacing w:before="0" w:after="0" w:line="360" w:lineRule="auto"/>
        <w:ind w:firstLine="480" w:firstLineChars="200"/>
        <w:rPr>
          <w:rFonts w:ascii="幼圆" w:eastAsia="幼圆" w:hAnsi="幼圆" w:cs="幼圆" w:hint="eastAsia"/>
          <w:lang w:eastAsia="zh-Hans"/>
        </w:rPr>
      </w:pPr>
      <w:bookmarkStart w:id="69" w:name="_Toc1152047678_WPSOffice_Level2"/>
      <w:bookmarkStart w:id="70" w:name="_Toc1932397045"/>
      <w:bookmarkStart w:id="71" w:name="_Toc417557548_WPSOffice_Level2"/>
      <w:bookmarkStart w:id="72" w:name="_Toc444009536_WPSOffice_Level2"/>
      <w:bookmarkStart w:id="73" w:name="_Toc21417"/>
      <w:r>
        <w:rPr>
          <w:rFonts w:ascii="幼圆" w:eastAsia="幼圆" w:hAnsi="幼圆" w:cs="幼圆" w:hint="eastAsia"/>
          <w:sz w:val="24"/>
          <w:lang w:eastAsia="zh-Hans"/>
        </w:rPr>
        <w:t xml:space="preserve">(一) 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</w:rPr>
        <w:t>公司</w:t>
      </w:r>
      <w:bookmarkEnd w:id="69"/>
      <w:bookmarkEnd w:id="70"/>
      <w:bookmarkEnd w:id="71"/>
      <w:bookmarkEnd w:id="72"/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经营现状分析</w:t>
      </w:r>
      <w:bookmarkEnd w:id="73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val="en-US" w:eastAsia="zh-Hans"/>
        </w:rPr>
        <w:t>本部分</w:t>
      </w:r>
      <w:r>
        <w:rPr>
          <w:rFonts w:ascii="幼圆" w:eastAsia="幼圆" w:hAnsi="幼圆" w:cs="幼圆" w:hint="eastAsia"/>
          <w:sz w:val="24"/>
          <w:lang w:eastAsia="zh-Hans"/>
        </w:rPr>
        <w:t>主要从利润表、资产负债表和现金流量表</w:t>
      </w:r>
      <w:r>
        <w:rPr>
          <w:rFonts w:ascii="幼圆" w:eastAsia="幼圆" w:hAnsi="幼圆" w:cs="幼圆" w:hint="eastAsia"/>
          <w:sz w:val="24"/>
          <w:lang w:val="en-US" w:eastAsia="zh-Hans"/>
        </w:rPr>
        <w:t>来分析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公司经营现状。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1.利润表分析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  <w:sectPr>
          <w:footerReference w:type="default" r:id="rId8"/>
          <w:type w:val="nextPage"/>
          <w:pgSz w:w="11850" w:h="16783"/>
          <w:pgMar w:top="1417" w:right="1134" w:bottom="1417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space="708"/>
          <w:titlePg w:val="0"/>
          <w:rtlGutter w:val="0"/>
          <w:docGrid w:type="lines" w:linePitch="312" w:charSpace="0"/>
        </w:sectPr>
      </w:pPr>
      <w:r>
        <w:rPr>
          <w:rFonts w:ascii="幼圆" w:eastAsia="幼圆" w:hAnsi="幼圆" w:cs="幼圆" w:hint="eastAsia"/>
          <w:sz w:val="24"/>
          <w:lang w:eastAsia="zh-Hans"/>
        </w:rPr>
        <w:t>利润表是反映企业在</w:t>
      </w:r>
      <w:r>
        <w:rPr>
          <w:rFonts w:ascii="幼圆" w:eastAsia="幼圆" w:hAnsi="幼圆" w:cs="幼圆" w:hint="eastAsia"/>
          <w:sz w:val="24"/>
          <w:lang w:val="en-US" w:eastAsia="zh-Hans"/>
        </w:rPr>
        <w:t>一个</w:t>
      </w:r>
      <w:r>
        <w:rPr>
          <w:rFonts w:ascii="幼圆" w:eastAsia="幼圆" w:hAnsi="幼圆" w:cs="幼圆" w:hint="eastAsia"/>
          <w:sz w:val="24"/>
          <w:lang w:eastAsia="zh-Hans"/>
        </w:rPr>
        <w:t>会计</w:t>
      </w:r>
      <w:r>
        <w:rPr>
          <w:rFonts w:ascii="幼圆" w:eastAsia="幼圆" w:hAnsi="幼圆" w:cs="幼圆" w:hint="eastAsia"/>
          <w:sz w:val="24"/>
          <w:lang w:val="en-US" w:eastAsia="zh-Hans"/>
        </w:rPr>
        <w:t>年度内</w:t>
      </w:r>
      <w:r>
        <w:rPr>
          <w:rFonts w:ascii="幼圆" w:eastAsia="幼圆" w:hAnsi="幼圆" w:cs="幼圆" w:hint="eastAsia"/>
          <w:sz w:val="24"/>
          <w:lang w:eastAsia="zh-Hans"/>
        </w:rPr>
        <w:t>经营成果的财务</w:t>
      </w:r>
      <w:r>
        <w:rPr>
          <w:rFonts w:ascii="幼圆" w:eastAsia="幼圆" w:hAnsi="幼圆" w:cs="幼圆" w:hint="eastAsia"/>
          <w:sz w:val="24"/>
          <w:lang w:val="en-US" w:eastAsia="zh-Hans"/>
        </w:rPr>
        <w:t>报表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lang w:eastAsia="zh-Hans"/>
        </w:rPr>
        <w:t>其具体内容主要取决于账户的要素和内容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如收入、费用和利润</w:t>
      </w:r>
      <w:r>
        <w:rPr>
          <w:rFonts w:ascii="幼圆" w:eastAsia="幼圆" w:hAnsi="幼圆" w:cs="幼圆" w:hint="eastAsia"/>
          <w:sz w:val="24"/>
          <w:lang w:val="en-US" w:eastAsia="zh-Hans"/>
        </w:rPr>
        <w:t>等</w:t>
      </w:r>
      <w:r>
        <w:rPr>
          <w:rFonts w:ascii="幼圆" w:eastAsia="幼圆" w:hAnsi="幼圆" w:cs="幼圆" w:hint="eastAsia"/>
          <w:sz w:val="24"/>
          <w:lang w:val="en-US" w:eastAsia="zh-CN"/>
        </w:rPr>
        <w:t>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本文整理了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年的财务数据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来</w:t>
      </w:r>
      <w:r>
        <w:rPr>
          <w:rFonts w:ascii="幼圆" w:eastAsia="幼圆" w:hAnsi="幼圆" w:cs="幼圆" w:hint="eastAsia"/>
          <w:sz w:val="24"/>
          <w:lang w:eastAsia="zh-Hans"/>
        </w:rPr>
        <w:t>对其利润表进行分析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具体如下：</w:t>
      </w:r>
    </w:p>
    <w:p>
      <w:pPr>
        <w:spacing w:line="360" w:lineRule="auto"/>
        <w:ind w:firstLine="420" w:firstLineChars="200"/>
        <w:jc w:val="both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Cs w:val="21"/>
          <w:lang w:eastAsia="zh-Hans"/>
        </w:rPr>
        <w:t xml:space="preserve">表2 </w:t>
      </w:r>
      <w:r>
        <w:rPr>
          <w:rFonts w:ascii="幼圆" w:eastAsia="幼圆" w:hAnsi="幼圆" w:cs="幼圆" w:hint="eastAsia"/>
          <w:szCs w:val="21"/>
          <w:lang w:eastAsia="zh-CN"/>
        </w:rPr>
        <w:t>厦门九牧王</w:t>
      </w:r>
      <w:r>
        <w:rPr>
          <w:rFonts w:ascii="幼圆" w:eastAsia="幼圆" w:hAnsi="幼圆" w:cs="幼圆" w:hint="eastAsia"/>
          <w:szCs w:val="21"/>
          <w:lang w:eastAsia="zh-Hans"/>
        </w:rPr>
        <w:t>公司</w:t>
      </w:r>
      <w:r>
        <w:rPr>
          <w:rFonts w:ascii="幼圆" w:eastAsia="幼圆" w:hAnsi="幼圆" w:cs="幼圆" w:hint="eastAsia"/>
          <w:szCs w:val="21"/>
          <w:lang w:eastAsia="zh-CN"/>
        </w:rPr>
        <w:t>2018</w:t>
      </w:r>
      <w:r>
        <w:rPr>
          <w:rFonts w:ascii="幼圆" w:eastAsia="幼圆" w:hAnsi="幼圆" w:cs="幼圆" w:hint="eastAsia"/>
          <w:szCs w:val="21"/>
          <w:lang w:eastAsia="zh-Hans"/>
        </w:rPr>
        <w:t>-</w:t>
      </w:r>
      <w:r>
        <w:rPr>
          <w:rFonts w:ascii="幼圆" w:eastAsia="幼圆" w:hAnsi="幼圆" w:cs="幼圆" w:hint="eastAsia"/>
          <w:szCs w:val="21"/>
          <w:lang w:eastAsia="zh-CN"/>
        </w:rPr>
        <w:t>2022</w:t>
      </w:r>
      <w:r>
        <w:rPr>
          <w:rFonts w:ascii="幼圆" w:eastAsia="幼圆" w:hAnsi="幼圆" w:cs="幼圆" w:hint="eastAsia"/>
          <w:szCs w:val="21"/>
          <w:lang w:eastAsia="zh-Hans"/>
        </w:rPr>
        <w:t>年利润表（单位：</w:t>
      </w:r>
      <w:r>
        <w:rPr>
          <w:rFonts w:ascii="幼圆" w:eastAsia="幼圆" w:hAnsi="幼圆" w:cs="幼圆" w:hint="eastAsia"/>
          <w:szCs w:val="21"/>
          <w:lang w:eastAsia="zh-CN"/>
        </w:rPr>
        <w:t>百万元</w:t>
      </w:r>
      <w:r>
        <w:rPr>
          <w:rFonts w:ascii="幼圆" w:eastAsia="幼圆" w:hAnsi="幼圆" w:cs="幼圆" w:hint="eastAsia"/>
          <w:szCs w:val="21"/>
          <w:lang w:eastAsia="zh-Hans"/>
        </w:rPr>
        <w:t>）</w:t>
      </w:r>
    </w:p>
    <w:tbl>
      <w:tblPr>
        <w:tblStyle w:val="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499"/>
        <w:gridCol w:w="1500"/>
        <w:gridCol w:w="1500"/>
        <w:gridCol w:w="1500"/>
        <w:gridCol w:w="1500"/>
        <w:gridCol w:w="150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2018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2019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2020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2021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2022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营业收入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684.34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1146.25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1749.15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2058.39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2458.66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毛利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72.49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151.54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221.92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285.54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367.52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营业利润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13.28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-415.97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145.35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128.44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202.59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利润总额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13.26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-415.98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145.42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128.34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202.53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4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净利润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4.92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-438.26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134.54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100.44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203.56</w:t>
            </w:r>
            <w:r>
              <w:rPr>
                <w:rStyle w:val="FootnoteReference"/>
                <w:rFonts w:ascii="幼圆" w:eastAsia="幼圆" w:hAnsi="幼圆" w:cs="幼圆" w:hint="eastAsia"/>
                <w:szCs w:val="21"/>
                <w:lang w:eastAsia="zh-Hans"/>
              </w:rPr>
              <w:footnoteReference w:id="2"/>
            </w:r>
          </w:p>
        </w:tc>
      </w:tr>
    </w:tbl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从上述表格可以得出以下结论: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年的营业收入与毛利都表现出上升的趋势。其中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在这五年的数值上</w:t>
      </w:r>
      <w:r>
        <w:rPr>
          <w:rFonts w:ascii="幼圆" w:eastAsia="幼圆" w:hAnsi="幼圆" w:cs="幼圆" w:hint="eastAsia"/>
          <w:sz w:val="24"/>
          <w:lang w:eastAsia="zh-CN"/>
        </w:rPr>
        <w:t>，厦门九牧王</w:t>
      </w:r>
      <w:r>
        <w:rPr>
          <w:rFonts w:ascii="幼圆" w:eastAsia="幼圆" w:hAnsi="幼圆" w:cs="幼圆" w:hint="eastAsia"/>
          <w:sz w:val="24"/>
          <w:lang w:eastAsia="zh-Hans"/>
        </w:rPr>
        <w:t>公司的利润方面出现了较大的波动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据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公司的官方回应称</w:t>
      </w:r>
      <w:r>
        <w:rPr>
          <w:rFonts w:ascii="幼圆" w:eastAsia="幼圆" w:hAnsi="幼圆" w:cs="幼圆" w:hint="eastAsia"/>
          <w:sz w:val="24"/>
          <w:lang w:eastAsia="zh-CN"/>
        </w:rPr>
        <w:t>，2019</w:t>
      </w:r>
      <w:r>
        <w:rPr>
          <w:rFonts w:ascii="幼圆" w:eastAsia="幼圆" w:hAnsi="幼圆" w:cs="幼圆" w:hint="eastAsia"/>
          <w:sz w:val="24"/>
          <w:lang w:eastAsia="zh-Hans"/>
        </w:rPr>
        <w:t>年的净利润之所以出现负值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是因为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发行了融资中的可转换可赎回优先股</w:t>
      </w:r>
      <w:r>
        <w:rPr>
          <w:rFonts w:ascii="幼圆" w:eastAsia="幼圆" w:hAnsi="幼圆" w:cs="幼圆" w:hint="eastAsia"/>
          <w:i w:val="0"/>
          <w:iCs w:val="0"/>
          <w:sz w:val="24"/>
          <w:szCs w:val="24"/>
          <w:lang w:val="en-US" w:eastAsia="zh-CN"/>
        </w:rPr>
        <w:t>(王语嫣 ,夏晓彤)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如果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公司经营情况良好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那么将会有更多的</w:t>
      </w:r>
      <w:r>
        <w:rPr>
          <w:rFonts w:ascii="幼圆" w:eastAsia="幼圆" w:hAnsi="幼圆" w:cs="幼圆" w:hint="eastAsia"/>
          <w:sz w:val="24"/>
          <w:lang w:eastAsia="zh-CN"/>
        </w:rPr>
        <w:t>男装休闲行业</w:t>
      </w:r>
      <w:r>
        <w:rPr>
          <w:rFonts w:ascii="幼圆" w:eastAsia="幼圆" w:hAnsi="幼圆" w:cs="幼圆" w:hint="eastAsia"/>
          <w:sz w:val="24"/>
          <w:lang w:eastAsia="zh-Hans"/>
        </w:rPr>
        <w:t>投资者选择将优先股的购买权利转变成普通股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从而使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公允价值提高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负债增加</w:t>
      </w:r>
      <w:r>
        <w:rPr>
          <w:rFonts w:ascii="幼圆" w:eastAsia="幼圆" w:hAnsi="幼圆" w:cs="幼圆" w:hint="eastAsia"/>
          <w:sz w:val="24"/>
          <w:lang w:val="en-US" w:eastAsia="zh-Hans"/>
        </w:rPr>
        <w:t>的同时则会导致</w:t>
      </w:r>
      <w:r>
        <w:rPr>
          <w:rFonts w:ascii="幼圆" w:eastAsia="幼圆" w:hAnsi="幼圆" w:cs="幼圆" w:hint="eastAsia"/>
          <w:sz w:val="24"/>
          <w:lang w:eastAsia="zh-Hans"/>
        </w:rPr>
        <w:t>利润表出现公允价值变动损失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所以仅从利润</w:t>
      </w:r>
      <w:r>
        <w:rPr>
          <w:rFonts w:ascii="幼圆" w:eastAsia="幼圆" w:hAnsi="幼圆" w:cs="幼圆" w:hint="eastAsia"/>
          <w:sz w:val="24"/>
          <w:lang w:val="en-US" w:eastAsia="zh-Hans"/>
        </w:rPr>
        <w:t>方面</w:t>
      </w:r>
      <w:r>
        <w:rPr>
          <w:rFonts w:ascii="幼圆" w:eastAsia="幼圆" w:hAnsi="幼圆" w:cs="幼圆" w:hint="eastAsia"/>
          <w:sz w:val="24"/>
          <w:lang w:eastAsia="zh-Hans"/>
        </w:rPr>
        <w:t>来判断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公司是否亏损是不合理的。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2.资产负债表分析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 w:val="24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资产负债表的主要</w:t>
      </w:r>
      <w:r>
        <w:rPr>
          <w:rFonts w:ascii="幼圆" w:eastAsia="幼圆" w:hAnsi="幼圆" w:cs="幼圆" w:hint="eastAsia"/>
          <w:sz w:val="24"/>
          <w:lang w:val="en-US" w:eastAsia="zh-Hans"/>
        </w:rPr>
        <w:t>用途</w:t>
      </w:r>
      <w:r>
        <w:rPr>
          <w:rFonts w:ascii="幼圆" w:eastAsia="幼圆" w:hAnsi="幼圆" w:cs="幼圆" w:hint="eastAsia"/>
          <w:sz w:val="24"/>
          <w:lang w:eastAsia="zh-Hans"/>
        </w:rPr>
        <w:t>是</w:t>
      </w:r>
      <w:r>
        <w:rPr>
          <w:rFonts w:ascii="幼圆" w:eastAsia="幼圆" w:hAnsi="幼圆" w:cs="幼圆" w:hint="eastAsia"/>
          <w:sz w:val="24"/>
          <w:lang w:val="en-US" w:eastAsia="zh-Hans"/>
        </w:rPr>
        <w:t>为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企业</w:t>
      </w:r>
      <w:r>
        <w:rPr>
          <w:rFonts w:ascii="幼圆" w:eastAsia="幼圆" w:hAnsi="幼圆" w:cs="幼圆" w:hint="eastAsia"/>
          <w:sz w:val="24"/>
          <w:lang w:val="en-US" w:eastAsia="zh-Hans"/>
        </w:rPr>
        <w:t>的</w:t>
      </w:r>
      <w:r>
        <w:rPr>
          <w:rFonts w:ascii="幼圆" w:eastAsia="幼圆" w:hAnsi="幼圆" w:cs="幼圆" w:hint="eastAsia"/>
          <w:sz w:val="24"/>
          <w:lang w:eastAsia="zh-Hans"/>
        </w:rPr>
        <w:t>财务状况</w:t>
      </w:r>
      <w:r>
        <w:rPr>
          <w:rFonts w:ascii="幼圆" w:eastAsia="幼圆" w:hAnsi="幼圆" w:cs="幼圆" w:hint="eastAsia"/>
          <w:sz w:val="24"/>
          <w:lang w:val="en-US" w:eastAsia="zh-Hans"/>
        </w:rPr>
        <w:t>提供</w:t>
      </w:r>
      <w:r>
        <w:rPr>
          <w:rFonts w:ascii="幼圆" w:eastAsia="幼圆" w:hAnsi="幼圆" w:cs="幼圆" w:hint="eastAsia"/>
          <w:sz w:val="24"/>
          <w:lang w:eastAsia="zh-Hans"/>
        </w:rPr>
        <w:t>信息</w:t>
      </w:r>
      <w:r>
        <w:rPr>
          <w:rFonts w:ascii="幼圆" w:eastAsia="幼圆" w:hAnsi="幼圆" w:cs="幼圆" w:hint="eastAsia"/>
          <w:sz w:val="24"/>
          <w:lang w:eastAsia="zh-CN"/>
        </w:rPr>
        <w:t>。</w:t>
      </w:r>
      <w:r>
        <w:rPr>
          <w:rFonts w:ascii="幼圆" w:eastAsia="幼圆" w:hAnsi="幼圆" w:cs="幼圆" w:hint="eastAsia"/>
          <w:sz w:val="24"/>
          <w:lang w:eastAsia="zh-Hans"/>
        </w:rPr>
        <w:t>资产负债表显示了</w:t>
      </w:r>
      <w:r>
        <w:rPr>
          <w:rFonts w:ascii="幼圆" w:eastAsia="幼圆" w:hAnsi="幼圆" w:cs="幼圆" w:hint="eastAsia"/>
          <w:sz w:val="24"/>
          <w:lang w:eastAsia="zh-CN"/>
        </w:rPr>
        <w:t>九牧王服饰</w:t>
      </w:r>
      <w:r>
        <w:rPr>
          <w:rFonts w:ascii="幼圆" w:eastAsia="幼圆" w:hAnsi="幼圆" w:cs="幼圆" w:hint="eastAsia"/>
          <w:sz w:val="24"/>
          <w:lang w:eastAsia="zh-Hans"/>
        </w:rPr>
        <w:t>企业拥有或控制的资源及其分配情况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以确定</w:t>
      </w:r>
      <w:r>
        <w:rPr>
          <w:rFonts w:ascii="幼圆" w:eastAsia="幼圆" w:hAnsi="幼圆" w:cs="幼圆" w:hint="eastAsia"/>
          <w:sz w:val="24"/>
          <w:lang w:eastAsia="zh-CN"/>
        </w:rPr>
        <w:t>男装休闲</w:t>
      </w:r>
      <w:r>
        <w:rPr>
          <w:rFonts w:ascii="幼圆" w:eastAsia="幼圆" w:hAnsi="幼圆" w:cs="幼圆" w:hint="eastAsia"/>
          <w:sz w:val="24"/>
          <w:lang w:eastAsia="zh-Hans"/>
        </w:rPr>
        <w:t>企业在特定时期如何产生利润。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 w:val="24"/>
          <w:lang w:eastAsia="zh-Hans"/>
        </w:rPr>
        <w:t>本文对</w:t>
      </w:r>
      <w:r>
        <w:rPr>
          <w:rFonts w:ascii="幼圆" w:eastAsia="幼圆" w:hAnsi="幼圆" w:cs="幼圆" w:hint="eastAsia"/>
          <w:sz w:val="24"/>
          <w:lang w:eastAsia="zh-CN"/>
        </w:rPr>
        <w:t>厦门九牧王</w:t>
      </w:r>
      <w:r>
        <w:rPr>
          <w:rFonts w:ascii="幼圆" w:eastAsia="幼圆" w:hAnsi="幼圆" w:cs="幼圆" w:hint="eastAsia"/>
          <w:sz w:val="24"/>
          <w:lang w:eastAsia="zh-Hans"/>
        </w:rPr>
        <w:t>公司</w:t>
      </w:r>
      <w:r>
        <w:rPr>
          <w:rFonts w:ascii="幼圆" w:eastAsia="幼圆" w:hAnsi="幼圆" w:cs="幼圆" w:hint="eastAsia"/>
          <w:sz w:val="24"/>
          <w:lang w:eastAsia="zh-CN"/>
        </w:rPr>
        <w:t>2018</w:t>
      </w:r>
      <w:r>
        <w:rPr>
          <w:rFonts w:ascii="幼圆" w:eastAsia="幼圆" w:hAnsi="幼圆" w:cs="幼圆" w:hint="eastAsia"/>
          <w:sz w:val="24"/>
          <w:lang w:eastAsia="zh-Hans"/>
        </w:rPr>
        <w:t>-</w:t>
      </w:r>
      <w:r>
        <w:rPr>
          <w:rFonts w:ascii="幼圆" w:eastAsia="幼圆" w:hAnsi="幼圆" w:cs="幼圆" w:hint="eastAsia"/>
          <w:sz w:val="24"/>
          <w:lang w:eastAsia="zh-CN"/>
        </w:rPr>
        <w:t>2022</w:t>
      </w:r>
      <w:r>
        <w:rPr>
          <w:rFonts w:ascii="幼圆" w:eastAsia="幼圆" w:hAnsi="幼圆" w:cs="幼圆" w:hint="eastAsia"/>
          <w:sz w:val="24"/>
          <w:lang w:eastAsia="zh-Hans"/>
        </w:rPr>
        <w:t>年的财务数据进行了梳理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val="en-US" w:eastAsia="zh-Hans"/>
        </w:rPr>
        <w:t>以此来对</w:t>
      </w:r>
      <w:r>
        <w:rPr>
          <w:rFonts w:ascii="幼圆" w:eastAsia="幼圆" w:hAnsi="幼圆" w:cs="幼圆" w:hint="eastAsia"/>
          <w:sz w:val="24"/>
          <w:lang w:eastAsia="zh-Hans"/>
        </w:rPr>
        <w:t>资产负债表进行分析</w:t>
      </w:r>
      <w:r>
        <w:rPr>
          <w:rFonts w:ascii="幼圆" w:eastAsia="幼圆" w:hAnsi="幼圆" w:cs="幼圆" w:hint="eastAsia"/>
          <w:sz w:val="24"/>
          <w:lang w:eastAsia="zh-CN"/>
        </w:rPr>
        <w:t>，</w:t>
      </w:r>
      <w:r>
        <w:rPr>
          <w:rFonts w:ascii="幼圆" w:eastAsia="幼圆" w:hAnsi="幼圆" w:cs="幼圆" w:hint="eastAsia"/>
          <w:sz w:val="24"/>
          <w:lang w:eastAsia="zh-Hans"/>
        </w:rPr>
        <w:t>具体如下：</w:t>
      </w:r>
    </w:p>
    <w:p>
      <w:pPr>
        <w:spacing w:line="360" w:lineRule="auto"/>
        <w:ind w:firstLine="420" w:firstLineChars="200"/>
        <w:jc w:val="center"/>
        <w:rPr>
          <w:rFonts w:ascii="幼圆" w:eastAsia="幼圆" w:hAnsi="幼圆" w:cs="幼圆" w:hint="eastAsia"/>
          <w:szCs w:val="21"/>
          <w:lang w:eastAsia="zh-Hans"/>
        </w:rPr>
      </w:pPr>
      <w:r>
        <w:rPr>
          <w:rFonts w:ascii="幼圆" w:eastAsia="幼圆" w:hAnsi="幼圆" w:cs="幼圆" w:hint="eastAsia"/>
          <w:szCs w:val="21"/>
          <w:lang w:eastAsia="zh-Hans"/>
        </w:rPr>
        <w:t xml:space="preserve">表1 </w:t>
      </w:r>
      <w:r>
        <w:rPr>
          <w:rFonts w:ascii="幼圆" w:eastAsia="幼圆" w:hAnsi="幼圆" w:cs="幼圆" w:hint="eastAsia"/>
          <w:szCs w:val="21"/>
          <w:lang w:eastAsia="zh-CN"/>
        </w:rPr>
        <w:t>厦门九牧王</w:t>
      </w:r>
      <w:r>
        <w:rPr>
          <w:rFonts w:ascii="幼圆" w:eastAsia="幼圆" w:hAnsi="幼圆" w:cs="幼圆" w:hint="eastAsia"/>
          <w:szCs w:val="21"/>
          <w:lang w:eastAsia="zh-Hans"/>
        </w:rPr>
        <w:t>公司</w:t>
      </w:r>
      <w:r>
        <w:rPr>
          <w:rFonts w:ascii="幼圆" w:eastAsia="幼圆" w:hAnsi="幼圆" w:cs="幼圆" w:hint="eastAsia"/>
          <w:szCs w:val="21"/>
          <w:lang w:eastAsia="zh-CN"/>
        </w:rPr>
        <w:t>2018</w:t>
      </w:r>
      <w:r>
        <w:rPr>
          <w:rFonts w:ascii="幼圆" w:eastAsia="幼圆" w:hAnsi="幼圆" w:cs="幼圆" w:hint="eastAsia"/>
          <w:szCs w:val="21"/>
          <w:lang w:eastAsia="zh-Hans"/>
        </w:rPr>
        <w:t>-</w:t>
      </w:r>
      <w:r>
        <w:rPr>
          <w:rFonts w:ascii="幼圆" w:eastAsia="幼圆" w:hAnsi="幼圆" w:cs="幼圆" w:hint="eastAsia"/>
          <w:szCs w:val="21"/>
          <w:lang w:eastAsia="zh-CN"/>
        </w:rPr>
        <w:t>2022</w:t>
      </w:r>
      <w:r>
        <w:rPr>
          <w:rFonts w:ascii="幼圆" w:eastAsia="幼圆" w:hAnsi="幼圆" w:cs="幼圆" w:hint="eastAsia"/>
          <w:szCs w:val="21"/>
          <w:lang w:eastAsia="zh-Hans"/>
        </w:rPr>
        <w:t>年资产负债表（单位：</w:t>
      </w:r>
      <w:r>
        <w:rPr>
          <w:rFonts w:ascii="幼圆" w:eastAsia="幼圆" w:hAnsi="幼圆" w:cs="幼圆" w:hint="eastAsia"/>
          <w:szCs w:val="21"/>
          <w:lang w:eastAsia="zh-CN"/>
        </w:rPr>
        <w:t>百万元</w:t>
      </w:r>
      <w:r>
        <w:rPr>
          <w:rFonts w:ascii="幼圆" w:eastAsia="幼圆" w:hAnsi="幼圆" w:cs="幼圆" w:hint="eastAsia"/>
          <w:szCs w:val="21"/>
          <w:lang w:eastAsia="zh-Hans"/>
        </w:rPr>
        <w:t>）</w:t>
      </w:r>
    </w:p>
    <w:tbl>
      <w:tblPr>
        <w:tblStyle w:val="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1994"/>
        <w:gridCol w:w="1214"/>
        <w:gridCol w:w="1389"/>
        <w:gridCol w:w="1420"/>
        <w:gridCol w:w="1404"/>
        <w:gridCol w:w="1243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rPr>
          <w:trHeight w:val="90"/>
        </w:trPr>
        <w:tc>
          <w:tcPr>
            <w:tcW w:w="19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项目</w:t>
            </w:r>
          </w:p>
        </w:tc>
        <w:tc>
          <w:tcPr>
            <w:tcW w:w="12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2018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38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2019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2020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4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2021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CN"/>
              </w:rPr>
              <w:t>2022</w:t>
            </w: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年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19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流动资产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306.36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611.38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1060.13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1375.39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szCs w:val="21"/>
                <w:lang w:eastAsia="zh-Hans"/>
              </w:rPr>
            </w:pPr>
            <w:r>
              <w:rPr>
                <w:rFonts w:ascii="幼圆" w:eastAsia="幼圆" w:hAnsi="幼圆" w:cs="幼圆" w:hint="eastAsia"/>
                <w:szCs w:val="21"/>
                <w:lang w:eastAsia="zh-Hans"/>
              </w:rPr>
              <w:t>1762.83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https://d.book118.com/878043035103006022</w:t>
        </w:r>
      </w:hyperlink>
    </w:p>
    <w:p/>
    <w:sectPr>
      <w:footerReference w:type="default" r:id="rId10"/>
      <w:type w:val="nextPage"/>
      <w:pgSz w:w="11850" w:h="16783"/>
      <w:pgMar w:top="1417" w:right="1134" w:bottom="1417" w:left="1701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5"/>
      <w:cols w:space="708"/>
      <w:titlePg w:val="0"/>
      <w:rtlGutter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88"/>
    <w:family w:val="roman"/>
    <w:pitch w:val="default"/>
    <w:sig w:usb0="E0002EFF" w:usb1="C000785B" w:usb2="00000009" w:usb3="00000000" w:csb0="401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width:25.65pt;height:25.65pt;margin-top:0;margin-left:205.9pt;mso-position-horizontal-relative:margin;mso-wrap-style:square;position:absolute;v-text-anchor:top;z-index:251658240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1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width:25.65pt;height:25.65pt;margin-top:0;margin-left:205.9pt;mso-position-horizontal-relative:margin;mso-wrap-style:square;position:absolute;v-text-anchor:top;z-index:251659264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2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1" type="#_x0000_t202" style="width:25.65pt;height:25.65pt;margin-top:0;margin-left:205.9pt;mso-position-horizontal-relative:margin;mso-wrap-style:square;position:absolute;v-text-anchor:top;z-index:251660288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3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2" type="#_x0000_t202" style="width:25.65pt;height:25.65pt;margin-top:0;margin-left:205.9pt;mso-position-horizontal-relative:margin;mso-wrap-style:square;position:absolute;v-text-anchor:top;z-index:251661312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4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3" type="#_x0000_t202" style="width:25.65pt;height:25.65pt;margin-top:0;margin-left:205.9pt;mso-position-horizontal-relative:margin;mso-wrap-style:square;position:absolute;v-text-anchor:top;z-index:251662336" filled="f" stroked="f" strokeweight="0.5pt">
          <v:fill o:detectmouseclick="t"/>
          <v:stroke linestyle="single"/>
          <o:lock v:ext="edit" aspectratio="f"/>
          <v:textbox style="layout-flow:horizontal" inset="0,0,0,0">
            <w:txbxContent>
              <w:p>
                <w:pPr>
                  <w:snapToGrid w:val="0"/>
                  <w:rPr>
                    <w:rFonts w:ascii="Times New Roman" w:hAnsi="Times New Roman" w:hint="default"/>
                    <w:sz w:val="18"/>
                  </w:rPr>
                </w:pP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t>6</w:t>
                </w:r>
                <w:r>
                  <w:rPr>
                    <w:rFonts w:ascii="Times New Roman" w:hAnsi="Times New Roman" w:cs="Times New Roman" w:hint="default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>
      <w:pPr>
        <w:spacing w:after="0" w:line="240" w:lineRule="auto"/>
      </w:pPr>
      <w:r>
        <w:separator/>
      </w:r>
    </w:p>
  </w:footnote>
  <w:footnote w:type="continuationSeparator" w:id="1">
    <w:p>
      <w:pPr>
        <w:spacing w:after="0" w:line="240" w:lineRule="auto"/>
      </w:pPr>
      <w:r>
        <w:continuationSeparator/>
      </w:r>
    </w:p>
  </w:footnote>
  <w:footnote w:id="2">
    <w:p>
      <w:pPr>
        <w:spacing w:line="360" w:lineRule="auto"/>
        <w:ind w:firstLine="360" w:firstLineChars="200"/>
        <w:jc w:val="left"/>
        <w:rPr>
          <w:rFonts w:ascii="宋体" w:hAnsi="宋体" w:cs="宋体"/>
          <w:sz w:val="24"/>
          <w:lang w:eastAsia="zh-Hans"/>
        </w:rPr>
      </w:pPr>
      <w:r>
        <w:rPr>
          <w:rStyle w:val="FootnoteReference"/>
          <w:rFonts w:ascii="Times New Roman Regular" w:eastAsia="楷体_GB2312" w:hAnsi="Times New Roman Regular" w:cs="Times New Roman Regular"/>
          <w:sz w:val="18"/>
          <w:szCs w:val="18"/>
        </w:rPr>
        <w:footnoteRef/>
      </w:r>
      <w:r>
        <w:rPr>
          <w:rFonts w:ascii="Times New Roman Regular" w:eastAsia="楷体_GB2312" w:hAnsi="Times New Roman Regular" w:cs="Times New Roman Regular"/>
          <w:sz w:val="18"/>
          <w:szCs w:val="18"/>
        </w:rPr>
        <w:t xml:space="preserve"> </w:t>
      </w:r>
      <w:r>
        <w:rPr>
          <w:rFonts w:ascii="楷体_GB2312" w:eastAsia="楷体_GB2312" w:hAnsi="楷体_GB2312" w:cs="楷体_GB2312" w:hint="eastAsia"/>
          <w:sz w:val="18"/>
          <w:szCs w:val="18"/>
          <w:lang w:eastAsia="zh-Hans"/>
        </w:rPr>
        <w:t>数据来源：同花顺财经</w:t>
      </w:r>
    </w:p>
    <w:p>
      <w:pPr>
        <w:pStyle w:val="FootnoteText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36EB2F"/>
    <w:multiLevelType w:val="singleLevel"/>
    <w:tmpl w:val="6236EB2F"/>
    <w:lvl w:ilvl="0">
      <w:start w:val="1"/>
      <w:numFmt w:val="decimal"/>
      <w:suff w:val="nothing"/>
      <w:lvlText w:val="（%1）"/>
      <w:lvlJc w:val="left"/>
    </w:lvl>
  </w:abstractNum>
  <w:abstractNum w:abstractNumId="1">
    <w:nsid w:val="62539047"/>
    <w:multiLevelType w:val="singleLevel"/>
    <w:tmpl w:val="62539047"/>
    <w:lvl w:ilvl="0">
      <w:start w:val="2"/>
      <w:numFmt w:val="chineseCounting"/>
      <w:suff w:val="space"/>
      <w:lvlText w:val="(%1)"/>
      <w:lvlJc w:val="left"/>
    </w:lvl>
  </w:abstractNum>
  <w:abstractNum w:abstractNumId="2">
    <w:nsid w:val="6253F36E"/>
    <w:multiLevelType w:val="singleLevel"/>
    <w:tmpl w:val="6253F36E"/>
    <w:lvl w:ilvl="0">
      <w:start w:val="4"/>
      <w:numFmt w:val="chineseCounting"/>
      <w:suff w:val="space"/>
      <w:lvlText w:val="(%1)"/>
      <w:lvlJc w:val="left"/>
    </w:lvl>
  </w:abstractNum>
  <w:abstractNum w:abstractNumId="3">
    <w:nsid w:val="625E70EC"/>
    <w:multiLevelType w:val="singleLevel"/>
    <w:tmpl w:val="625E70EC"/>
    <w:lvl w:ilvl="0">
      <w:start w:val="1"/>
      <w:numFmt w:val="decimal"/>
      <w:suff w:val="space"/>
      <w:lvlText w:val="(%1)"/>
      <w:lvlJc w:val="left"/>
    </w:lvl>
  </w:abstractNum>
  <w:abstractNum w:abstractNumId="4">
    <w:nsid w:val="625EC162"/>
    <w:multiLevelType w:val="singleLevel"/>
    <w:tmpl w:val="625EC162"/>
    <w:lvl w:ilvl="0">
      <w:start w:val="1"/>
      <w:numFmt w:val="decimal"/>
      <w:suff w:val="space"/>
      <w:lvlText w:val="(%1)"/>
      <w:lvlJc w:val="left"/>
    </w:lvl>
  </w:abstractNum>
  <w:abstractNum w:abstractNumId="5">
    <w:nsid w:val="6266257B"/>
    <w:multiLevelType w:val="singleLevel"/>
    <w:tmpl w:val="6266257B"/>
    <w:lvl w:ilvl="0">
      <w:start w:val="2"/>
      <w:numFmt w:val="chineseCounting"/>
      <w:suff w:val="space"/>
      <w:lvlText w:val="(%1)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HorizontalSpacing w:val="181"/>
  <w:drawingGridVerticalSpacing w:val="156"/>
  <w:noPunctuationKerning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footnotePr>
    <w:footnote w:id="0"/>
    <w:footnote w:id="1"/>
  </w:footnotePr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EA7172A"/>
    <w:rsid w:val="8DFDC1B2"/>
    <w:rsid w:val="8EDFD8AE"/>
    <w:rsid w:val="95BEAC2C"/>
    <w:rsid w:val="96E712ED"/>
    <w:rsid w:val="97BC2F13"/>
    <w:rsid w:val="97FDA1E8"/>
    <w:rsid w:val="987F76EC"/>
    <w:rsid w:val="9BFE4A4B"/>
    <w:rsid w:val="9BFEA716"/>
    <w:rsid w:val="9CDF9058"/>
    <w:rsid w:val="9FDB201E"/>
    <w:rsid w:val="9FDCD01B"/>
    <w:rsid w:val="9FFC409B"/>
    <w:rsid w:val="9FFE647E"/>
    <w:rsid w:val="A54F4946"/>
    <w:rsid w:val="A77F7A04"/>
    <w:rsid w:val="A7DE39E0"/>
    <w:rsid w:val="A7FF3A87"/>
    <w:rsid w:val="AB279863"/>
    <w:rsid w:val="AB995DBF"/>
    <w:rsid w:val="AB9F8DE4"/>
    <w:rsid w:val="ABEE1721"/>
    <w:rsid w:val="ABFF7A79"/>
    <w:rsid w:val="AC9E521C"/>
    <w:rsid w:val="ADB97D13"/>
    <w:rsid w:val="ADBF3BB8"/>
    <w:rsid w:val="AECEA1D8"/>
    <w:rsid w:val="AECFEAF1"/>
    <w:rsid w:val="AEFEE9F8"/>
    <w:rsid w:val="AF700104"/>
    <w:rsid w:val="AFFD078C"/>
    <w:rsid w:val="AFFF77DE"/>
    <w:rsid w:val="AFFFED23"/>
    <w:rsid w:val="B1B9867D"/>
    <w:rsid w:val="B3E7022C"/>
    <w:rsid w:val="B3FFFA63"/>
    <w:rsid w:val="B4FEB7B0"/>
    <w:rsid w:val="B57FDC14"/>
    <w:rsid w:val="B5CFA546"/>
    <w:rsid w:val="B6E22282"/>
    <w:rsid w:val="B6F28DFC"/>
    <w:rsid w:val="B6FFACF3"/>
    <w:rsid w:val="B71F1486"/>
    <w:rsid w:val="B77D2BBD"/>
    <w:rsid w:val="B77F333F"/>
    <w:rsid w:val="B77FE3AE"/>
    <w:rsid w:val="B7CA6E0B"/>
    <w:rsid w:val="B7DE8A39"/>
    <w:rsid w:val="B7DFC866"/>
    <w:rsid w:val="B7EFA269"/>
    <w:rsid w:val="B7EFB6AF"/>
    <w:rsid w:val="B7FBDC3E"/>
    <w:rsid w:val="B7FD7B01"/>
    <w:rsid w:val="B7FEE122"/>
    <w:rsid w:val="B8DF2108"/>
    <w:rsid w:val="B8FD1099"/>
    <w:rsid w:val="B9FFEC48"/>
    <w:rsid w:val="BADF69E3"/>
    <w:rsid w:val="BB1F4EC6"/>
    <w:rsid w:val="BB33319E"/>
    <w:rsid w:val="BB7B3014"/>
    <w:rsid w:val="BBBF7929"/>
    <w:rsid w:val="BCDD2414"/>
    <w:rsid w:val="BD6C534C"/>
    <w:rsid w:val="BD7D14AA"/>
    <w:rsid w:val="BDE7607C"/>
    <w:rsid w:val="BDFF0C2E"/>
    <w:rsid w:val="BE13E2F6"/>
    <w:rsid w:val="BE7FA837"/>
    <w:rsid w:val="BEB45852"/>
    <w:rsid w:val="BEB938F6"/>
    <w:rsid w:val="BEDF6E8C"/>
    <w:rsid w:val="BEF0CA0F"/>
    <w:rsid w:val="BEF94587"/>
    <w:rsid w:val="BF1D5562"/>
    <w:rsid w:val="BF3AF199"/>
    <w:rsid w:val="BF3DD003"/>
    <w:rsid w:val="BF7A22E0"/>
    <w:rsid w:val="BFAF2F75"/>
    <w:rsid w:val="BFB630E3"/>
    <w:rsid w:val="BFBCE0A1"/>
    <w:rsid w:val="BFBF0C88"/>
    <w:rsid w:val="BFBF94AC"/>
    <w:rsid w:val="BFC71546"/>
    <w:rsid w:val="BFCD2710"/>
    <w:rsid w:val="BFF4731A"/>
    <w:rsid w:val="BFFB6496"/>
    <w:rsid w:val="BFFBAB69"/>
    <w:rsid w:val="BFFE0528"/>
    <w:rsid w:val="BFFE8D39"/>
    <w:rsid w:val="BFFF64B1"/>
    <w:rsid w:val="BFFF8D31"/>
    <w:rsid w:val="C6BE7C26"/>
    <w:rsid w:val="C7BB0621"/>
    <w:rsid w:val="C7FB8D2A"/>
    <w:rsid w:val="C9FF9CFC"/>
    <w:rsid w:val="CD7E4AB1"/>
    <w:rsid w:val="CEBF1A45"/>
    <w:rsid w:val="CED6B3EA"/>
    <w:rsid w:val="CF8CD56B"/>
    <w:rsid w:val="CFBFCFFC"/>
    <w:rsid w:val="CFDF9860"/>
    <w:rsid w:val="CFF3ED08"/>
    <w:rsid w:val="CFF70127"/>
    <w:rsid w:val="CFFDEA89"/>
    <w:rsid w:val="CFFEB3A7"/>
    <w:rsid w:val="D17F81DF"/>
    <w:rsid w:val="D26FEA07"/>
    <w:rsid w:val="D33F0118"/>
    <w:rsid w:val="D3DE62B5"/>
    <w:rsid w:val="D3F95ED4"/>
    <w:rsid w:val="D553291F"/>
    <w:rsid w:val="D5E72C14"/>
    <w:rsid w:val="D6650CAE"/>
    <w:rsid w:val="D6FB1DED"/>
    <w:rsid w:val="D71D3644"/>
    <w:rsid w:val="D74EC174"/>
    <w:rsid w:val="D78F8898"/>
    <w:rsid w:val="D792FD97"/>
    <w:rsid w:val="D797BDDC"/>
    <w:rsid w:val="D7AF988B"/>
    <w:rsid w:val="D7BC8894"/>
    <w:rsid w:val="D7BD9607"/>
    <w:rsid w:val="D7BDA130"/>
    <w:rsid w:val="D7BF1703"/>
    <w:rsid w:val="D7E341E7"/>
    <w:rsid w:val="D7EEE4F2"/>
    <w:rsid w:val="D7F9FB0C"/>
    <w:rsid w:val="D7FF11EC"/>
    <w:rsid w:val="D9EFA755"/>
    <w:rsid w:val="D9FF8868"/>
    <w:rsid w:val="DA7F0248"/>
    <w:rsid w:val="DB5F2539"/>
    <w:rsid w:val="DB7F7E8E"/>
    <w:rsid w:val="DBEE8E2E"/>
    <w:rsid w:val="DCF59961"/>
    <w:rsid w:val="DD6669EB"/>
    <w:rsid w:val="DDD88C04"/>
    <w:rsid w:val="DDEF04FA"/>
    <w:rsid w:val="DDF3575E"/>
    <w:rsid w:val="DDFF1711"/>
    <w:rsid w:val="DDFF6359"/>
    <w:rsid w:val="DE7BD737"/>
    <w:rsid w:val="DEBEFCCF"/>
    <w:rsid w:val="DEBFCCC2"/>
    <w:rsid w:val="DED75360"/>
    <w:rsid w:val="DEE72263"/>
    <w:rsid w:val="DEEA151A"/>
    <w:rsid w:val="DEFDCDDA"/>
    <w:rsid w:val="DEFF51EA"/>
    <w:rsid w:val="DFAFC606"/>
    <w:rsid w:val="DFBD9A6A"/>
    <w:rsid w:val="DFBFBBD9"/>
    <w:rsid w:val="DFDF4675"/>
    <w:rsid w:val="DFE34807"/>
    <w:rsid w:val="DFE7712B"/>
    <w:rsid w:val="E23F02F4"/>
    <w:rsid w:val="E2D971ED"/>
    <w:rsid w:val="E37D30E8"/>
    <w:rsid w:val="E65FBDBD"/>
    <w:rsid w:val="E6FD9DC4"/>
    <w:rsid w:val="E72DD976"/>
    <w:rsid w:val="E73F8621"/>
    <w:rsid w:val="E76B7F04"/>
    <w:rsid w:val="E77F78C8"/>
    <w:rsid w:val="E7BFE670"/>
    <w:rsid w:val="E7EF3B57"/>
    <w:rsid w:val="E7FA988A"/>
    <w:rsid w:val="E8E7ACBD"/>
    <w:rsid w:val="E9F375EB"/>
    <w:rsid w:val="EADE4E41"/>
    <w:rsid w:val="EAFBD799"/>
    <w:rsid w:val="EB1D381C"/>
    <w:rsid w:val="EBBBB9E6"/>
    <w:rsid w:val="EBBEC872"/>
    <w:rsid w:val="EBD366B8"/>
    <w:rsid w:val="EBED6BEC"/>
    <w:rsid w:val="EBF3764D"/>
    <w:rsid w:val="EBFD5E75"/>
    <w:rsid w:val="EBFE0025"/>
    <w:rsid w:val="EBFE1ECC"/>
    <w:rsid w:val="EC1B5C17"/>
    <w:rsid w:val="ECEFECA7"/>
    <w:rsid w:val="ECFE18EB"/>
    <w:rsid w:val="EDBB7B81"/>
    <w:rsid w:val="EDEFDAE1"/>
    <w:rsid w:val="EDFAAA80"/>
    <w:rsid w:val="EDFF4378"/>
    <w:rsid w:val="EEB7DD99"/>
    <w:rsid w:val="EEBE2EAF"/>
    <w:rsid w:val="EEC7B0D6"/>
    <w:rsid w:val="EEDF1AFF"/>
    <w:rsid w:val="EEE96593"/>
    <w:rsid w:val="EF3F7808"/>
    <w:rsid w:val="EF5F1207"/>
    <w:rsid w:val="EF9BD0F9"/>
    <w:rsid w:val="EF9D695D"/>
    <w:rsid w:val="EFAD8A2A"/>
    <w:rsid w:val="EFBBEDE9"/>
    <w:rsid w:val="EFBF65DC"/>
    <w:rsid w:val="EFBFE43B"/>
    <w:rsid w:val="EFE58EDE"/>
    <w:rsid w:val="EFEFA92D"/>
    <w:rsid w:val="EFF968E6"/>
    <w:rsid w:val="EFFB103E"/>
    <w:rsid w:val="EFFBAB7E"/>
    <w:rsid w:val="EFFD9700"/>
    <w:rsid w:val="EFFF6B78"/>
    <w:rsid w:val="F04FD25D"/>
    <w:rsid w:val="F15D323B"/>
    <w:rsid w:val="F1AF43EA"/>
    <w:rsid w:val="F1FC57DF"/>
    <w:rsid w:val="F1FECE99"/>
    <w:rsid w:val="F27BD7FF"/>
    <w:rsid w:val="F2EFBE5B"/>
    <w:rsid w:val="F2FF8A54"/>
    <w:rsid w:val="F3132A1D"/>
    <w:rsid w:val="F338259D"/>
    <w:rsid w:val="F33C733C"/>
    <w:rsid w:val="F33E0070"/>
    <w:rsid w:val="F357A18C"/>
    <w:rsid w:val="F37F1AAF"/>
    <w:rsid w:val="F3B38E85"/>
    <w:rsid w:val="F3BE75A9"/>
    <w:rsid w:val="F3E7D67D"/>
    <w:rsid w:val="F3F7C38A"/>
    <w:rsid w:val="F3FD934A"/>
    <w:rsid w:val="F5BB75D5"/>
    <w:rsid w:val="F5D72499"/>
    <w:rsid w:val="F5F65285"/>
    <w:rsid w:val="F5FF792D"/>
    <w:rsid w:val="F67E69CC"/>
    <w:rsid w:val="F6B124F2"/>
    <w:rsid w:val="F6BF6A63"/>
    <w:rsid w:val="F6D367C5"/>
    <w:rsid w:val="F6F7BD29"/>
    <w:rsid w:val="F6FD1EC0"/>
    <w:rsid w:val="F6FE80AC"/>
    <w:rsid w:val="F71F66DB"/>
    <w:rsid w:val="F77D6C9C"/>
    <w:rsid w:val="F77F2AB1"/>
    <w:rsid w:val="F77FA8B0"/>
    <w:rsid w:val="F7B7B22D"/>
    <w:rsid w:val="F7E870B1"/>
    <w:rsid w:val="F7E9A0AC"/>
    <w:rsid w:val="F7EF18E9"/>
    <w:rsid w:val="F7F16BA4"/>
    <w:rsid w:val="F7F57916"/>
    <w:rsid w:val="F7FBB0AB"/>
    <w:rsid w:val="F7FDAE4E"/>
    <w:rsid w:val="F7FFA187"/>
    <w:rsid w:val="F7FFC0EF"/>
    <w:rsid w:val="F8CFA076"/>
    <w:rsid w:val="F8FD1CA4"/>
    <w:rsid w:val="F977AF21"/>
    <w:rsid w:val="F9D79925"/>
    <w:rsid w:val="F9F5C49B"/>
    <w:rsid w:val="F9FF7DF7"/>
    <w:rsid w:val="F9FFB404"/>
    <w:rsid w:val="FA76AA8C"/>
    <w:rsid w:val="FABB7501"/>
    <w:rsid w:val="FADFC4AF"/>
    <w:rsid w:val="FAE9EDA1"/>
    <w:rsid w:val="FAEF4F24"/>
    <w:rsid w:val="FAF767D1"/>
    <w:rsid w:val="FAFDFB1C"/>
    <w:rsid w:val="FB1DE2C4"/>
    <w:rsid w:val="FB2F1624"/>
    <w:rsid w:val="FB4F4CB4"/>
    <w:rsid w:val="FB6DAC8A"/>
    <w:rsid w:val="FB73FD44"/>
    <w:rsid w:val="FB7477A3"/>
    <w:rsid w:val="FB7C9D4A"/>
    <w:rsid w:val="FB9FB984"/>
    <w:rsid w:val="FBB69709"/>
    <w:rsid w:val="FBBDADE6"/>
    <w:rsid w:val="FBBF21A1"/>
    <w:rsid w:val="FBEB0F9B"/>
    <w:rsid w:val="FBFF2526"/>
    <w:rsid w:val="FC765082"/>
    <w:rsid w:val="FC7DD5E1"/>
    <w:rsid w:val="FCF4481B"/>
    <w:rsid w:val="FCFBCEC8"/>
    <w:rsid w:val="FCFC6CF3"/>
    <w:rsid w:val="FCFF9186"/>
    <w:rsid w:val="FD486FC5"/>
    <w:rsid w:val="FD6F9A56"/>
    <w:rsid w:val="FDAFAF47"/>
    <w:rsid w:val="FDE4DE9B"/>
    <w:rsid w:val="FDEFCEC8"/>
    <w:rsid w:val="FDF37AFF"/>
    <w:rsid w:val="FDF68412"/>
    <w:rsid w:val="FDF735AB"/>
    <w:rsid w:val="FDFFE412"/>
    <w:rsid w:val="FDFFF082"/>
    <w:rsid w:val="FE1E2577"/>
    <w:rsid w:val="FE2CE2D3"/>
    <w:rsid w:val="FE3F642D"/>
    <w:rsid w:val="FE6FA97F"/>
    <w:rsid w:val="FE77A58C"/>
    <w:rsid w:val="FE792988"/>
    <w:rsid w:val="FE7DE743"/>
    <w:rsid w:val="FE7E71A8"/>
    <w:rsid w:val="FE9B9474"/>
    <w:rsid w:val="FEB59186"/>
    <w:rsid w:val="FEBEE844"/>
    <w:rsid w:val="FEBF993B"/>
    <w:rsid w:val="FED715A0"/>
    <w:rsid w:val="FED9C5CB"/>
    <w:rsid w:val="FEDA6B23"/>
    <w:rsid w:val="FEEF2E8C"/>
    <w:rsid w:val="FEEFDADC"/>
    <w:rsid w:val="FEF22A5B"/>
    <w:rsid w:val="FEF53C7B"/>
    <w:rsid w:val="FEFD7919"/>
    <w:rsid w:val="FEFE2956"/>
    <w:rsid w:val="FEFF03A3"/>
    <w:rsid w:val="FEFFB081"/>
    <w:rsid w:val="FF1EB933"/>
    <w:rsid w:val="FF219420"/>
    <w:rsid w:val="FF375BF7"/>
    <w:rsid w:val="FF51DB83"/>
    <w:rsid w:val="FF53B26B"/>
    <w:rsid w:val="FF5B1CFC"/>
    <w:rsid w:val="FF5E2CD7"/>
    <w:rsid w:val="FF6B9BD9"/>
    <w:rsid w:val="FF6F1FC5"/>
    <w:rsid w:val="FF76D129"/>
    <w:rsid w:val="FF7755DB"/>
    <w:rsid w:val="FF7A0B33"/>
    <w:rsid w:val="FF7F06F4"/>
    <w:rsid w:val="FF7F6757"/>
    <w:rsid w:val="FF7FA68F"/>
    <w:rsid w:val="FFA5833B"/>
    <w:rsid w:val="FFB77472"/>
    <w:rsid w:val="FFBE938B"/>
    <w:rsid w:val="FFC32AD0"/>
    <w:rsid w:val="FFC72496"/>
    <w:rsid w:val="FFD35152"/>
    <w:rsid w:val="FFDF5D0C"/>
    <w:rsid w:val="FFDFE0A1"/>
    <w:rsid w:val="FFE73D2D"/>
    <w:rsid w:val="FFEB85C3"/>
    <w:rsid w:val="FFEDD0F6"/>
    <w:rsid w:val="FFEE60B3"/>
    <w:rsid w:val="FFEF19EC"/>
    <w:rsid w:val="FFEF51F8"/>
    <w:rsid w:val="FFEFCDCB"/>
    <w:rsid w:val="FFF71338"/>
    <w:rsid w:val="FFF7CB52"/>
    <w:rsid w:val="FFFA90BF"/>
    <w:rsid w:val="FFFB5589"/>
    <w:rsid w:val="FFFCA1F7"/>
    <w:rsid w:val="FFFD6E8F"/>
    <w:rsid w:val="FFFDEF3E"/>
    <w:rsid w:val="FFFE2405"/>
    <w:rsid w:val="FFFF4F85"/>
    <w:rsid w:val="FFFFF63B"/>
    <w:rsid w:val="00085071"/>
    <w:rsid w:val="000E6498"/>
    <w:rsid w:val="000E7913"/>
    <w:rsid w:val="000F142E"/>
    <w:rsid w:val="001A6443"/>
    <w:rsid w:val="00302600"/>
    <w:rsid w:val="003E3CED"/>
    <w:rsid w:val="00401E4E"/>
    <w:rsid w:val="004A4C1F"/>
    <w:rsid w:val="00561088"/>
    <w:rsid w:val="005C28A8"/>
    <w:rsid w:val="00611B21"/>
    <w:rsid w:val="00893B53"/>
    <w:rsid w:val="00A772B9"/>
    <w:rsid w:val="00AD7932"/>
    <w:rsid w:val="00AF2DA6"/>
    <w:rsid w:val="00C604CB"/>
    <w:rsid w:val="00C75E09"/>
    <w:rsid w:val="00DA1866"/>
    <w:rsid w:val="00E0117E"/>
    <w:rsid w:val="00E87516"/>
    <w:rsid w:val="00FB3350"/>
    <w:rsid w:val="00FD73F8"/>
    <w:rsid w:val="02733562"/>
    <w:rsid w:val="03F97F66"/>
    <w:rsid w:val="05250070"/>
    <w:rsid w:val="05D26C97"/>
    <w:rsid w:val="062D518D"/>
    <w:rsid w:val="07D23EA1"/>
    <w:rsid w:val="08FADF02"/>
    <w:rsid w:val="09097B5F"/>
    <w:rsid w:val="09943828"/>
    <w:rsid w:val="0AEF5A09"/>
    <w:rsid w:val="0BBF5B64"/>
    <w:rsid w:val="0BDF3351"/>
    <w:rsid w:val="0BF281A7"/>
    <w:rsid w:val="0EA54965"/>
    <w:rsid w:val="0F7FC074"/>
    <w:rsid w:val="0FDD7304"/>
    <w:rsid w:val="0FE70440"/>
    <w:rsid w:val="0FEA2C0D"/>
    <w:rsid w:val="0FFFDD59"/>
    <w:rsid w:val="10312962"/>
    <w:rsid w:val="10A03C4F"/>
    <w:rsid w:val="10DDDC50"/>
    <w:rsid w:val="115975B0"/>
    <w:rsid w:val="118F0F86"/>
    <w:rsid w:val="121E7095"/>
    <w:rsid w:val="125A615D"/>
    <w:rsid w:val="12E41DBE"/>
    <w:rsid w:val="13FD4609"/>
    <w:rsid w:val="16A469F0"/>
    <w:rsid w:val="16DB6FDD"/>
    <w:rsid w:val="178F4A35"/>
    <w:rsid w:val="17E6ABDC"/>
    <w:rsid w:val="17FF5013"/>
    <w:rsid w:val="18182936"/>
    <w:rsid w:val="189B0C6F"/>
    <w:rsid w:val="1A2C73A3"/>
    <w:rsid w:val="1AB044F2"/>
    <w:rsid w:val="1ADC608E"/>
    <w:rsid w:val="1B391661"/>
    <w:rsid w:val="1B9F787C"/>
    <w:rsid w:val="1BF66972"/>
    <w:rsid w:val="1BFD19ED"/>
    <w:rsid w:val="1BFE64D2"/>
    <w:rsid w:val="1C9043F2"/>
    <w:rsid w:val="1CEDCE16"/>
    <w:rsid w:val="1D97309B"/>
    <w:rsid w:val="1DD45526"/>
    <w:rsid w:val="1DFF5583"/>
    <w:rsid w:val="1E771E73"/>
    <w:rsid w:val="1EFF642E"/>
    <w:rsid w:val="1F182447"/>
    <w:rsid w:val="1FDE00EA"/>
    <w:rsid w:val="1FEF84B7"/>
    <w:rsid w:val="1FEFD69A"/>
    <w:rsid w:val="20804773"/>
    <w:rsid w:val="2293391B"/>
    <w:rsid w:val="245C369E"/>
    <w:rsid w:val="24697E9D"/>
    <w:rsid w:val="25EE5B79"/>
    <w:rsid w:val="26F7126A"/>
    <w:rsid w:val="27C820A4"/>
    <w:rsid w:val="27DBA40C"/>
    <w:rsid w:val="27FC156C"/>
    <w:rsid w:val="27FE7134"/>
    <w:rsid w:val="2957F779"/>
    <w:rsid w:val="2A0F65A8"/>
    <w:rsid w:val="2A1463EB"/>
    <w:rsid w:val="2BAD4921"/>
    <w:rsid w:val="2BBFCF75"/>
    <w:rsid w:val="2BDFAB19"/>
    <w:rsid w:val="2C5F175A"/>
    <w:rsid w:val="2D0C0EB6"/>
    <w:rsid w:val="2D99FACF"/>
    <w:rsid w:val="2D9BD214"/>
    <w:rsid w:val="2DEB5ECE"/>
    <w:rsid w:val="2EC61DB3"/>
    <w:rsid w:val="2EF714A4"/>
    <w:rsid w:val="2F3A2BFD"/>
    <w:rsid w:val="2FC65747"/>
    <w:rsid w:val="2FFB8446"/>
    <w:rsid w:val="2FFCB4B6"/>
    <w:rsid w:val="2FFF4A7C"/>
    <w:rsid w:val="30F61E34"/>
    <w:rsid w:val="31EFB2AF"/>
    <w:rsid w:val="33376983"/>
    <w:rsid w:val="333FF941"/>
    <w:rsid w:val="337B8714"/>
    <w:rsid w:val="337F7A06"/>
    <w:rsid w:val="33B77551"/>
    <w:rsid w:val="33DF2D8F"/>
    <w:rsid w:val="341D4230"/>
    <w:rsid w:val="360A2925"/>
    <w:rsid w:val="368F0CB2"/>
    <w:rsid w:val="36C671DD"/>
    <w:rsid w:val="36EBE2DD"/>
    <w:rsid w:val="372058AF"/>
    <w:rsid w:val="375EAC9F"/>
    <w:rsid w:val="377758CD"/>
    <w:rsid w:val="377DA400"/>
    <w:rsid w:val="37A5BD9B"/>
    <w:rsid w:val="37AF0D29"/>
    <w:rsid w:val="37D15D3E"/>
    <w:rsid w:val="37FBE5D9"/>
    <w:rsid w:val="37FF1607"/>
    <w:rsid w:val="3862200D"/>
    <w:rsid w:val="38FB6D88"/>
    <w:rsid w:val="3973BD5C"/>
    <w:rsid w:val="3A5B0610"/>
    <w:rsid w:val="3AED30C2"/>
    <w:rsid w:val="3AFA1F84"/>
    <w:rsid w:val="3B0EB925"/>
    <w:rsid w:val="3B635212"/>
    <w:rsid w:val="3B6640FE"/>
    <w:rsid w:val="3BCD233B"/>
    <w:rsid w:val="3BCF551E"/>
    <w:rsid w:val="3BDBD964"/>
    <w:rsid w:val="3BE7E250"/>
    <w:rsid w:val="3C4118F4"/>
    <w:rsid w:val="3CAD6C10"/>
    <w:rsid w:val="3CFFB5D3"/>
    <w:rsid w:val="3D093B98"/>
    <w:rsid w:val="3D3B2AAA"/>
    <w:rsid w:val="3D3F6331"/>
    <w:rsid w:val="3D571645"/>
    <w:rsid w:val="3D725291"/>
    <w:rsid w:val="3D7B8331"/>
    <w:rsid w:val="3D7BA364"/>
    <w:rsid w:val="3DBFA68C"/>
    <w:rsid w:val="3DCB3E29"/>
    <w:rsid w:val="3E3BF054"/>
    <w:rsid w:val="3E47028F"/>
    <w:rsid w:val="3E8C39B3"/>
    <w:rsid w:val="3EDF73C7"/>
    <w:rsid w:val="3EFD6D52"/>
    <w:rsid w:val="3EFF1631"/>
    <w:rsid w:val="3EFF2EB8"/>
    <w:rsid w:val="3F033812"/>
    <w:rsid w:val="3F3BE5E1"/>
    <w:rsid w:val="3F6F222A"/>
    <w:rsid w:val="3F77C094"/>
    <w:rsid w:val="3F7F4C73"/>
    <w:rsid w:val="3F9DF2FE"/>
    <w:rsid w:val="3F9E9EF2"/>
    <w:rsid w:val="3FAF57F7"/>
    <w:rsid w:val="3FBE1F22"/>
    <w:rsid w:val="3FBF1720"/>
    <w:rsid w:val="3FCF402C"/>
    <w:rsid w:val="3FD9CD05"/>
    <w:rsid w:val="3FDBE560"/>
    <w:rsid w:val="3FDEEB3D"/>
    <w:rsid w:val="3FDF3F71"/>
    <w:rsid w:val="3FDF40A1"/>
    <w:rsid w:val="3FE9022E"/>
    <w:rsid w:val="3FF57822"/>
    <w:rsid w:val="3FF75CF2"/>
    <w:rsid w:val="3FFD89EC"/>
    <w:rsid w:val="3FFDFA3E"/>
    <w:rsid w:val="3FFE17BC"/>
    <w:rsid w:val="40495E38"/>
    <w:rsid w:val="408C1D4B"/>
    <w:rsid w:val="40B85777"/>
    <w:rsid w:val="40CA1E8E"/>
    <w:rsid w:val="41DF121F"/>
    <w:rsid w:val="42436695"/>
    <w:rsid w:val="425F2B80"/>
    <w:rsid w:val="42BE0955"/>
    <w:rsid w:val="43CC12C7"/>
    <w:rsid w:val="450D1BB1"/>
    <w:rsid w:val="4553746A"/>
    <w:rsid w:val="45724EFB"/>
    <w:rsid w:val="4577128F"/>
    <w:rsid w:val="46FA5AF3"/>
    <w:rsid w:val="47EBFB9E"/>
    <w:rsid w:val="480615AB"/>
    <w:rsid w:val="48740A06"/>
    <w:rsid w:val="499F11AF"/>
    <w:rsid w:val="49C3A3B7"/>
    <w:rsid w:val="49DF544C"/>
    <w:rsid w:val="4A016B4A"/>
    <w:rsid w:val="4B033EB1"/>
    <w:rsid w:val="4B2F064D"/>
    <w:rsid w:val="4B77C86C"/>
    <w:rsid w:val="4DFC7028"/>
    <w:rsid w:val="4E5403C0"/>
    <w:rsid w:val="4FD24C6D"/>
    <w:rsid w:val="4FE77AEB"/>
    <w:rsid w:val="4FEFF8D0"/>
    <w:rsid w:val="4FF48BC1"/>
    <w:rsid w:val="4FF616FD"/>
    <w:rsid w:val="4FF9D091"/>
    <w:rsid w:val="50DDAA7A"/>
    <w:rsid w:val="5144008C"/>
    <w:rsid w:val="51D78166"/>
    <w:rsid w:val="52F97643"/>
    <w:rsid w:val="535B019A"/>
    <w:rsid w:val="53A54536"/>
    <w:rsid w:val="53AADD8F"/>
    <w:rsid w:val="53D82B83"/>
    <w:rsid w:val="53EF23AC"/>
    <w:rsid w:val="54380D99"/>
    <w:rsid w:val="55AF88F8"/>
    <w:rsid w:val="55B06D6D"/>
    <w:rsid w:val="55E74565"/>
    <w:rsid w:val="55FDF437"/>
    <w:rsid w:val="56177552"/>
    <w:rsid w:val="5689D697"/>
    <w:rsid w:val="56BBA06F"/>
    <w:rsid w:val="56E974D2"/>
    <w:rsid w:val="572A4F8A"/>
    <w:rsid w:val="572EDB27"/>
    <w:rsid w:val="577DB4B3"/>
    <w:rsid w:val="577F3CCB"/>
    <w:rsid w:val="57AF330F"/>
    <w:rsid w:val="57EEB122"/>
    <w:rsid w:val="57F79183"/>
    <w:rsid w:val="57FDA2F8"/>
    <w:rsid w:val="57FF19C5"/>
    <w:rsid w:val="583F6A3A"/>
    <w:rsid w:val="593F0852"/>
    <w:rsid w:val="59B532C1"/>
    <w:rsid w:val="59BF3BA7"/>
    <w:rsid w:val="5AED3BF1"/>
    <w:rsid w:val="5B1F1D55"/>
    <w:rsid w:val="5B7F607A"/>
    <w:rsid w:val="5BEF49EC"/>
    <w:rsid w:val="5BF3F7D7"/>
    <w:rsid w:val="5BF53CE9"/>
    <w:rsid w:val="5BFFA12F"/>
    <w:rsid w:val="5C0E6E33"/>
    <w:rsid w:val="5C8E9A8E"/>
    <w:rsid w:val="5CBE5608"/>
    <w:rsid w:val="5CF65FF3"/>
    <w:rsid w:val="5CFB6DCE"/>
    <w:rsid w:val="5CFF56ED"/>
    <w:rsid w:val="5D9C8867"/>
    <w:rsid w:val="5DD31D7E"/>
    <w:rsid w:val="5DEF05E6"/>
    <w:rsid w:val="5E6DD298"/>
    <w:rsid w:val="5E7F7405"/>
    <w:rsid w:val="5E91710C"/>
    <w:rsid w:val="5EBD19A6"/>
    <w:rsid w:val="5EBEB381"/>
    <w:rsid w:val="5EEFB089"/>
    <w:rsid w:val="5EF67496"/>
    <w:rsid w:val="5EFE4A61"/>
    <w:rsid w:val="5F19E34B"/>
    <w:rsid w:val="5F226AC3"/>
    <w:rsid w:val="5F3E301F"/>
    <w:rsid w:val="5F3F29B1"/>
    <w:rsid w:val="5F676494"/>
    <w:rsid w:val="5FB766A9"/>
    <w:rsid w:val="5FBF0109"/>
    <w:rsid w:val="5FDD455B"/>
    <w:rsid w:val="5FE787CF"/>
    <w:rsid w:val="5FF650F2"/>
    <w:rsid w:val="5FF903A1"/>
    <w:rsid w:val="5FFD7DCE"/>
    <w:rsid w:val="5FFDAC41"/>
    <w:rsid w:val="5FFE03BB"/>
    <w:rsid w:val="608B3BA6"/>
    <w:rsid w:val="60CFB5FA"/>
    <w:rsid w:val="61C7E337"/>
    <w:rsid w:val="62911192"/>
    <w:rsid w:val="63AF097E"/>
    <w:rsid w:val="63FF87CC"/>
    <w:rsid w:val="64A6684F"/>
    <w:rsid w:val="64E75572"/>
    <w:rsid w:val="65AF7CDE"/>
    <w:rsid w:val="65FE0DBA"/>
    <w:rsid w:val="65FF1E6B"/>
    <w:rsid w:val="65FF7BA8"/>
    <w:rsid w:val="66DF7483"/>
    <w:rsid w:val="671D1221"/>
    <w:rsid w:val="67B7C5B6"/>
    <w:rsid w:val="67D573E7"/>
    <w:rsid w:val="67FDDCEF"/>
    <w:rsid w:val="67FF2E15"/>
    <w:rsid w:val="67FFAD3F"/>
    <w:rsid w:val="68CF5C6A"/>
    <w:rsid w:val="68DBF441"/>
    <w:rsid w:val="693634DB"/>
    <w:rsid w:val="6957A959"/>
    <w:rsid w:val="69B862EF"/>
    <w:rsid w:val="69BB6984"/>
    <w:rsid w:val="6AF11860"/>
    <w:rsid w:val="6AFF484F"/>
    <w:rsid w:val="6AFFB7D6"/>
    <w:rsid w:val="6B5F4F68"/>
    <w:rsid w:val="6B7BB471"/>
    <w:rsid w:val="6B7D4687"/>
    <w:rsid w:val="6B7FA7A1"/>
    <w:rsid w:val="6BAA629D"/>
    <w:rsid w:val="6C7B1A29"/>
    <w:rsid w:val="6CDBBC5C"/>
    <w:rsid w:val="6CE9EFF3"/>
    <w:rsid w:val="6CF652DA"/>
    <w:rsid w:val="6CFD5186"/>
    <w:rsid w:val="6CFF8219"/>
    <w:rsid w:val="6D486B6B"/>
    <w:rsid w:val="6D6F1A00"/>
    <w:rsid w:val="6DA61F71"/>
    <w:rsid w:val="6DD5BEFD"/>
    <w:rsid w:val="6DEFD939"/>
    <w:rsid w:val="6DFFD81C"/>
    <w:rsid w:val="6DFFDEB0"/>
    <w:rsid w:val="6E2ED382"/>
    <w:rsid w:val="6E5F0C86"/>
    <w:rsid w:val="6E860C58"/>
    <w:rsid w:val="6EC54671"/>
    <w:rsid w:val="6EF38DF7"/>
    <w:rsid w:val="6F1E922F"/>
    <w:rsid w:val="6F295B7E"/>
    <w:rsid w:val="6F2E0523"/>
    <w:rsid w:val="6F3E996F"/>
    <w:rsid w:val="6F3FA6B2"/>
    <w:rsid w:val="6F4EE924"/>
    <w:rsid w:val="6F5F6B4B"/>
    <w:rsid w:val="6F6BA0FD"/>
    <w:rsid w:val="6F7A1247"/>
    <w:rsid w:val="6F7FE86B"/>
    <w:rsid w:val="6F9FAE6F"/>
    <w:rsid w:val="6FBFCCE3"/>
    <w:rsid w:val="6FCF246C"/>
    <w:rsid w:val="6FD2EA48"/>
    <w:rsid w:val="6FE796AD"/>
    <w:rsid w:val="6FEDCD8B"/>
    <w:rsid w:val="6FF8CD6E"/>
    <w:rsid w:val="6FFB39C7"/>
    <w:rsid w:val="6FFBEF1F"/>
    <w:rsid w:val="6FFD44BA"/>
    <w:rsid w:val="6FFD6703"/>
    <w:rsid w:val="6FFDA540"/>
    <w:rsid w:val="6FFF0C4F"/>
    <w:rsid w:val="6FFFA9DD"/>
    <w:rsid w:val="71EFAFF1"/>
    <w:rsid w:val="71F4567D"/>
    <w:rsid w:val="71F47640"/>
    <w:rsid w:val="71FF8664"/>
    <w:rsid w:val="72268FCB"/>
    <w:rsid w:val="72DFB364"/>
    <w:rsid w:val="72FD09EE"/>
    <w:rsid w:val="73378FC2"/>
    <w:rsid w:val="733D99CF"/>
    <w:rsid w:val="73CF4E3E"/>
    <w:rsid w:val="73D3285B"/>
    <w:rsid w:val="73FF6301"/>
    <w:rsid w:val="742C64F3"/>
    <w:rsid w:val="74C9E4D1"/>
    <w:rsid w:val="74F41F4E"/>
    <w:rsid w:val="75D9E394"/>
    <w:rsid w:val="75ECF24C"/>
    <w:rsid w:val="75EF65F3"/>
    <w:rsid w:val="75EFF481"/>
    <w:rsid w:val="75F7BE19"/>
    <w:rsid w:val="75FD5561"/>
    <w:rsid w:val="75FFE9C7"/>
    <w:rsid w:val="75FFEE35"/>
    <w:rsid w:val="763FE72D"/>
    <w:rsid w:val="7645C9B4"/>
    <w:rsid w:val="766E91BD"/>
    <w:rsid w:val="76BB0FD4"/>
    <w:rsid w:val="76BD2B22"/>
    <w:rsid w:val="76EBB494"/>
    <w:rsid w:val="76EF2395"/>
    <w:rsid w:val="76F7B58C"/>
    <w:rsid w:val="76FD00C4"/>
    <w:rsid w:val="76FF6B18"/>
    <w:rsid w:val="773DF927"/>
    <w:rsid w:val="77530DE9"/>
    <w:rsid w:val="777371F7"/>
    <w:rsid w:val="77777F75"/>
    <w:rsid w:val="777A5DA2"/>
    <w:rsid w:val="777EFBF8"/>
    <w:rsid w:val="777F2881"/>
    <w:rsid w:val="779FE39F"/>
    <w:rsid w:val="77A74A59"/>
    <w:rsid w:val="77BF0537"/>
    <w:rsid w:val="77CA22B7"/>
    <w:rsid w:val="77CFE851"/>
    <w:rsid w:val="77DC6B16"/>
    <w:rsid w:val="77DD57A5"/>
    <w:rsid w:val="77EB6F38"/>
    <w:rsid w:val="77EC3899"/>
    <w:rsid w:val="77F6D27D"/>
    <w:rsid w:val="77FAF0F9"/>
    <w:rsid w:val="77FB5FCA"/>
    <w:rsid w:val="77FF5EC3"/>
    <w:rsid w:val="7896FF69"/>
    <w:rsid w:val="78C62CA7"/>
    <w:rsid w:val="78DD3AAF"/>
    <w:rsid w:val="78E035C6"/>
    <w:rsid w:val="78EC4F01"/>
    <w:rsid w:val="79290E9C"/>
    <w:rsid w:val="79DB6361"/>
    <w:rsid w:val="79DD3831"/>
    <w:rsid w:val="79DD7047"/>
    <w:rsid w:val="79EF4163"/>
    <w:rsid w:val="79F70F9D"/>
    <w:rsid w:val="79F7EA97"/>
    <w:rsid w:val="79FD81DA"/>
    <w:rsid w:val="7A2E11B7"/>
    <w:rsid w:val="7A372C58"/>
    <w:rsid w:val="7A7F65B9"/>
    <w:rsid w:val="7ACB5CD4"/>
    <w:rsid w:val="7AD3C0A3"/>
    <w:rsid w:val="7AEF669A"/>
    <w:rsid w:val="7AFC611F"/>
    <w:rsid w:val="7B17E8C7"/>
    <w:rsid w:val="7B35B305"/>
    <w:rsid w:val="7B3FA060"/>
    <w:rsid w:val="7B66209A"/>
    <w:rsid w:val="7B6EA92E"/>
    <w:rsid w:val="7B7E2AF1"/>
    <w:rsid w:val="7B7FF24B"/>
    <w:rsid w:val="7BB77DA2"/>
    <w:rsid w:val="7BBFB07B"/>
    <w:rsid w:val="7BE9D3B9"/>
    <w:rsid w:val="7BE9F3D6"/>
    <w:rsid w:val="7BEC4B25"/>
    <w:rsid w:val="7BEF8155"/>
    <w:rsid w:val="7BEFB708"/>
    <w:rsid w:val="7BEFCCB4"/>
    <w:rsid w:val="7BF21EB8"/>
    <w:rsid w:val="7BF3562A"/>
    <w:rsid w:val="7BFA23F3"/>
    <w:rsid w:val="7BFBF6AE"/>
    <w:rsid w:val="7BFEC2A9"/>
    <w:rsid w:val="7CCE4A80"/>
    <w:rsid w:val="7CD959A1"/>
    <w:rsid w:val="7CEEA162"/>
    <w:rsid w:val="7CF3A506"/>
    <w:rsid w:val="7CFB31F3"/>
    <w:rsid w:val="7D6D5A35"/>
    <w:rsid w:val="7D779B08"/>
    <w:rsid w:val="7D7A5CB5"/>
    <w:rsid w:val="7DBEEF50"/>
    <w:rsid w:val="7DCFFBE8"/>
    <w:rsid w:val="7DDFF10B"/>
    <w:rsid w:val="7DEB0139"/>
    <w:rsid w:val="7DED1DA4"/>
    <w:rsid w:val="7DEF0BA1"/>
    <w:rsid w:val="7DEFBF4D"/>
    <w:rsid w:val="7DFC5DEB"/>
    <w:rsid w:val="7DFD0313"/>
    <w:rsid w:val="7DFD26BD"/>
    <w:rsid w:val="7DFD437B"/>
    <w:rsid w:val="7DFD9EF7"/>
    <w:rsid w:val="7DFDC817"/>
    <w:rsid w:val="7DFE0B95"/>
    <w:rsid w:val="7DFF5EA2"/>
    <w:rsid w:val="7DFF7C29"/>
    <w:rsid w:val="7DFFD1AA"/>
    <w:rsid w:val="7DFFEB9C"/>
    <w:rsid w:val="7E1F38CE"/>
    <w:rsid w:val="7E4BC966"/>
    <w:rsid w:val="7E7733F9"/>
    <w:rsid w:val="7E7E4692"/>
    <w:rsid w:val="7E7FD73F"/>
    <w:rsid w:val="7E7FD86E"/>
    <w:rsid w:val="7E98EDEF"/>
    <w:rsid w:val="7EA7172A"/>
    <w:rsid w:val="7EAE5DBD"/>
    <w:rsid w:val="7EAF801F"/>
    <w:rsid w:val="7EDA18A6"/>
    <w:rsid w:val="7EEDB210"/>
    <w:rsid w:val="7EF53DA0"/>
    <w:rsid w:val="7EFBC351"/>
    <w:rsid w:val="7EFC52A7"/>
    <w:rsid w:val="7EFF9E90"/>
    <w:rsid w:val="7EFF9FCC"/>
    <w:rsid w:val="7F1E1253"/>
    <w:rsid w:val="7F1F5FEF"/>
    <w:rsid w:val="7F36AAAD"/>
    <w:rsid w:val="7F37281E"/>
    <w:rsid w:val="7F37A4B7"/>
    <w:rsid w:val="7F3BEC53"/>
    <w:rsid w:val="7F3EE089"/>
    <w:rsid w:val="7F3F600E"/>
    <w:rsid w:val="7F3FE192"/>
    <w:rsid w:val="7F57809B"/>
    <w:rsid w:val="7F5AD889"/>
    <w:rsid w:val="7F5EA7AD"/>
    <w:rsid w:val="7F5FC5A6"/>
    <w:rsid w:val="7F6A6AA5"/>
    <w:rsid w:val="7F6B0E88"/>
    <w:rsid w:val="7F6D2614"/>
    <w:rsid w:val="7F73ABCE"/>
    <w:rsid w:val="7F77B725"/>
    <w:rsid w:val="7F77B73A"/>
    <w:rsid w:val="7F77C167"/>
    <w:rsid w:val="7F79568C"/>
    <w:rsid w:val="7F7CAAD7"/>
    <w:rsid w:val="7F7D9C9A"/>
    <w:rsid w:val="7F7E0D49"/>
    <w:rsid w:val="7F7FCC6A"/>
    <w:rsid w:val="7F9FC3EE"/>
    <w:rsid w:val="7FB6755A"/>
    <w:rsid w:val="7FB76093"/>
    <w:rsid w:val="7FB7C5D4"/>
    <w:rsid w:val="7FBB3230"/>
    <w:rsid w:val="7FBBE512"/>
    <w:rsid w:val="7FBED25E"/>
    <w:rsid w:val="7FBFB389"/>
    <w:rsid w:val="7FBFBDBD"/>
    <w:rsid w:val="7FCE5485"/>
    <w:rsid w:val="7FD62B7A"/>
    <w:rsid w:val="7FDEEAE5"/>
    <w:rsid w:val="7FDF5D9F"/>
    <w:rsid w:val="7FDFA1DC"/>
    <w:rsid w:val="7FDFCFFE"/>
    <w:rsid w:val="7FE59853"/>
    <w:rsid w:val="7FEA5CBF"/>
    <w:rsid w:val="7FEE0C43"/>
    <w:rsid w:val="7FEF2654"/>
    <w:rsid w:val="7FF3D9AD"/>
    <w:rsid w:val="7FF56837"/>
    <w:rsid w:val="7FF87AA7"/>
    <w:rsid w:val="7FF9FB28"/>
    <w:rsid w:val="7FFA1365"/>
    <w:rsid w:val="7FFA1D8E"/>
    <w:rsid w:val="7FFBA144"/>
    <w:rsid w:val="7FFBC0A7"/>
    <w:rsid w:val="7FFC2451"/>
    <w:rsid w:val="7FFC34A5"/>
    <w:rsid w:val="7FFCEDC6"/>
    <w:rsid w:val="7FFCFDEF"/>
    <w:rsid w:val="7FFD3A9E"/>
    <w:rsid w:val="7FFD9B2F"/>
    <w:rsid w:val="7FFDEB91"/>
    <w:rsid w:val="7FFE5F96"/>
    <w:rsid w:val="7FFE707D"/>
    <w:rsid w:val="7FFEBB57"/>
    <w:rsid w:val="7FFEE6AD"/>
    <w:rsid w:val="7FFF41F5"/>
    <w:rsid w:val="7FFF423A"/>
    <w:rsid w:val="7FFF8BE8"/>
    <w:rsid w:val="7FFF9835"/>
    <w:rsid w:val="7FFFB4BA"/>
    <w:rsid w:val="7FFFF5C0"/>
  </w:rsids>
  <w:docVars>
    <w:docVar w:name="commondata" w:val="eyJoZGlkIjoiNWFhMWI5MDQwNDBiYWI1ZmY5ZTQxYWNiYzY0MTdmZDA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Heading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2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link w:val="3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标题 3 字符"/>
    <w:link w:val="Heading3"/>
    <w:qFormat/>
    <w:rPr>
      <w:b/>
      <w:sz w:val="32"/>
    </w:rPr>
  </w:style>
  <w:style w:type="character" w:customStyle="1" w:styleId="1">
    <w:name w:val="标题 1 字符"/>
    <w:link w:val="Heading1"/>
    <w:uiPriority w:val="99"/>
    <w:qFormat/>
    <w:rPr>
      <w:b/>
      <w:kern w:val="44"/>
      <w:sz w:val="44"/>
    </w:rPr>
  </w:style>
  <w:style w:type="character" w:customStyle="1" w:styleId="2">
    <w:name w:val="标题 2 字符"/>
    <w:link w:val="Heading2"/>
    <w:qFormat/>
    <w:rPr>
      <w:rFonts w:ascii="Arial" w:eastAsia="黑体" w:hAnsi="Arial"/>
      <w:b/>
      <w:sz w:val="32"/>
    </w:rPr>
  </w:style>
  <w:style w:type="paragraph" w:styleId="CommentText">
    <w:name w:val="annotation text"/>
    <w:basedOn w:val="Normal"/>
    <w:link w:val="a"/>
    <w:uiPriority w:val="99"/>
    <w:qFormat/>
    <w:pPr>
      <w:jc w:val="left"/>
    </w:pPr>
    <w:rPr>
      <w:kern w:val="0"/>
      <w:sz w:val="20"/>
    </w:rPr>
  </w:style>
  <w:style w:type="character" w:customStyle="1" w:styleId="a">
    <w:name w:val="批注文字 字符"/>
    <w:link w:val="CommentText"/>
    <w:uiPriority w:val="99"/>
    <w:qFormat/>
    <w:locked/>
    <w:rPr>
      <w:rFonts w:ascii="Calibri" w:eastAsia="宋体" w:hAnsi="Calibri" w:cs="Times New Roman"/>
      <w:szCs w:val="24"/>
    </w:rPr>
  </w:style>
  <w:style w:type="paragraph" w:styleId="BodyTextIndent">
    <w:name w:val="Body Text Indent"/>
    <w:basedOn w:val="Normal"/>
    <w:qFormat/>
    <w:pPr>
      <w:spacing w:line="440" w:lineRule="atLeast"/>
      <w:ind w:firstLine="480"/>
    </w:pPr>
    <w:rPr>
      <w:kern w:val="0"/>
    </w:rPr>
  </w:style>
  <w:style w:type="paragraph" w:styleId="BalloonText">
    <w:name w:val="Balloon Text"/>
    <w:basedOn w:val="Normal"/>
    <w:link w:val="a0"/>
    <w:qFormat/>
    <w:rPr>
      <w:sz w:val="18"/>
      <w:szCs w:val="18"/>
    </w:rPr>
  </w:style>
  <w:style w:type="character" w:customStyle="1" w:styleId="a0">
    <w:name w:val="批注框文本 字符"/>
    <w:basedOn w:val="DefaultParagraphFont"/>
    <w:link w:val="BalloonText"/>
    <w:qFormat/>
    <w:rPr>
      <w:rFonts w:ascii="Calibri" w:eastAsia="宋体" w:hAnsi="Calibri" w:cs="Times New Roman"/>
      <w:kern w:val="2"/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qFormat/>
  </w:style>
  <w:style w:type="paragraph" w:styleId="FootnoteText">
    <w:name w:val="footnote text"/>
    <w:basedOn w:val="Normal"/>
    <w:qFormat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99"/>
    <w:qFormat/>
    <w:rPr>
      <w:rFonts w:cs="Times New Roman"/>
      <w:b/>
    </w:rPr>
  </w:style>
  <w:style w:type="character" w:styleId="CommentReference">
    <w:name w:val="annotation reference"/>
    <w:uiPriority w:val="99"/>
    <w:qFormat/>
    <w:rPr>
      <w:rFonts w:ascii="宋体" w:eastAsia="宋体" w:hAnsi="宋体" w:cs="Times New Roman"/>
      <w:sz w:val="21"/>
      <w:vertAlign w:val="superscript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customStyle="1" w:styleId="2016">
    <w:name w:val="2016"/>
    <w:basedOn w:val="Normal"/>
    <w:qFormat/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table" w:customStyle="1" w:styleId="0">
    <w:name w:val="网格型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5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hyperlink" Target="https://d.book118.com/878043035103006022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157259040</TotalTime>
  <Pages>6</Pages>
  <Words>11543</Words>
  <Characters>15640</Characters>
  <Application>Microsoft Office Word</Application>
  <DocSecurity>0</DocSecurity>
  <Lines>145</Lines>
  <Paragraphs>41</Paragraphs>
  <ScaleCrop>false</ScaleCrop>
  <Company/>
  <LinksUpToDate>false</LinksUpToDate>
  <CharactersWithSpaces>16249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ABEEL</cp:lastModifiedBy>
  <cp:revision>17</cp:revision>
  <cp:lastPrinted>2022-05-03T15:13:00Z</cp:lastPrinted>
  <dcterms:created xsi:type="dcterms:W3CDTF">2022-01-20T00:48:00Z</dcterms:created>
  <dcterms:modified xsi:type="dcterms:W3CDTF">2023-08-26T17:14:07Z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49B85974F000401A9F1C86537571F5C8_13</vt:lpwstr>
  </property>
  <property fmtid="{D5CDD505-2E9C-101B-9397-08002B2CF9AE}" pid="3" name="KSOProductBuildVer">
    <vt:lpwstr>2052-12.1.0.15120</vt:lpwstr>
  </property>
</Properties>
</file>