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防雷系统相关行业公司成立方案及可行性研究报告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8" w:history="1">
        <w:r>
          <w:rPr>
            <w:rFonts w:ascii="仿宋" w:eastAsia="仿宋" w:hAnsi="仿宋" w:cs="仿宋" w:hint="eastAsia"/>
            <w:lang w:eastAsia="zh-CN"/>
          </w:rPr>
          <w:t>(一)、防雷系统项目选址原则</w:t>
        </w:r>
        <w:r>
          <w:tab/>
        </w:r>
        <w:r>
          <w:fldChar w:fldCharType="begin"/>
        </w:r>
        <w:r>
          <w:instrText xml:space="preserve"> PAGEREF _Toc9508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(五)、防雷系统项目选址综合评价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三、防雷系统筹建公司基本信息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_Toc6001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(七)、防雷系统项目建设必要性分析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六、防雷系统项目经济效益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(三)、防雷系统项目盈利能力分析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9" w:history="1">
        <w:r>
          <w:rPr>
            <w:rFonts w:ascii="仿宋" w:eastAsia="仿宋" w:hAnsi="仿宋" w:cs="仿宋" w:hint="eastAsia"/>
            <w:lang w:eastAsia="zh-CN"/>
          </w:rPr>
          <w:t>(五)、防雷系统项目总投资</w:t>
        </w:r>
        <w:r>
          <w:tab/>
        </w:r>
        <w:r>
          <w:fldChar w:fldCharType="begin"/>
        </w:r>
        <w:r>
          <w:instrText xml:space="preserve"> PAGEREF _Toc17489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九、防雷系统项目风险分析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(一)、防雷系统项目风险分析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(二)、防雷系统项目风险对策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十一、防雷系统项目总结分析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0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6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https://d.book118.com/878046140130006036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防雷系统相关行业公司成立方案及可行性研究报告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46140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2024-02-07T14:54:00Z</dcterms:created>
  <dcterms:modified xsi:type="dcterms:W3CDTF">2024-02-07T14:54:30Z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C9BE81891D0B49E091DE6E2F4E2B81CF_11</vt:lpwstr>
  </property>
  <property fmtid="{D5CDD505-2E9C-101B-9397-08002B2CF9AE}" pid="3" name="KSOProductBuildVer">
    <vt:lpwstr>2052-12.1.0.16250</vt:lpwstr>
  </property>
</Properties>
</file>