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55" w:line="450" w:lineRule="exact"/>
        <w:ind w:left="10011"/>
        <w:rPr>
          <w:rFonts w:ascii="KaiTi" w:eastAsia="KaiTi" w:hAnsi="KaiTi" w:cs="KaiTi"/>
          <w:sz w:val="20"/>
          <w:szCs w:val="20"/>
        </w:rPr>
      </w:pPr>
      <w:r>
        <w:pict>
          <v:rect id="_x0000_s1025" style="width:165.05pt;height:0.5pt;margin-top:83.52pt;margin-left:415.48pt;mso-position-horizontal-relative:page;mso-position-vertical-relative:page;position:absolute;z-index:251665408" o:allowincell="f" filled="t" fillcolor="#c00000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4.1pt;height:107.35pt;margin-top:34.48pt;margin-left:9.91pt;mso-position-horizontal-relative:page;mso-position-vertical-relative:page;position:absolute;z-index:251660288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19" w:line="217" w:lineRule="auto"/>
                    <w:ind w:left="20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spacing w:val="34"/>
                      <w:sz w:val="20"/>
                      <w:szCs w:val="20"/>
                    </w:rPr>
                    <w:t>宏观经济一宏观专题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590582</wp:posOffset>
            </wp:positionH>
            <wp:positionV relativeFrom="page">
              <wp:posOffset>800079</wp:posOffset>
            </wp:positionV>
            <wp:extent cx="4464047" cy="64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404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590582</wp:posOffset>
            </wp:positionH>
            <wp:positionV relativeFrom="page">
              <wp:posOffset>1790696</wp:posOffset>
            </wp:positionV>
            <wp:extent cx="4470401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04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584230</wp:posOffset>
            </wp:positionH>
            <wp:positionV relativeFrom="page">
              <wp:posOffset>10299669</wp:posOffset>
            </wp:positionV>
            <wp:extent cx="6813524" cy="6416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1352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615918</wp:posOffset>
            </wp:positionH>
            <wp:positionV relativeFrom="page">
              <wp:posOffset>190449</wp:posOffset>
            </wp:positionV>
            <wp:extent cx="2032061" cy="59690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2061" cy="59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6"/>
          <w:position w:val="19"/>
          <w:sz w:val="20"/>
          <w:szCs w:val="20"/>
        </w:rPr>
        <w:t>证券研究报告</w:t>
      </w:r>
    </w:p>
    <w:p>
      <w:pPr>
        <w:spacing w:line="225" w:lineRule="auto"/>
        <w:ind w:left="9521"/>
        <w:rPr>
          <w:rFonts w:ascii="KaiTi" w:eastAsia="KaiTi" w:hAnsi="KaiTi" w:cs="KaiTi"/>
          <w:sz w:val="20"/>
          <w:szCs w:val="20"/>
        </w:rPr>
      </w:pPr>
      <w:r>
        <w:rPr>
          <w:rFonts w:ascii="KaiTi" w:eastAsia="KaiTi" w:hAnsi="KaiTi" w:cs="KaiTi"/>
          <w:spacing w:val="30"/>
          <w:sz w:val="20"/>
          <w:szCs w:val="20"/>
        </w:rPr>
        <w:t>2024年03月08日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14" w:line="223" w:lineRule="auto"/>
        <w:ind w:left="816"/>
        <w:rPr>
          <w:rFonts w:ascii="KaiTi" w:eastAsia="KaiTi" w:hAnsi="KaiTi" w:cs="KaiTi"/>
          <w:sz w:val="35"/>
          <w:szCs w:val="35"/>
        </w:rPr>
      </w:pPr>
      <w:r>
        <w:pict>
          <v:shape id="_x0000_s1027" type="#_x0000_t202" style="width:28.4pt;height:14.1pt;margin-top:4.69pt;margin-left:401.71pt;position:absolute;z-index:251661312" filled="f" stroked="f">
            <o:lock v:ext="edit" aspectratio="f"/>
            <v:textbox inset="0,0,0,0">
              <w:txbxContent>
                <w:p>
                  <w:pPr>
                    <w:spacing w:before="19" w:line="223" w:lineRule="auto"/>
                    <w:ind w:left="20"/>
                    <w:rPr>
                      <w:rFonts w:ascii="KaiTi" w:eastAsia="KaiTi" w:hAnsi="KaiTi" w:cs="KaiTi"/>
                      <w:sz w:val="20"/>
                      <w:szCs w:val="20"/>
                    </w:rPr>
                  </w:pPr>
                  <w:r>
                    <w:rPr>
                      <w:rFonts w:ascii="KaiTi" w:eastAsia="KaiTi" w:hAnsi="KaiTi" w:cs="KaiTi"/>
                      <w:b/>
                      <w:bCs/>
                      <w:color w:val="C00000"/>
                      <w:spacing w:val="-4"/>
                      <w:sz w:val="20"/>
                      <w:szCs w:val="20"/>
                    </w:rPr>
                    <w:t>作</w:t>
                  </w:r>
                  <w:r>
                    <w:rPr>
                      <w:rFonts w:ascii="KaiTi" w:eastAsia="KaiTi" w:hAnsi="KaiTi" w:cs="KaiTi"/>
                      <w:color w:val="C00000"/>
                      <w:spacing w:val="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b/>
                      <w:bCs/>
                      <w:color w:val="C00000"/>
                      <w:spacing w:val="-4"/>
                      <w:sz w:val="20"/>
                      <w:szCs w:val="20"/>
                    </w:rPr>
                    <w:t>者</w:t>
                  </w:r>
                </w:p>
              </w:txbxContent>
            </v:textbox>
          </v:shape>
        </w:pict>
      </w:r>
      <w:r>
        <w:pict>
          <v:shape id="_x0000_s1028" type="#_x0000_t202" style="width:128.05pt;height:58.2pt;margin-top:18.96pt;margin-left:401.57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225" w:lineRule="auto"/>
                    <w:ind w:left="20"/>
                    <w:rPr>
                      <w:rFonts w:ascii="KaiTi" w:eastAsia="KaiTi" w:hAnsi="KaiTi" w:cs="KaiTi"/>
                      <w:sz w:val="20"/>
                      <w:szCs w:val="20"/>
                    </w:rPr>
                  </w:pPr>
                  <w:r>
                    <w:rPr>
                      <w:rFonts w:ascii="KaiTi" w:eastAsia="KaiTi" w:hAnsi="KaiTi" w:cs="KaiTi"/>
                      <w:spacing w:val="-17"/>
                      <w:sz w:val="20"/>
                      <w:szCs w:val="20"/>
                    </w:rPr>
                    <w:t>分析师：樊磊</w:t>
                  </w:r>
                </w:p>
                <w:p>
                  <w:pPr>
                    <w:spacing w:before="36" w:line="225" w:lineRule="auto"/>
                    <w:ind w:left="20"/>
                    <w:rPr>
                      <w:rFonts w:ascii="KaiTi" w:eastAsia="KaiTi" w:hAnsi="KaiTi" w:cs="KaiTi"/>
                      <w:sz w:val="20"/>
                      <w:szCs w:val="20"/>
                    </w:rPr>
                  </w:pPr>
                  <w:r>
                    <w:rPr>
                      <w:rFonts w:ascii="KaiTi" w:eastAsia="KaiTi" w:hAnsi="KaiTi" w:cs="KaiTi"/>
                      <w:spacing w:val="-16"/>
                      <w:sz w:val="20"/>
                      <w:szCs w:val="20"/>
                    </w:rPr>
                    <w:t>执业证书编号：</w:t>
                  </w:r>
                  <w:r>
                    <w:rPr>
                      <w:rFonts w:ascii="KaiTi" w:eastAsia="KaiTi" w:hAnsi="KaiTi" w:cs="KaiTi"/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KaiTi" w:eastAsia="KaiTi" w:hAnsi="KaiTi" w:cs="KaiTi"/>
                      <w:spacing w:val="-16"/>
                      <w:sz w:val="20"/>
                      <w:szCs w:val="20"/>
                    </w:rPr>
                    <w:t>S0590521120002</w:t>
                  </w:r>
                </w:p>
                <w:p>
                  <w:pPr>
                    <w:spacing w:line="273" w:lineRule="exact"/>
                    <w:ind w:left="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KaiTi" w:eastAsia="KaiTi" w:hAnsi="KaiTi" w:cs="KaiTi"/>
                      <w:spacing w:val="-10"/>
                      <w:position w:val="2"/>
                      <w:sz w:val="20"/>
                      <w:szCs w:val="20"/>
                    </w:rPr>
                    <w:t>邮箱：</w:t>
                  </w:r>
                  <w:r>
                    <w:rPr>
                      <w:rFonts w:ascii="Arial" w:eastAsia="Arial" w:hAnsi="Arial" w:cs="Arial"/>
                      <w:spacing w:val="-10"/>
                      <w:position w:val="2"/>
                      <w:sz w:val="20"/>
                      <w:szCs w:val="20"/>
                    </w:rPr>
                    <w:t>fanl@glsc.com.cn</w:t>
                  </w:r>
                </w:p>
                <w:p>
                  <w:pPr>
                    <w:spacing w:before="83" w:line="225" w:lineRule="auto"/>
                    <w:ind w:left="20"/>
                    <w:rPr>
                      <w:rFonts w:ascii="KaiTi" w:eastAsia="KaiTi" w:hAnsi="KaiTi" w:cs="KaiTi"/>
                      <w:sz w:val="20"/>
                      <w:szCs w:val="20"/>
                    </w:rPr>
                  </w:pPr>
                  <w:r>
                    <w:rPr>
                      <w:rFonts w:ascii="KaiTi" w:eastAsia="KaiTi" w:hAnsi="KaiTi" w:cs="KaiTi"/>
                      <w:spacing w:val="-19"/>
                      <w:sz w:val="20"/>
                      <w:szCs w:val="20"/>
                    </w:rPr>
                    <w:t>分析师：方诗超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b/>
          <w:bCs/>
          <w:spacing w:val="14"/>
          <w:sz w:val="35"/>
          <w:szCs w:val="35"/>
        </w:rPr>
        <w:t>外需改善带动1-2月出口明显增长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98" w:line="224" w:lineRule="auto"/>
        <w:ind w:left="2115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b/>
          <w:bCs/>
          <w:spacing w:val="6"/>
          <w:sz w:val="30"/>
          <w:szCs w:val="30"/>
        </w:rPr>
        <w:t>——对1-2月外贸数据的思考与未来展望</w:t>
      </w:r>
    </w:p>
    <w:tbl>
      <w:tblPr>
        <w:tblStyle w:val="TableNormal"/>
        <w:tblW w:w="10539" w:type="dxa"/>
        <w:tblInd w:w="8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89"/>
        <w:gridCol w:w="3550"/>
      </w:tblGrid>
      <w:tr>
        <w:tblPrEx>
          <w:tblW w:w="10539" w:type="dxa"/>
          <w:tblInd w:w="81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36"/>
        </w:trPr>
        <w:tc>
          <w:tcPr>
            <w:tcW w:w="6989" w:type="dxa"/>
            <w:vAlign w:val="top"/>
          </w:tcPr>
          <w:p>
            <w:pPr>
              <w:pStyle w:val="TableText"/>
              <w:spacing w:line="208" w:lineRule="auto"/>
            </w:pPr>
            <w:r>
              <w:rPr>
                <w:spacing w:val="7"/>
              </w:rPr>
              <w:t>专题内容摘要</w:t>
            </w:r>
          </w:p>
        </w:tc>
        <w:tc>
          <w:tcPr>
            <w:tcW w:w="3550" w:type="dxa"/>
            <w:vAlign w:val="top"/>
          </w:tcPr>
          <w:p>
            <w:pPr>
              <w:pStyle w:val="TableText"/>
              <w:spacing w:before="10" w:line="199" w:lineRule="auto"/>
              <w:ind w:left="250"/>
            </w:pPr>
            <w:r>
              <w:rPr>
                <w:spacing w:val="-16"/>
              </w:rPr>
              <w:t>执业证书编号：</w:t>
            </w:r>
            <w:r>
              <w:rPr>
                <w:spacing w:val="-30"/>
              </w:rPr>
              <w:t xml:space="preserve"> </w:t>
            </w:r>
            <w:r>
              <w:rPr>
                <w:spacing w:val="-16"/>
              </w:rPr>
              <w:t>S0590523030001</w:t>
            </w: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21"/>
        </w:trPr>
        <w:tc>
          <w:tcPr>
            <w:tcW w:w="6989" w:type="dxa"/>
            <w:vAlign w:val="top"/>
          </w:tcPr>
          <w:p>
            <w:pPr>
              <w:pStyle w:val="TableText"/>
              <w:spacing w:before="65" w:line="227" w:lineRule="auto"/>
              <w:ind w:left="2"/>
            </w:pPr>
            <w:r>
              <w:rPr>
                <w:b/>
                <w:bCs/>
                <w:spacing w:val="-2"/>
              </w:rPr>
              <w:t>核心观点：</w:t>
            </w:r>
          </w:p>
        </w:tc>
        <w:tc>
          <w:tcPr>
            <w:tcW w:w="3550" w:type="dxa"/>
            <w:vAlign w:val="top"/>
          </w:tcPr>
          <w:p>
            <w:pPr>
              <w:pStyle w:val="TableText"/>
              <w:spacing w:before="18" w:line="273" w:lineRule="exact"/>
              <w:ind w:left="250"/>
              <w:rPr>
                <w:rFonts w:ascii="Arial" w:eastAsia="Arial" w:hAnsi="Arial" w:cs="Arial"/>
              </w:rPr>
            </w:pPr>
            <w:r>
              <w:rPr>
                <w:spacing w:val="-14"/>
                <w:position w:val="2"/>
              </w:rPr>
              <w:t>邮箱：</w:t>
            </w:r>
            <w:r>
              <w:rPr>
                <w:rFonts w:ascii="Arial" w:eastAsia="Arial" w:hAnsi="Arial" w:cs="Arial"/>
                <w:spacing w:val="-14"/>
                <w:position w:val="2"/>
              </w:rPr>
              <w:t>fangshch@glsc.com.cn</w:t>
            </w: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83"/>
        </w:trPr>
        <w:tc>
          <w:tcPr>
            <w:tcW w:w="6989" w:type="dxa"/>
            <w:vAlign w:val="top"/>
          </w:tcPr>
          <w:p>
            <w:pPr>
              <w:pStyle w:val="TableText"/>
              <w:spacing w:before="30" w:line="223" w:lineRule="auto"/>
            </w:pPr>
            <w:r>
              <w:rPr>
                <w:spacing w:val="17"/>
              </w:rPr>
              <w:t>1-2月中国以美元计价的出口同比增长7.1%(前</w:t>
            </w:r>
            <w:r>
              <w:rPr>
                <w:spacing w:val="16"/>
              </w:rPr>
              <w:t>值2.3%)。经季节性调整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98"/>
        </w:trPr>
        <w:tc>
          <w:tcPr>
            <w:tcW w:w="6989" w:type="dxa"/>
            <w:vAlign w:val="top"/>
          </w:tcPr>
          <w:p>
            <w:pPr>
              <w:pStyle w:val="TableText"/>
              <w:spacing w:before="44" w:line="220" w:lineRule="auto"/>
            </w:pPr>
            <w:r>
              <w:rPr>
                <w:spacing w:val="14"/>
              </w:rPr>
              <w:t>后，1-2月出口环比增长6.3%,较12月有明显的回升。外需的改善可能是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1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9"/>
              </w:rPr>
              <w:t>出口环比回升的主要原因，此外，年尾的技术性因素可能也有一定影响。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2" w:lineRule="auto"/>
            </w:pPr>
            <w:r>
              <w:rPr>
                <w:spacing w:val="15"/>
              </w:rPr>
              <w:t>1-2月进口规模的季调环比增长1.7%,表明内需可能正在持续修复。展望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99"/>
        </w:trPr>
        <w:tc>
          <w:tcPr>
            <w:tcW w:w="6989" w:type="dxa"/>
            <w:vAlign w:val="top"/>
          </w:tcPr>
          <w:p>
            <w:pPr>
              <w:pStyle w:val="TableText"/>
              <w:spacing w:before="45" w:line="220" w:lineRule="auto"/>
            </w:pPr>
            <w:r>
              <w:rPr>
                <w:spacing w:val="10"/>
              </w:rPr>
              <w:t>未来，我们认为，中国季节性调整后的出口规模或能保持温和的环比正增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62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5"/>
              </w:rPr>
              <w:t>长，进口也有望继续增长。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5"/>
        </w:trPr>
        <w:tc>
          <w:tcPr>
            <w:tcW w:w="6989" w:type="dxa"/>
            <w:vAlign w:val="top"/>
          </w:tcPr>
          <w:p>
            <w:pPr>
              <w:pStyle w:val="TableText"/>
              <w:spacing w:before="207" w:line="219" w:lineRule="auto"/>
            </w:pPr>
            <w:r>
              <w:rPr>
                <w:spacing w:val="12"/>
              </w:rPr>
              <w:t>&gt;</w:t>
            </w:r>
            <w:r>
              <w:rPr>
                <w:spacing w:val="48"/>
              </w:rPr>
              <w:t xml:space="preserve">  </w:t>
            </w:r>
            <w:r>
              <w:rPr>
                <w:b/>
                <w:bCs/>
                <w:spacing w:val="12"/>
              </w:rPr>
              <w:t>1-2月出口明显反弹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98"/>
        </w:trPr>
        <w:tc>
          <w:tcPr>
            <w:tcW w:w="6989" w:type="dxa"/>
            <w:vAlign w:val="top"/>
          </w:tcPr>
          <w:p>
            <w:pPr>
              <w:pStyle w:val="TableText"/>
              <w:spacing w:before="39" w:line="220" w:lineRule="auto"/>
            </w:pPr>
            <w:r>
              <w:rPr>
                <w:spacing w:val="20"/>
              </w:rPr>
              <w:t>1-2月中国出口同比增速为7.1%(美元计价，前值2</w:t>
            </w:r>
            <w:r>
              <w:rPr>
                <w:spacing w:val="19"/>
              </w:rPr>
              <w:t>.3%),较上月大幅回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51" w:line="220" w:lineRule="auto"/>
            </w:pPr>
            <w:r>
              <w:rPr>
                <w:spacing w:val="12"/>
              </w:rPr>
              <w:t>升，也明显好于市场一致预期(0.3%)。经过季节性调整以后，1-2月出口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99"/>
        </w:trPr>
        <w:tc>
          <w:tcPr>
            <w:tcW w:w="6989" w:type="dxa"/>
            <w:vAlign w:val="top"/>
          </w:tcPr>
          <w:p>
            <w:pPr>
              <w:pStyle w:val="TableText"/>
              <w:spacing w:before="41" w:line="220" w:lineRule="auto"/>
            </w:pPr>
            <w:r>
              <w:rPr>
                <w:spacing w:val="15"/>
              </w:rPr>
              <w:t>环比也出现了显著的上行，1-2月平均的出口规模较12</w:t>
            </w:r>
            <w:r>
              <w:rPr>
                <w:spacing w:val="15"/>
              </w:rPr>
              <w:t xml:space="preserve"> </w:t>
            </w:r>
            <w:r>
              <w:rPr>
                <w:spacing w:val="15"/>
              </w:rPr>
              <w:t>月环比增</w:t>
            </w:r>
            <w:r>
              <w:rPr>
                <w:spacing w:val="14"/>
              </w:rPr>
              <w:t>长6.3%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4"/>
        </w:trPr>
        <w:tc>
          <w:tcPr>
            <w:tcW w:w="6989" w:type="dxa"/>
            <w:vAlign w:val="top"/>
          </w:tcPr>
          <w:p>
            <w:pPr>
              <w:pStyle w:val="TableText"/>
              <w:spacing w:before="50" w:line="227" w:lineRule="auto"/>
              <w:ind w:left="110"/>
            </w:pPr>
            <w:r>
              <w:rPr>
                <w:spacing w:val="1"/>
              </w:rPr>
              <w:t>(前值-0.1%)。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1"/>
        </w:trPr>
        <w:tc>
          <w:tcPr>
            <w:tcW w:w="6989" w:type="dxa"/>
            <w:vAlign w:val="top"/>
          </w:tcPr>
          <w:p>
            <w:pPr>
              <w:pStyle w:val="TableText"/>
              <w:spacing w:before="195" w:line="220" w:lineRule="auto"/>
            </w:pPr>
            <w:r>
              <w:rPr>
                <w:spacing w:val="7"/>
              </w:rPr>
              <w:t>&gt;</w:t>
            </w:r>
            <w:r>
              <w:rPr>
                <w:spacing w:val="5"/>
              </w:rPr>
              <w:t xml:space="preserve">   </w:t>
            </w:r>
            <w:r>
              <w:rPr>
                <w:b/>
                <w:bCs/>
                <w:spacing w:val="7"/>
              </w:rPr>
              <w:t>多数产品出口回升，对主要贸易对象出口普遍改善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1"/>
        </w:trPr>
        <w:tc>
          <w:tcPr>
            <w:tcW w:w="6989" w:type="dxa"/>
            <w:vAlign w:val="top"/>
          </w:tcPr>
          <w:p>
            <w:pPr>
              <w:pStyle w:val="TableText"/>
              <w:spacing w:before="47" w:line="220" w:lineRule="auto"/>
            </w:pPr>
            <w:r>
              <w:rPr>
                <w:spacing w:val="10"/>
              </w:rPr>
              <w:t>季节性调整后，分产品看，除原材料出口继续</w:t>
            </w:r>
            <w:r>
              <w:rPr>
                <w:spacing w:val="9"/>
              </w:rPr>
              <w:t>下滑(环比-2.1%),农产品出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15"/>
              </w:rPr>
              <w:t>口基本保持平稳外(环比-0.4%),其余主要出口大</w:t>
            </w:r>
            <w:r>
              <w:rPr>
                <w:spacing w:val="14"/>
              </w:rPr>
              <w:t>类均有明显改善，包括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10"/>
              </w:rPr>
              <w:t>轻工、机电产品的出口都出现了较大幅度的回升，高新技术产品出口也有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2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10"/>
              </w:rPr>
              <w:t>进一步改善(环比分别为+7.2%、+7.2%、+2.3%)。分出口对象看，我国对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1"/>
        </w:trPr>
        <w:tc>
          <w:tcPr>
            <w:tcW w:w="6989" w:type="dxa"/>
            <w:vAlign w:val="top"/>
          </w:tcPr>
          <w:p>
            <w:pPr>
              <w:pStyle w:val="TableText"/>
              <w:spacing w:before="47" w:line="223" w:lineRule="auto"/>
            </w:pPr>
            <w:r>
              <w:rPr>
                <w:spacing w:val="13"/>
              </w:rPr>
              <w:t>新兴经济体、转口贸易对象与发达经济体的出口都有明显的改善</w:t>
            </w:r>
            <w:r>
              <w:rPr>
                <w:spacing w:val="12"/>
              </w:rPr>
              <w:t>(环比分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44"/>
        </w:trPr>
        <w:tc>
          <w:tcPr>
            <w:tcW w:w="6989" w:type="dxa"/>
            <w:vAlign w:val="top"/>
          </w:tcPr>
          <w:p>
            <w:pPr>
              <w:pStyle w:val="TableText"/>
              <w:spacing w:before="44" w:line="222" w:lineRule="auto"/>
            </w:pPr>
            <w:r>
              <w:rPr>
                <w:spacing w:val="7"/>
              </w:rPr>
              <w:t>别为+4.6%、+5.3%、+4.4%),只有对韩国、日本等个别国家出口表现偏弱。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44"/>
        </w:trPr>
        <w:tc>
          <w:tcPr>
            <w:tcW w:w="6989" w:type="dxa"/>
            <w:vAlign w:val="top"/>
          </w:tcPr>
          <w:p>
            <w:pPr>
              <w:pStyle w:val="TableText"/>
              <w:spacing w:before="190" w:line="224" w:lineRule="auto"/>
            </w:pPr>
            <w:r>
              <w:rPr>
                <w:spacing w:val="11"/>
              </w:rPr>
              <w:t>&gt;</w:t>
            </w:r>
            <w:r>
              <w:rPr>
                <w:spacing w:val="54"/>
              </w:rPr>
              <w:t xml:space="preserve">  </w:t>
            </w:r>
            <w:r>
              <w:rPr>
                <w:b/>
                <w:bCs/>
                <w:spacing w:val="11"/>
              </w:rPr>
              <w:t>1-2月出口为何环比回升?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5" w:line="220" w:lineRule="auto"/>
            </w:pPr>
            <w:r>
              <w:rPr>
                <w:spacing w:val="9"/>
              </w:rPr>
              <w:t>一方面，外需的改善可能是主要原因，1、2月摩根大通全球制造业</w:t>
            </w:r>
            <w:r>
              <w:rPr>
                <w:spacing w:val="-34"/>
              </w:rPr>
              <w:t xml:space="preserve"> </w:t>
            </w:r>
            <w:r>
              <w:rPr>
                <w:rFonts w:ascii="SimSun" w:eastAsia="SimSun" w:hAnsi="SimSun" w:cs="SimSun"/>
              </w:rPr>
              <w:t>PM</w:t>
            </w:r>
            <w:r>
              <w:rPr>
                <w:rFonts w:ascii="SimSun" w:eastAsia="SimSun" w:hAnsi="SimSun" w:cs="SimSun"/>
                <w:spacing w:val="9"/>
              </w:rPr>
              <w:t>1</w:t>
            </w:r>
            <w:r>
              <w:rPr>
                <w:rFonts w:ascii="SimSun" w:eastAsia="SimSun" w:hAnsi="SimSun" w:cs="SimSun"/>
                <w:spacing w:val="-45"/>
              </w:rPr>
              <w:t xml:space="preserve"> </w:t>
            </w:r>
            <w:r>
              <w:rPr>
                <w:spacing w:val="9"/>
              </w:rPr>
              <w:t>分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2" w:lineRule="auto"/>
            </w:pPr>
            <w:r>
              <w:rPr>
                <w:spacing w:val="20"/>
              </w:rPr>
              <w:t>别50.0%、50.3%,较12月(49.0%)明显回升。1</w:t>
            </w:r>
            <w:r>
              <w:rPr>
                <w:spacing w:val="19"/>
              </w:rPr>
              <w:t>-2月韩国出口同比增速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99"/>
        </w:trPr>
        <w:tc>
          <w:tcPr>
            <w:tcW w:w="6989" w:type="dxa"/>
            <w:vAlign w:val="top"/>
          </w:tcPr>
          <w:p>
            <w:pPr>
              <w:pStyle w:val="TableText"/>
              <w:spacing w:before="45" w:line="220" w:lineRule="auto"/>
            </w:pPr>
            <w:r>
              <w:rPr>
                <w:spacing w:val="17"/>
              </w:rPr>
              <w:t>也有大幅回升，同比增长11.2%(前值5.0%)。另一方面，出口环比的回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4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6"/>
              </w:rPr>
              <w:t>升，可能也与一些年尾的技术性因素有关。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0"/>
        </w:trPr>
        <w:tc>
          <w:tcPr>
            <w:tcW w:w="6989" w:type="dxa"/>
            <w:vAlign w:val="top"/>
          </w:tcPr>
          <w:p>
            <w:pPr>
              <w:pStyle w:val="TableText"/>
              <w:spacing w:before="199" w:line="220" w:lineRule="auto"/>
            </w:pPr>
            <w:r>
              <w:rPr>
                <w:spacing w:val="9"/>
              </w:rPr>
              <w:t>&gt;</w:t>
            </w:r>
            <w:r>
              <w:rPr>
                <w:spacing w:val="54"/>
              </w:rPr>
              <w:t xml:space="preserve">  </w:t>
            </w:r>
            <w:r>
              <w:rPr>
                <w:b/>
                <w:bCs/>
                <w:spacing w:val="9"/>
              </w:rPr>
              <w:t>1-2月进口继续回升，表明内需或持续修复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1"/>
        </w:trPr>
        <w:tc>
          <w:tcPr>
            <w:tcW w:w="6989" w:type="dxa"/>
            <w:vAlign w:val="top"/>
          </w:tcPr>
          <w:p>
            <w:pPr>
              <w:pStyle w:val="TableText"/>
              <w:spacing w:before="42" w:line="220" w:lineRule="auto"/>
            </w:pPr>
            <w:r>
              <w:rPr>
                <w:spacing w:val="16"/>
              </w:rPr>
              <w:t>1-2月进口同比增速为3.5%(美元计</w:t>
            </w:r>
            <w:r>
              <w:rPr>
                <w:spacing w:val="15"/>
              </w:rPr>
              <w:t>价，前值0.2%),较上月进一步回升，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95"/>
        </w:trPr>
        <w:tc>
          <w:tcPr>
            <w:tcW w:w="6989" w:type="dxa"/>
            <w:vAlign w:val="top"/>
          </w:tcPr>
          <w:p>
            <w:pPr>
              <w:pStyle w:val="TableText"/>
              <w:spacing w:before="51" w:line="216" w:lineRule="auto"/>
            </w:pPr>
            <w:r>
              <w:rPr>
                <w:spacing w:val="12"/>
              </w:rPr>
              <w:t>好于市场的一致预期(0.1%)。季节性调整后，进口规模环比增长</w:t>
            </w:r>
            <w:r>
              <w:rPr>
                <w:spacing w:val="11"/>
              </w:rPr>
              <w:t>1.7%(前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pgSz w:w="11910" w:h="16840"/>
          <w:pgMar w:top="299" w:right="259" w:bottom="0" w:left="258" w:header="0" w:footer="0" w:gutter="0"/>
          <w:cols w:space="708"/>
        </w:sectPr>
      </w:pPr>
    </w:p>
    <w:tbl>
      <w:tblPr>
        <w:tblStyle w:val="TableNormal0"/>
        <w:tblW w:w="10539" w:type="dxa"/>
        <w:tblInd w:w="8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89"/>
        <w:gridCol w:w="3550"/>
      </w:tblGrid>
      <w:tr>
        <w:tblPrEx>
          <w:tblW w:w="10539" w:type="dxa"/>
          <w:tblInd w:w="81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90"/>
        </w:trPr>
        <w:tc>
          <w:tcPr>
            <w:tcW w:w="6989" w:type="dxa"/>
            <w:vAlign w:val="top"/>
          </w:tcPr>
          <w:p>
            <w:pPr>
              <w:pStyle w:val="TableText"/>
              <w:spacing w:before="36" w:line="220" w:lineRule="auto"/>
            </w:pPr>
            <w:r>
              <w:rPr>
                <w:spacing w:val="9"/>
              </w:rPr>
              <w:t>值0.8%),反映出内需或正在持续修复。从四年复合同比增</w:t>
            </w:r>
            <w:r>
              <w:rPr>
                <w:spacing w:val="8"/>
              </w:rPr>
              <w:t>速来看，主要进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3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10"/>
              </w:rPr>
              <w:t>口产品中，高新技术产品的进口出现反弹，机电产品的进口保持平稳，原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6"/>
        </w:trPr>
        <w:tc>
          <w:tcPr>
            <w:tcW w:w="6989" w:type="dxa"/>
            <w:vAlign w:val="top"/>
          </w:tcPr>
          <w:p>
            <w:pPr>
              <w:pStyle w:val="TableText"/>
              <w:spacing w:before="49" w:line="225" w:lineRule="auto"/>
            </w:pPr>
            <w:r>
              <w:rPr>
                <w:spacing w:val="5"/>
              </w:rPr>
              <w:t>材料的进口则有所回落。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57"/>
        </w:trPr>
        <w:tc>
          <w:tcPr>
            <w:tcW w:w="6989" w:type="dxa"/>
            <w:vAlign w:val="top"/>
          </w:tcPr>
          <w:p>
            <w:pPr>
              <w:pStyle w:val="TableText"/>
              <w:spacing w:before="198" w:line="224" w:lineRule="auto"/>
            </w:pPr>
            <w:r>
              <w:rPr>
                <w:spacing w:val="8"/>
              </w:rPr>
              <w:t>&gt;</w:t>
            </w:r>
            <w:r>
              <w:rPr>
                <w:spacing w:val="52"/>
              </w:rPr>
              <w:t xml:space="preserve">  </w:t>
            </w:r>
            <w:r>
              <w:rPr>
                <w:b/>
                <w:bCs/>
                <w:spacing w:val="8"/>
              </w:rPr>
              <w:t>后续外贸走势展望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4"/>
        </w:trPr>
        <w:tc>
          <w:tcPr>
            <w:tcW w:w="6989" w:type="dxa"/>
            <w:vAlign w:val="top"/>
          </w:tcPr>
          <w:p>
            <w:pPr>
              <w:pStyle w:val="TableText"/>
              <w:spacing w:before="50" w:line="220" w:lineRule="auto"/>
            </w:pPr>
            <w:r>
              <w:rPr>
                <w:spacing w:val="9"/>
              </w:rPr>
              <w:t>出口方面，近几个月中国出口份额保持平稳，我们认为2024年中国出口份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4"/>
              </w:rPr>
              <w:t>额或好于预期，同时，美国经济也有望软着陆，支撑中国外需。因为，我们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00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220" w:lineRule="auto"/>
            </w:pPr>
            <w:r>
              <w:rPr>
                <w:spacing w:val="6"/>
              </w:rPr>
              <w:t>认为，我国季节性调整后的出口规模或有望保持温和的环比正增长。当然，</w:t>
            </w:r>
          </w:p>
        </w:tc>
        <w:tc>
          <w:tcPr>
            <w:tcW w:w="35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44"/>
        </w:trPr>
        <w:tc>
          <w:tcPr>
            <w:tcW w:w="6989" w:type="dxa"/>
            <w:vAlign w:val="top"/>
          </w:tcPr>
          <w:p>
            <w:pPr>
              <w:pStyle w:val="TableText"/>
              <w:spacing w:before="46" w:line="173" w:lineRule="auto"/>
            </w:pPr>
            <w:r>
              <w:rPr>
                <w:spacing w:val="12"/>
              </w:rPr>
              <w:t>考虑到2023年年初基数较高，3-4月的出口同比增</w:t>
            </w:r>
            <w:r>
              <w:rPr>
                <w:spacing w:val="11"/>
              </w:rPr>
              <w:t>速可能会处于负增长区</w:t>
            </w:r>
          </w:p>
        </w:tc>
        <w:tc>
          <w:tcPr>
            <w:tcW w:w="3550" w:type="dxa"/>
            <w:vAlign w:val="top"/>
          </w:tcPr>
          <w:p>
            <w:pPr>
              <w:spacing w:line="233" w:lineRule="exact"/>
              <w:rPr>
                <w:rFonts w:ascii="Arial"/>
                <w:sz w:val="20"/>
              </w:rPr>
            </w:pP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407"/>
        </w:trPr>
        <w:tc>
          <w:tcPr>
            <w:tcW w:w="6989" w:type="dxa"/>
            <w:vAlign w:val="top"/>
          </w:tcPr>
          <w:p>
            <w:pPr>
              <w:pStyle w:val="TableText"/>
              <w:spacing w:before="102" w:line="220" w:lineRule="auto"/>
            </w:pPr>
            <w:r>
              <w:rPr>
                <w:spacing w:val="6"/>
              </w:rPr>
              <w:t>间。进口方面，近期超预期的社融、</w:t>
            </w:r>
            <w:r>
              <w:rPr>
                <w:rFonts w:ascii="Times New Roman" w:eastAsia="Times New Roman" w:hAnsi="Times New Roman" w:cs="Times New Roman"/>
              </w:rPr>
              <w:t>PMI</w:t>
            </w:r>
            <w:r>
              <w:rPr>
                <w:rFonts w:ascii="SimSun" w:eastAsia="SimSun" w:hAnsi="SimSun" w:cs="SimSun"/>
                <w:spacing w:val="6"/>
              </w:rPr>
              <w:t>、</w:t>
            </w:r>
            <w:r>
              <w:rPr>
                <w:spacing w:val="6"/>
              </w:rPr>
              <w:t>春节假期消费的数据都显</w:t>
            </w:r>
            <w:r>
              <w:rPr>
                <w:spacing w:val="5"/>
              </w:rPr>
              <w:t>示出，</w:t>
            </w:r>
          </w:p>
        </w:tc>
        <w:tc>
          <w:tcPr>
            <w:tcW w:w="3550" w:type="dxa"/>
            <w:vAlign w:val="top"/>
          </w:tcPr>
          <w:p>
            <w:pPr>
              <w:pStyle w:val="TableText"/>
              <w:spacing w:before="1" w:line="219" w:lineRule="auto"/>
              <w:ind w:left="253"/>
            </w:pPr>
            <w: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posOffset>155721</wp:posOffset>
                  </wp:positionH>
                  <wp:positionV relativeFrom="paragraph">
                    <wp:posOffset>114634</wp:posOffset>
                  </wp:positionV>
                  <wp:extent cx="2099158" cy="6350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158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C00000"/>
                <w:spacing w:val="-11"/>
              </w:rPr>
              <w:t>相</w:t>
            </w:r>
            <w:r>
              <w:rPr>
                <w:color w:val="C00000"/>
                <w:spacing w:val="21"/>
              </w:rPr>
              <w:t xml:space="preserve"> </w:t>
            </w:r>
            <w:r>
              <w:rPr>
                <w:b/>
                <w:bCs/>
                <w:color w:val="C00000"/>
                <w:spacing w:val="-11"/>
              </w:rPr>
              <w:t>关</w:t>
            </w:r>
            <w:r>
              <w:rPr>
                <w:color w:val="C00000"/>
                <w:spacing w:val="5"/>
              </w:rPr>
              <w:t xml:space="preserve"> </w:t>
            </w:r>
            <w:r>
              <w:rPr>
                <w:b/>
                <w:bCs/>
                <w:color w:val="C00000"/>
                <w:spacing w:val="-11"/>
              </w:rPr>
              <w:t>报</w:t>
            </w:r>
            <w:r>
              <w:rPr>
                <w:color w:val="C00000"/>
                <w:spacing w:val="5"/>
              </w:rPr>
              <w:t xml:space="preserve"> </w:t>
            </w:r>
            <w:r>
              <w:rPr>
                <w:b/>
                <w:bCs/>
                <w:color w:val="C00000"/>
                <w:spacing w:val="-11"/>
              </w:rPr>
              <w:t>告</w:t>
            </w:r>
          </w:p>
          <w:p>
            <w:pPr>
              <w:pStyle w:val="TableText"/>
              <w:spacing w:before="17" w:line="174" w:lineRule="auto"/>
              <w:ind w:left="250"/>
              <w:rPr>
                <w:sz w:val="15"/>
                <w:szCs w:val="15"/>
              </w:rPr>
            </w:pPr>
            <w:r>
              <w:rPr>
                <w:spacing w:val="-7"/>
                <w:sz w:val="15"/>
                <w:szCs w:val="15"/>
              </w:rPr>
              <w:t>1、《2月</w:t>
            </w:r>
            <w:r>
              <w:rPr>
                <w:rFonts w:ascii="Times New Roman" w:eastAsia="Times New Roman" w:hAnsi="Times New Roman" w:cs="Times New Roman"/>
                <w:spacing w:val="-7"/>
                <w:sz w:val="15"/>
                <w:szCs w:val="15"/>
              </w:rPr>
              <w:t xml:space="preserve">PMI  </w:t>
            </w:r>
            <w:r>
              <w:rPr>
                <w:spacing w:val="-7"/>
                <w:sz w:val="15"/>
                <w:szCs w:val="15"/>
              </w:rPr>
              <w:t>继续好于季节性：</w:t>
            </w:r>
            <w:r>
              <w:rPr>
                <w:spacing w:val="36"/>
                <w:sz w:val="15"/>
                <w:szCs w:val="15"/>
              </w:rPr>
              <w:t xml:space="preserve"> </w:t>
            </w:r>
            <w:r>
              <w:rPr>
                <w:spacing w:val="-7"/>
                <w:sz w:val="15"/>
                <w:szCs w:val="15"/>
              </w:rPr>
              <w:t>——对</w:t>
            </w:r>
            <w:r>
              <w:rPr>
                <w:spacing w:val="-8"/>
                <w:sz w:val="15"/>
                <w:szCs w:val="15"/>
              </w:rPr>
              <w:t>2月</w:t>
            </w:r>
            <w:r>
              <w:rPr>
                <w:rFonts w:ascii="Times New Roman" w:eastAsia="Times New Roman" w:hAnsi="Times New Roman" w:cs="Times New Roman"/>
                <w:spacing w:val="-8"/>
                <w:sz w:val="15"/>
                <w:szCs w:val="15"/>
              </w:rPr>
              <w:t xml:space="preserve">PMI  </w:t>
            </w:r>
            <w:r>
              <w:rPr>
                <w:spacing w:val="-8"/>
                <w:sz w:val="15"/>
                <w:szCs w:val="15"/>
              </w:rPr>
              <w:t>和</w:t>
            </w: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222"/>
        </w:trPr>
        <w:tc>
          <w:tcPr>
            <w:tcW w:w="6989" w:type="dxa"/>
            <w:vAlign w:val="top"/>
          </w:tcPr>
          <w:p>
            <w:pPr>
              <w:pStyle w:val="TableText"/>
              <w:spacing w:line="195" w:lineRule="auto"/>
            </w:pPr>
            <w:r>
              <w:rPr>
                <w:spacing w:val="7"/>
              </w:rPr>
              <w:t>内需或正在修复的正循环之中，我们认为进口也有望继续增长。</w:t>
            </w:r>
          </w:p>
        </w:tc>
        <w:tc>
          <w:tcPr>
            <w:tcW w:w="3550" w:type="dxa"/>
            <w:vAlign w:val="top"/>
          </w:tcPr>
          <w:p>
            <w:pPr>
              <w:pStyle w:val="TableText"/>
              <w:spacing w:before="48" w:line="201" w:lineRule="auto"/>
              <w:ind w:left="25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高频数据的思考及未来经济展望》2024.03.04</w:t>
            </w:r>
          </w:p>
        </w:tc>
      </w:tr>
      <w:tr>
        <w:tblPrEx>
          <w:tblW w:w="10539" w:type="dxa"/>
          <w:tblInd w:w="811" w:type="dxa"/>
          <w:tblLayout w:type="fixed"/>
        </w:tblPrEx>
        <w:trPr>
          <w:trHeight w:val="373"/>
        </w:trPr>
        <w:tc>
          <w:tcPr>
            <w:tcW w:w="6989" w:type="dxa"/>
            <w:vAlign w:val="top"/>
          </w:tcPr>
          <w:p>
            <w:pPr>
              <w:pStyle w:val="TableText"/>
              <w:spacing w:before="73" w:line="220" w:lineRule="auto"/>
              <w:ind w:left="2"/>
            </w:pPr>
            <w:r>
              <w:rPr>
                <w:b/>
                <w:bCs/>
                <w:spacing w:val="3"/>
              </w:rPr>
              <w:t>风险提示：</w:t>
            </w:r>
            <w:r>
              <w:rPr>
                <w:spacing w:val="35"/>
              </w:rPr>
              <w:t xml:space="preserve"> </w:t>
            </w:r>
            <w:r>
              <w:rPr>
                <w:spacing w:val="3"/>
              </w:rPr>
              <w:t>海外经济与预期不一致，政策与预期不一致</w:t>
            </w:r>
          </w:p>
        </w:tc>
        <w:tc>
          <w:tcPr>
            <w:tcW w:w="3550" w:type="dxa"/>
            <w:vAlign w:val="top"/>
          </w:tcPr>
          <w:p>
            <w:pPr>
              <w:pStyle w:val="TableText"/>
              <w:spacing w:before="18" w:line="212" w:lineRule="auto"/>
              <w:ind w:left="250" w:right="178"/>
              <w:rPr>
                <w:sz w:val="15"/>
                <w:szCs w:val="15"/>
              </w:rPr>
            </w:pPr>
            <w:r>
              <w:rPr>
                <w:spacing w:val="-16"/>
                <w:sz w:val="15"/>
                <w:szCs w:val="15"/>
              </w:rPr>
              <w:t>2、《特朗普若当选加征关税的可能不宜低估：</w:t>
            </w:r>
            <w:r>
              <w:rPr>
                <w:spacing w:val="37"/>
                <w:sz w:val="15"/>
                <w:szCs w:val="15"/>
              </w:rPr>
              <w:t xml:space="preserve"> </w:t>
            </w:r>
            <w:r>
              <w:rPr>
                <w:spacing w:val="-16"/>
                <w:sz w:val="15"/>
                <w:szCs w:val="15"/>
              </w:rPr>
              <w:t>——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海外宏观周专题》2024.02.25</w:t>
            </w:r>
          </w:p>
        </w:tc>
      </w:tr>
    </w:tbl>
    <w:p>
      <w:pPr>
        <w:spacing w:before="240" w:line="222" w:lineRule="auto"/>
        <w:ind w:left="5681"/>
        <w:rPr>
          <w:rFonts w:ascii="KaiTi" w:eastAsia="KaiTi" w:hAnsi="KaiTi" w:cs="KaiTi"/>
          <w:sz w:val="20"/>
          <w:szCs w:val="20"/>
        </w:rPr>
      </w:pPr>
      <w:r>
        <w:rPr>
          <w:rFonts w:ascii="SimSun" w:eastAsia="SimSun" w:hAnsi="SimSun" w:cs="SimSun"/>
          <w:spacing w:val="-22"/>
          <w:position w:val="-1"/>
          <w:sz w:val="15"/>
          <w:szCs w:val="15"/>
        </w:rPr>
        <w:t>1</w:t>
      </w:r>
      <w:r>
        <w:rPr>
          <w:rFonts w:ascii="SimSun" w:eastAsia="SimSun" w:hAnsi="SimSun" w:cs="SimSun"/>
          <w:spacing w:val="1"/>
          <w:position w:val="-1"/>
          <w:sz w:val="15"/>
          <w:szCs w:val="15"/>
        </w:rPr>
        <w:t xml:space="preserve">                                  </w:t>
      </w:r>
      <w:r>
        <w:rPr>
          <w:rFonts w:ascii="KaiTi" w:eastAsia="KaiTi" w:hAnsi="KaiTi" w:cs="KaiTi"/>
          <w:spacing w:val="-22"/>
          <w:sz w:val="20"/>
          <w:szCs w:val="20"/>
        </w:rPr>
        <w:t>请务必阅读报告末页的重要声明</w:t>
      </w:r>
    </w:p>
    <w:p>
      <w:pPr>
        <w:spacing w:line="222" w:lineRule="auto"/>
        <w:rPr>
          <w:rFonts w:ascii="KaiTi" w:eastAsia="KaiTi" w:hAnsi="KaiTi" w:cs="KaiTi"/>
          <w:sz w:val="20"/>
          <w:szCs w:val="20"/>
        </w:rPr>
        <w:sectPr>
          <w:type w:val="nextPage"/>
          <w:pgSz w:w="11910" w:h="16840"/>
          <w:pgMar w:top="299" w:right="259" w:bottom="0" w:left="258" w:header="0" w:footer="0" w:gutter="0"/>
          <w:pgNumType w:start="2"/>
          <w:cols w:space="708"/>
          <w:titlePg w:val="0"/>
        </w:sectPr>
      </w:pPr>
    </w:p>
    <w:p>
      <w:pPr>
        <w:spacing w:line="391" w:lineRule="auto"/>
        <w:rPr>
          <w:rFonts w:ascii="Arial"/>
          <w:sz w:val="21"/>
        </w:rPr>
      </w:pPr>
    </w:p>
    <w:p>
      <w:pPr>
        <w:pStyle w:val="BodyText"/>
        <w:spacing w:before="120" w:line="186" w:lineRule="auto"/>
        <w:ind w:left="2593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正文目录</w:t>
      </w:r>
    </w:p>
    <w:sdt>
      <w:sdtPr>
        <w:rPr>
          <w:rFonts w:ascii="Arial" w:eastAsia="Arial" w:hAnsi="Arial" w:cs="Arial"/>
          <w:sz w:val="21"/>
          <w:szCs w:val="21"/>
        </w:rPr>
        <w:id w:val="1962634443"/>
        <w:docPartObj>
          <w:docPartGallery w:val="Table of Contents"/>
          <w:docPartUnique/>
        </w:docPartObj>
      </w:sdtPr>
      <w:sdtEndPr>
        <w:rPr>
          <w:rFonts w:ascii="Microsoft YaHei" w:eastAsia="Microsoft YaHei" w:hAnsi="Microsoft YaHei" w:cs="Microsoft YaHei"/>
          <w:sz w:val="21"/>
          <w:szCs w:val="21"/>
        </w:rPr>
      </w:sdtEndPr>
      <w:sdtContent>
        <w:p>
          <w:pPr>
            <w:pStyle w:val="BodyText"/>
            <w:tabs>
              <w:tab w:val="right" w:leader="dot" w:pos="10227"/>
            </w:tabs>
            <w:spacing w:before="166" w:line="211" w:lineRule="exact"/>
            <w:ind w:left="2598"/>
          </w:pPr>
          <w:hyperlink w:anchor="bookmark1" w:history="1">
            <w:r>
              <w:rPr>
                <w:rFonts w:ascii="Arial" w:eastAsia="Arial" w:hAnsi="Arial" w:cs="Arial"/>
                <w:b/>
                <w:bCs/>
                <w:spacing w:val="-5"/>
                <w:position w:val="-1"/>
              </w:rPr>
              <w:t>1.</w:t>
            </w:r>
            <w:r>
              <w:rPr>
                <w:rFonts w:ascii="Arial" w:eastAsia="Arial" w:hAnsi="Arial" w:cs="Arial"/>
                <w:b/>
                <w:bCs/>
                <w:spacing w:val="8"/>
                <w:position w:val="-1"/>
              </w:rPr>
              <w:t xml:space="preserve">    </w:t>
            </w:r>
            <w:r>
              <w:rPr>
                <w:b/>
                <w:bCs/>
                <w:spacing w:val="-5"/>
                <w:position w:val="-1"/>
              </w:rPr>
              <w:t xml:space="preserve">1-2 月出口明显反弹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3</w:t>
            </w:r>
          </w:hyperlink>
        </w:p>
        <w:p>
          <w:pPr>
            <w:tabs>
              <w:tab w:val="right" w:leader="dot" w:pos="10235"/>
            </w:tabs>
            <w:spacing w:before="62" w:line="186" w:lineRule="auto"/>
            <w:ind w:left="3025"/>
            <w:rPr>
              <w:rFonts w:ascii="KaiTi" w:eastAsia="KaiTi" w:hAnsi="KaiTi" w:cs="KaiTi"/>
              <w:sz w:val="21"/>
              <w:szCs w:val="21"/>
            </w:rPr>
          </w:pPr>
          <w:hyperlink w:anchor="bookmark2" w:history="1">
            <w:r>
              <w:rPr>
                <w:rFonts w:ascii="Arial" w:eastAsia="Arial" w:hAnsi="Arial" w:cs="Arial"/>
                <w:spacing w:val="-3"/>
                <w:sz w:val="21"/>
                <w:szCs w:val="21"/>
              </w:rPr>
              <w:t xml:space="preserve">1.1      </w:t>
            </w:r>
            <w:r>
              <w:rPr>
                <w:rFonts w:ascii="KaiTi" w:eastAsia="KaiTi" w:hAnsi="KaiTi" w:cs="KaiTi"/>
                <w:spacing w:val="-3"/>
                <w:sz w:val="21"/>
                <w:szCs w:val="21"/>
              </w:rPr>
              <w:t>1-2</w:t>
            </w:r>
            <w:r>
              <w:rPr>
                <w:rFonts w:ascii="KaiTi" w:eastAsia="KaiTi" w:hAnsi="KaiTi" w:cs="KaiTi"/>
                <w:spacing w:val="-21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pacing w:val="-3"/>
                <w:sz w:val="21"/>
                <w:szCs w:val="21"/>
              </w:rPr>
              <w:t>月出口环比大幅回升</w:t>
            </w:r>
            <w:r>
              <w:rPr>
                <w:rFonts w:ascii="KaiTi" w:eastAsia="KaiTi" w:hAnsi="KaiTi" w:cs="KaiTi"/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32"/>
                <w:w w:val="14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10235"/>
            </w:tabs>
            <w:spacing w:before="59" w:line="186" w:lineRule="auto"/>
            <w:ind w:left="3025"/>
            <w:rPr>
              <w:rFonts w:ascii="KaiTi" w:eastAsia="KaiTi" w:hAnsi="KaiTi" w:cs="KaiTi"/>
              <w:sz w:val="21"/>
              <w:szCs w:val="21"/>
            </w:rPr>
          </w:pPr>
          <w:hyperlink w:anchor="bookmark3" w:history="1"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 xml:space="preserve">1.2      </w:t>
            </w:r>
            <w:r>
              <w:rPr>
                <w:rFonts w:ascii="KaiTi" w:eastAsia="KaiTi" w:hAnsi="KaiTi" w:cs="KaiTi"/>
                <w:spacing w:val="-2"/>
                <w:sz w:val="21"/>
                <w:szCs w:val="21"/>
              </w:rPr>
              <w:t>多数产品出口回升</w:t>
            </w:r>
            <w:r>
              <w:rPr>
                <w:rFonts w:ascii="KaiTi" w:eastAsia="KaiTi" w:hAnsi="KaiTi" w:cs="KaiTi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15"/>
                <w:w w:val="15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10235"/>
            </w:tabs>
            <w:spacing w:before="62" w:line="186" w:lineRule="auto"/>
            <w:ind w:left="3025"/>
            <w:rPr>
              <w:rFonts w:ascii="KaiTi" w:eastAsia="KaiTi" w:hAnsi="KaiTi" w:cs="KaiTi"/>
              <w:sz w:val="21"/>
              <w:szCs w:val="21"/>
            </w:rPr>
          </w:pPr>
          <w:hyperlink w:anchor="bookmark4" w:history="1"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1.3</w:t>
            </w:r>
            <w:r>
              <w:rPr>
                <w:rFonts w:ascii="Arial" w:eastAsia="Arial" w:hAnsi="Arial" w:cs="Arial"/>
                <w:spacing w:val="11"/>
                <w:sz w:val="21"/>
                <w:szCs w:val="21"/>
              </w:rPr>
              <w:t xml:space="preserve">     </w:t>
            </w:r>
            <w:r>
              <w:rPr>
                <w:rFonts w:ascii="KaiTi" w:eastAsia="KaiTi" w:hAnsi="KaiTi" w:cs="KaiTi"/>
                <w:spacing w:val="-1"/>
                <w:sz w:val="21"/>
                <w:szCs w:val="21"/>
              </w:rPr>
              <w:t>对各类贸易对象的出口均有明显好转</w:t>
            </w:r>
            <w:r>
              <w:rPr>
                <w:rFonts w:ascii="KaiTi" w:eastAsia="KaiTi" w:hAnsi="KaiTi" w:cs="KaiTi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18"/>
                <w:w w:val="155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59" w:line="212" w:lineRule="exact"/>
            <w:ind w:left="2586"/>
          </w:pPr>
          <w:hyperlink w:anchor="bookmark5" w:history="1">
            <w:r>
              <w:rPr>
                <w:rFonts w:ascii="Arial" w:eastAsia="Arial" w:hAnsi="Arial" w:cs="Arial"/>
                <w:b/>
                <w:bCs/>
                <w:spacing w:val="-1"/>
                <w:position w:val="-1"/>
              </w:rPr>
              <w:t xml:space="preserve">2.    </w:t>
            </w:r>
            <w:r>
              <w:rPr>
                <w:b/>
                <w:bCs/>
                <w:spacing w:val="-1"/>
                <w:position w:val="-1"/>
              </w:rPr>
              <w:t>1-2</w:t>
            </w:r>
            <w:r>
              <w:rPr>
                <w:b/>
                <w:bCs/>
                <w:spacing w:val="8"/>
                <w:position w:val="-1"/>
              </w:rPr>
              <w:t xml:space="preserve"> </w:t>
            </w:r>
            <w:r>
              <w:rPr>
                <w:b/>
                <w:bCs/>
                <w:spacing w:val="-1"/>
                <w:position w:val="-1"/>
              </w:rPr>
              <w:t>月进口继续回升，表明内需</w:t>
            </w:r>
            <w:r>
              <w:rPr>
                <w:b/>
                <w:bCs/>
                <w:spacing w:val="-2"/>
                <w:position w:val="-1"/>
              </w:rPr>
              <w:t xml:space="preserve">或持续修复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7</w:t>
            </w:r>
          </w:hyperlink>
        </w:p>
        <w:p>
          <w:pPr>
            <w:tabs>
              <w:tab w:val="right" w:leader="dot" w:pos="10235"/>
            </w:tabs>
            <w:spacing w:before="59" w:line="186" w:lineRule="auto"/>
            <w:ind w:left="3008"/>
            <w:rPr>
              <w:rFonts w:ascii="KaiTi" w:eastAsia="KaiTi" w:hAnsi="KaiTi" w:cs="KaiTi"/>
              <w:sz w:val="21"/>
              <w:szCs w:val="21"/>
            </w:rPr>
          </w:pPr>
          <w:hyperlink w:anchor="bookmark6" w:history="1">
            <w:r>
              <w:rPr>
                <w:rFonts w:ascii="Arial" w:eastAsia="Arial" w:hAnsi="Arial" w:cs="Arial"/>
                <w:spacing w:val="-2"/>
                <w:sz w:val="21"/>
                <w:szCs w:val="21"/>
              </w:rPr>
              <w:t xml:space="preserve">2.1      </w:t>
            </w:r>
            <w:r>
              <w:rPr>
                <w:rFonts w:ascii="KaiTi" w:eastAsia="KaiTi" w:hAnsi="KaiTi" w:cs="KaiTi"/>
                <w:spacing w:val="-2"/>
                <w:sz w:val="21"/>
                <w:szCs w:val="21"/>
              </w:rPr>
              <w:t>1-2</w:t>
            </w:r>
            <w:r>
              <w:rPr>
                <w:rFonts w:ascii="KaiTi" w:eastAsia="KaiTi" w:hAnsi="KaiTi" w:cs="KaiTi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pacing w:val="-2"/>
                <w:sz w:val="21"/>
                <w:szCs w:val="21"/>
              </w:rPr>
              <w:t>月进口环比上行</w:t>
            </w:r>
            <w:r>
              <w:rPr>
                <w:rFonts w:ascii="KaiTi" w:eastAsia="KaiTi" w:hAnsi="KaiTi" w:cs="KaiTi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32"/>
                <w:w w:val="14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10235"/>
            </w:tabs>
            <w:spacing w:before="62" w:line="186" w:lineRule="auto"/>
            <w:ind w:left="3008"/>
            <w:rPr>
              <w:rFonts w:ascii="KaiTi" w:eastAsia="KaiTi" w:hAnsi="KaiTi" w:cs="KaiTi"/>
              <w:sz w:val="21"/>
              <w:szCs w:val="21"/>
            </w:rPr>
          </w:pPr>
          <w:hyperlink w:anchor="bookmark7" w:history="1">
            <w:r>
              <w:rPr>
                <w:rFonts w:ascii="Arial" w:eastAsia="Arial" w:hAnsi="Arial" w:cs="Arial"/>
                <w:sz w:val="21"/>
                <w:szCs w:val="21"/>
              </w:rPr>
              <w:t>2.2</w:t>
            </w:r>
            <w:r>
              <w:rPr>
                <w:rFonts w:ascii="Arial" w:eastAsia="Arial" w:hAnsi="Arial" w:cs="Arial"/>
                <w:spacing w:val="11"/>
                <w:sz w:val="21"/>
                <w:szCs w:val="21"/>
              </w:rPr>
              <w:t xml:space="preserve">     </w:t>
            </w:r>
            <w:r>
              <w:rPr>
                <w:rFonts w:ascii="KaiTi" w:eastAsia="KaiTi" w:hAnsi="KaiTi" w:cs="KaiTi"/>
                <w:sz w:val="21"/>
                <w:szCs w:val="21"/>
              </w:rPr>
              <w:t>产成品进口回升，原材料进口回落</w:t>
            </w:r>
            <w:r>
              <w:rPr>
                <w:rFonts w:ascii="KaiTi" w:eastAsia="KaiTi" w:hAnsi="KaiTi" w:cs="KaiTi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23"/>
                <w:w w:val="150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589"/>
          </w:pPr>
          <w:hyperlink w:anchor="bookmark8" w:history="1">
            <w:r>
              <w:rPr>
                <w:rFonts w:ascii="Arial" w:eastAsia="Arial" w:hAnsi="Arial" w:cs="Arial"/>
                <w:b/>
                <w:bCs/>
                <w:position w:val="-1"/>
              </w:rPr>
              <w:t xml:space="preserve">3.    </w:t>
            </w:r>
            <w:r>
              <w:rPr>
                <w:b/>
                <w:bCs/>
                <w:position w:val="-1"/>
              </w:rPr>
              <w:t xml:space="preserve">后续外贸走势展望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9</w:t>
            </w:r>
          </w:hyperlink>
        </w:p>
        <w:p>
          <w:pPr>
            <w:tabs>
              <w:tab w:val="right" w:leader="dot" w:pos="10235"/>
            </w:tabs>
            <w:spacing w:before="62" w:line="186" w:lineRule="auto"/>
            <w:ind w:left="3011"/>
            <w:rPr>
              <w:rFonts w:ascii="KaiTi" w:eastAsia="KaiTi" w:hAnsi="KaiTi" w:cs="KaiTi"/>
              <w:sz w:val="21"/>
              <w:szCs w:val="21"/>
            </w:rPr>
          </w:pPr>
          <w:hyperlink w:anchor="bookmark9" w:history="1"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 xml:space="preserve">3.1      </w:t>
            </w:r>
            <w:r>
              <w:rPr>
                <w:rFonts w:ascii="KaiTi" w:eastAsia="KaiTi" w:hAnsi="KaiTi" w:cs="KaiTi"/>
                <w:spacing w:val="-1"/>
                <w:sz w:val="21"/>
                <w:szCs w:val="21"/>
              </w:rPr>
              <w:t>出口有望保持温和的环比正增长</w:t>
            </w:r>
            <w:r>
              <w:rPr>
                <w:rFonts w:ascii="KaiTi" w:eastAsia="KaiTi" w:hAnsi="KaiTi" w:cs="KaiTi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15"/>
                <w:w w:val="15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10235"/>
            </w:tabs>
            <w:spacing w:before="60" w:line="186" w:lineRule="auto"/>
            <w:ind w:left="3011"/>
            <w:rPr>
              <w:rFonts w:ascii="KaiTi" w:eastAsia="KaiTi" w:hAnsi="KaiTi" w:cs="KaiTi"/>
              <w:sz w:val="21"/>
              <w:szCs w:val="21"/>
            </w:rPr>
          </w:pPr>
          <w:hyperlink w:anchor="bookmark10" w:history="1">
            <w:r>
              <w:rPr>
                <w:rFonts w:ascii="Arial" w:eastAsia="Arial" w:hAnsi="Arial" w:cs="Arial"/>
                <w:spacing w:val="-1"/>
                <w:sz w:val="21"/>
                <w:szCs w:val="21"/>
              </w:rPr>
              <w:t>3.2</w:t>
            </w:r>
            <w:r>
              <w:rPr>
                <w:rFonts w:ascii="Arial" w:eastAsia="Arial" w:hAnsi="Arial" w:cs="Arial"/>
                <w:spacing w:val="13"/>
                <w:sz w:val="21"/>
                <w:szCs w:val="21"/>
              </w:rPr>
              <w:t xml:space="preserve">     </w:t>
            </w:r>
            <w:r>
              <w:rPr>
                <w:rFonts w:ascii="KaiTi" w:eastAsia="KaiTi" w:hAnsi="KaiTi" w:cs="KaiTi"/>
                <w:spacing w:val="-1"/>
                <w:sz w:val="21"/>
                <w:szCs w:val="21"/>
              </w:rPr>
              <w:t>进口或随内需修复进一步回升</w:t>
            </w:r>
            <w:r>
              <w:rPr>
                <w:rFonts w:ascii="KaiTi" w:eastAsia="KaiTi" w:hAnsi="KaiTi" w:cs="KaiTi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sz w:val="21"/>
                <w:szCs w:val="21"/>
              </w:rPr>
              <w:tab/>
            </w:r>
            <w:r>
              <w:rPr>
                <w:rFonts w:ascii="KaiTi" w:eastAsia="KaiTi" w:hAnsi="KaiTi" w:cs="KaiTi"/>
                <w:spacing w:val="37"/>
                <w:sz w:val="21"/>
                <w:szCs w:val="21"/>
              </w:rPr>
              <w:t>11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2" w:line="185" w:lineRule="auto"/>
            <w:ind w:left="2585"/>
          </w:pPr>
          <w:hyperlink w:anchor="bookmark11" w:history="1">
            <w:r>
              <w:rPr>
                <w:rFonts w:ascii="Arial" w:eastAsia="Arial" w:hAnsi="Arial" w:cs="Arial"/>
                <w:b/>
                <w:bCs/>
                <w:spacing w:val="-1"/>
              </w:rPr>
              <w:t>4.</w:t>
            </w:r>
            <w:r>
              <w:rPr>
                <w:rFonts w:ascii="Arial" w:eastAsia="Arial" w:hAnsi="Arial" w:cs="Arial"/>
                <w:b/>
                <w:bCs/>
                <w:spacing w:val="4"/>
              </w:rPr>
              <w:t xml:space="preserve">    </w:t>
            </w:r>
            <w:r>
              <w:rPr>
                <w:b/>
                <w:bCs/>
                <w:spacing w:val="-1"/>
              </w:rPr>
              <w:t>风险提示</w:t>
            </w:r>
            <w:r>
              <w:rPr>
                <w:b/>
                <w:bCs/>
                <w:spacing w:val="38"/>
              </w:rPr>
              <w:t xml:space="preserve"> </w:t>
            </w:r>
            <w:r>
              <w:rPr>
                <w:b/>
                <w:bCs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-3"/>
              </w:rPr>
              <w:t>11</w:t>
            </w:r>
          </w:hyperlink>
        </w:p>
      </w:sdtContent>
    </w:sdt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28"/>
          <w:szCs w:val="28"/>
        </w:rPr>
        <w:id w:val="442493125"/>
        <w:docPartObj>
          <w:docPartGallery w:val="Table of Contents"/>
          <w:docPartUnique/>
        </w:docPartObj>
      </w:sdtPr>
      <w:sdtEndPr>
        <w:rPr>
          <w:rFonts w:ascii="Microsoft YaHei" w:eastAsia="Microsoft YaHei" w:hAnsi="Microsoft YaHei" w:cs="Microsoft YaHei"/>
          <w:sz w:val="21"/>
          <w:szCs w:val="21"/>
        </w:rPr>
      </w:sdtEndPr>
      <w:sdtContent>
        <w:p>
          <w:pPr>
            <w:pStyle w:val="BodyText"/>
            <w:spacing w:before="120" w:line="185" w:lineRule="auto"/>
            <w:ind w:left="2626"/>
            <w:rPr>
              <w:sz w:val="28"/>
              <w:szCs w:val="28"/>
            </w:rPr>
          </w:pPr>
          <w:r>
            <w:rPr>
              <w:b/>
              <w:bCs/>
              <w:spacing w:val="-10"/>
              <w:sz w:val="28"/>
              <w:szCs w:val="28"/>
            </w:rPr>
            <w:t>图表目录</w:t>
          </w:r>
        </w:p>
        <w:p>
          <w:pPr>
            <w:pStyle w:val="BodyText"/>
            <w:tabs>
              <w:tab w:val="right" w:leader="dot" w:pos="10227"/>
            </w:tabs>
            <w:spacing w:before="167" w:line="211" w:lineRule="exact"/>
            <w:ind w:left="2615"/>
          </w:pPr>
          <w:hyperlink w:anchor="bookmark12" w:history="1">
            <w:r>
              <w:rPr>
                <w:b/>
                <w:bCs/>
                <w:spacing w:val="-11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11"/>
                <w:position w:val="-1"/>
              </w:rPr>
              <w:t>1</w:t>
            </w:r>
            <w:r>
              <w:rPr>
                <w:b/>
                <w:bCs/>
                <w:spacing w:val="-11"/>
                <w:position w:val="-1"/>
              </w:rPr>
              <w:t>：</w:t>
            </w:r>
            <w:r>
              <w:rPr>
                <w:b/>
                <w:bCs/>
                <w:spacing w:val="17"/>
                <w:position w:val="-1"/>
              </w:rPr>
              <w:t xml:space="preserve">  </w:t>
            </w:r>
            <w:r>
              <w:rPr>
                <w:b/>
                <w:bCs/>
                <w:spacing w:val="-11"/>
                <w:position w:val="-1"/>
              </w:rPr>
              <w:t>中国出口同比增速（美元计价）</w:t>
            </w:r>
            <w:r>
              <w:rPr>
                <w:b/>
                <w:bCs/>
                <w:spacing w:val="11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3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615"/>
          </w:pPr>
          <w:hyperlink w:anchor="bookmark13" w:history="1">
            <w:r>
              <w:rPr>
                <w:b/>
                <w:bCs/>
                <w:spacing w:val="-9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9"/>
                <w:position w:val="-1"/>
              </w:rPr>
              <w:t>2</w:t>
            </w:r>
            <w:r>
              <w:rPr>
                <w:b/>
                <w:bCs/>
                <w:spacing w:val="-9"/>
                <w:position w:val="-1"/>
              </w:rPr>
              <w:t xml:space="preserve">：  中国出口金额（季调）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3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2" w:line="212" w:lineRule="exact"/>
            <w:ind w:left="2615"/>
          </w:pPr>
          <w:hyperlink w:anchor="bookmark14" w:history="1">
            <w:r>
              <w:rPr>
                <w:b/>
                <w:bCs/>
                <w:spacing w:val="-10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10"/>
                <w:position w:val="-1"/>
              </w:rPr>
              <w:t>3</w:t>
            </w:r>
            <w:r>
              <w:rPr>
                <w:b/>
                <w:bCs/>
                <w:spacing w:val="-10"/>
                <w:position w:val="-1"/>
              </w:rPr>
              <w:t>：  轻工产品出口金额（季调）</w:t>
            </w:r>
            <w:r>
              <w:rPr>
                <w:b/>
                <w:bCs/>
                <w:spacing w:val="12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4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615"/>
          </w:pPr>
          <w:hyperlink w:anchor="bookmark15" w:history="1">
            <w:r>
              <w:rPr>
                <w:b/>
                <w:bCs/>
                <w:spacing w:val="-7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7"/>
                <w:position w:val="-1"/>
              </w:rPr>
              <w:t>4</w:t>
            </w:r>
            <w:r>
              <w:rPr>
                <w:b/>
                <w:bCs/>
                <w:spacing w:val="-7"/>
                <w:position w:val="-1"/>
              </w:rPr>
              <w:t xml:space="preserve">：  高科技和机电产品出口金额（季调）  </w:t>
            </w:r>
            <w:r>
              <w:rPr>
                <w:b/>
                <w:bCs/>
                <w:spacing w:val="-8"/>
                <w:position w:val="-1"/>
              </w:rPr>
              <w:t xml:space="preserve">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4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2" w:line="211" w:lineRule="exact"/>
            <w:ind w:left="2615"/>
          </w:pPr>
          <w:hyperlink w:anchor="bookmark16" w:history="1">
            <w:r>
              <w:rPr>
                <w:b/>
                <w:bCs/>
                <w:spacing w:val="-9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9"/>
                <w:position w:val="-1"/>
              </w:rPr>
              <w:t>5</w:t>
            </w:r>
            <w:r>
              <w:rPr>
                <w:b/>
                <w:bCs/>
                <w:spacing w:val="-9"/>
                <w:position w:val="-1"/>
              </w:rPr>
              <w:t>：  部分机电产品出口金额（季调）</w:t>
            </w:r>
            <w:r>
              <w:rPr>
                <w:b/>
                <w:bCs/>
                <w:spacing w:val="16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5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2" w:lineRule="exact"/>
            <w:ind w:left="2615"/>
          </w:pPr>
          <w:hyperlink w:anchor="bookmark17" w:history="1">
            <w:r>
              <w:rPr>
                <w:b/>
                <w:bCs/>
                <w:spacing w:val="-8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8"/>
                <w:position w:val="-1"/>
              </w:rPr>
              <w:t>6</w:t>
            </w:r>
            <w:r>
              <w:rPr>
                <w:b/>
                <w:bCs/>
                <w:spacing w:val="-8"/>
                <w:position w:val="-1"/>
              </w:rPr>
              <w:t>：  农产品和原材料的出口金额（季调）</w:t>
            </w:r>
            <w:r>
              <w:rPr>
                <w:b/>
                <w:bCs/>
                <w:spacing w:val="18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5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2" w:line="211" w:lineRule="exact"/>
            <w:ind w:left="2615"/>
          </w:pPr>
          <w:hyperlink w:anchor="bookmark18" w:history="1">
            <w:r>
              <w:rPr>
                <w:b/>
                <w:bCs/>
                <w:spacing w:val="-8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8"/>
                <w:position w:val="-1"/>
              </w:rPr>
              <w:t>7</w:t>
            </w:r>
            <w:r>
              <w:rPr>
                <w:b/>
                <w:bCs/>
                <w:spacing w:val="-8"/>
                <w:position w:val="-1"/>
              </w:rPr>
              <w:t>：  对发达国家与地区的出口（季调）</w:t>
            </w:r>
            <w:r>
              <w:rPr>
                <w:b/>
                <w:bCs/>
                <w:spacing w:val="13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6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615"/>
          </w:pPr>
          <w:hyperlink w:anchor="bookmark19" w:history="1">
            <w:r>
              <w:rPr>
                <w:b/>
                <w:bCs/>
                <w:spacing w:val="-1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1"/>
                <w:position w:val="-1"/>
              </w:rPr>
              <w:t>8</w:t>
            </w:r>
            <w:r>
              <w:rPr>
                <w:b/>
                <w:bCs/>
                <w:spacing w:val="-1"/>
                <w:position w:val="-1"/>
              </w:rPr>
              <w:t>：</w:t>
            </w:r>
            <w:r>
              <w:rPr>
                <w:b/>
                <w:bCs/>
                <w:spacing w:val="55"/>
                <w:w w:val="101"/>
                <w:position w:val="-1"/>
              </w:rPr>
              <w:t xml:space="preserve"> </w:t>
            </w:r>
            <w:r>
              <w:rPr>
                <w:b/>
                <w:bCs/>
                <w:spacing w:val="-1"/>
                <w:position w:val="-1"/>
              </w:rPr>
              <w:t>对主要新兴市场国家与地区的出口（季调）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6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3" w:line="211" w:lineRule="exact"/>
            <w:ind w:left="2615"/>
          </w:pPr>
          <w:hyperlink w:anchor="bookmark20" w:history="1">
            <w:r>
              <w:rPr>
                <w:b/>
                <w:bCs/>
                <w:spacing w:val="-2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2"/>
                <w:position w:val="-1"/>
              </w:rPr>
              <w:t>9</w:t>
            </w:r>
            <w:r>
              <w:rPr>
                <w:b/>
                <w:bCs/>
                <w:spacing w:val="-2"/>
                <w:position w:val="-1"/>
              </w:rPr>
              <w:t>：</w:t>
            </w:r>
            <w:r>
              <w:rPr>
                <w:b/>
                <w:bCs/>
                <w:spacing w:val="62"/>
                <w:position w:val="-1"/>
              </w:rPr>
              <w:t xml:space="preserve"> </w:t>
            </w:r>
            <w:r>
              <w:rPr>
                <w:b/>
                <w:bCs/>
                <w:spacing w:val="-2"/>
                <w:position w:val="-1"/>
              </w:rPr>
              <w:t>对发达国家与地区出口的复合同比增速</w:t>
            </w:r>
            <w:r>
              <w:rPr>
                <w:b/>
                <w:bCs/>
                <w:spacing w:val="47"/>
                <w:position w:val="-1"/>
              </w:rPr>
              <w:t xml:space="preserve">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6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2" w:lineRule="exact"/>
            <w:ind w:left="2615"/>
          </w:pPr>
          <w:hyperlink w:anchor="bookmark21" w:history="1">
            <w:r>
              <w:rPr>
                <w:b/>
                <w:bCs/>
                <w:spacing w:val="-2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2"/>
                <w:position w:val="-1"/>
              </w:rPr>
              <w:t>10</w:t>
            </w:r>
            <w:r>
              <w:rPr>
                <w:b/>
                <w:bCs/>
                <w:spacing w:val="-2"/>
                <w:position w:val="-1"/>
              </w:rPr>
              <w:t>：  对主要新兴市场国家与地区出口的复合增速</w:t>
            </w:r>
            <w:r>
              <w:rPr>
                <w:b/>
                <w:bCs/>
                <w:spacing w:val="60"/>
                <w:position w:val="-1"/>
              </w:rPr>
              <w:t xml:space="preserve">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6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2" w:line="211" w:lineRule="exact"/>
            <w:ind w:left="2615"/>
          </w:pPr>
          <w:hyperlink w:anchor="bookmark22" w:history="1">
            <w:r>
              <w:rPr>
                <w:b/>
                <w:bCs/>
                <w:spacing w:val="-11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11"/>
                <w:position w:val="-1"/>
              </w:rPr>
              <w:t>11</w:t>
            </w:r>
            <w:r>
              <w:rPr>
                <w:b/>
                <w:bCs/>
                <w:spacing w:val="-11"/>
                <w:position w:val="-1"/>
              </w:rPr>
              <w:t>：</w:t>
            </w:r>
            <w:r>
              <w:rPr>
                <w:b/>
                <w:bCs/>
                <w:spacing w:val="17"/>
                <w:position w:val="-1"/>
              </w:rPr>
              <w:t xml:space="preserve">  </w:t>
            </w:r>
            <w:r>
              <w:rPr>
                <w:b/>
                <w:bCs/>
                <w:spacing w:val="-11"/>
                <w:position w:val="-1"/>
              </w:rPr>
              <w:t>中国进口同比增速（美元计价）</w:t>
            </w:r>
            <w:r>
              <w:rPr>
                <w:b/>
                <w:bCs/>
                <w:spacing w:val="12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7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615"/>
          </w:pPr>
          <w:hyperlink w:anchor="bookmark23" w:history="1">
            <w:r>
              <w:rPr>
                <w:b/>
                <w:bCs/>
                <w:spacing w:val="-13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13"/>
                <w:position w:val="-1"/>
              </w:rPr>
              <w:t>12</w:t>
            </w:r>
            <w:r>
              <w:rPr>
                <w:b/>
                <w:bCs/>
                <w:spacing w:val="-13"/>
                <w:position w:val="-1"/>
              </w:rPr>
              <w:t>：</w:t>
            </w:r>
            <w:r>
              <w:rPr>
                <w:b/>
                <w:bCs/>
                <w:spacing w:val="14"/>
                <w:position w:val="-1"/>
              </w:rPr>
              <w:t xml:space="preserve">  </w:t>
            </w:r>
            <w:r>
              <w:rPr>
                <w:b/>
                <w:bCs/>
                <w:spacing w:val="-13"/>
                <w:position w:val="-1"/>
              </w:rPr>
              <w:t>中国进口规模（季调）</w:t>
            </w:r>
            <w:r>
              <w:rPr>
                <w:b/>
                <w:bCs/>
                <w:spacing w:val="2"/>
                <w:position w:val="-1"/>
              </w:rPr>
              <w:t xml:space="preserve"> 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7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3" w:line="211" w:lineRule="exact"/>
            <w:ind w:left="2615"/>
          </w:pPr>
          <w:hyperlink w:anchor="bookmark24" w:history="1">
            <w:r>
              <w:rPr>
                <w:b/>
                <w:bCs/>
                <w:spacing w:val="-2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2"/>
                <w:position w:val="-1"/>
              </w:rPr>
              <w:t>13</w:t>
            </w:r>
            <w:r>
              <w:rPr>
                <w:b/>
                <w:bCs/>
                <w:spacing w:val="-2"/>
                <w:position w:val="-1"/>
              </w:rPr>
              <w:t>：</w:t>
            </w:r>
            <w:r>
              <w:rPr>
                <w:b/>
                <w:bCs/>
                <w:spacing w:val="58"/>
                <w:position w:val="-1"/>
              </w:rPr>
              <w:t xml:space="preserve"> </w:t>
            </w:r>
            <w:r>
              <w:rPr>
                <w:b/>
                <w:bCs/>
                <w:spacing w:val="-2"/>
                <w:position w:val="-1"/>
              </w:rPr>
              <w:t>铁矿石和原油进口金额复合增速</w:t>
            </w:r>
            <w:r>
              <w:rPr>
                <w:b/>
                <w:bCs/>
                <w:spacing w:val="20"/>
                <w:position w:val="-1"/>
              </w:rPr>
              <w:t xml:space="preserve">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8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615"/>
          </w:pPr>
          <w:hyperlink w:anchor="bookmark25" w:history="1">
            <w:r>
              <w:rPr>
                <w:b/>
                <w:bCs/>
                <w:spacing w:val="-2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2"/>
                <w:position w:val="-1"/>
              </w:rPr>
              <w:t>14</w:t>
            </w:r>
            <w:r>
              <w:rPr>
                <w:b/>
                <w:bCs/>
                <w:spacing w:val="-2"/>
                <w:position w:val="-1"/>
              </w:rPr>
              <w:t>：  高科技和机电产品进口金额复合增速</w:t>
            </w:r>
            <w:r>
              <w:rPr>
                <w:b/>
                <w:bCs/>
                <w:spacing w:val="36"/>
                <w:position w:val="-1"/>
              </w:rPr>
              <w:t xml:space="preserve">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3"/>
                <w:position w:val="-1"/>
              </w:rPr>
              <w:t>8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3" w:line="211" w:lineRule="exact"/>
            <w:ind w:left="2615"/>
          </w:pPr>
          <w:hyperlink w:anchor="bookmark26" w:history="1">
            <w:r>
              <w:rPr>
                <w:b/>
                <w:bCs/>
                <w:spacing w:val="-11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11"/>
                <w:position w:val="-1"/>
              </w:rPr>
              <w:t>15</w:t>
            </w:r>
            <w:r>
              <w:rPr>
                <w:b/>
                <w:bCs/>
                <w:spacing w:val="-11"/>
                <w:position w:val="-1"/>
              </w:rPr>
              <w:t>：  全球制造业</w:t>
            </w:r>
            <w:r>
              <w:rPr>
                <w:b/>
                <w:bCs/>
                <w:spacing w:val="2"/>
                <w:position w:val="-1"/>
              </w:rPr>
              <w:t xml:space="preserve"> </w:t>
            </w:r>
            <w:r>
              <w:rPr>
                <w:b/>
                <w:bCs/>
                <w:spacing w:val="-11"/>
                <w:position w:val="-1"/>
              </w:rPr>
              <w:t xml:space="preserve">PMI 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12"/>
                <w:position w:val="-1"/>
              </w:rPr>
              <w:t>9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0" w:line="211" w:lineRule="exact"/>
            <w:ind w:left="2615"/>
          </w:pPr>
          <w:hyperlink w:anchor="bookmark27" w:history="1">
            <w:r>
              <w:rPr>
                <w:b/>
                <w:bCs/>
                <w:spacing w:val="-4"/>
                <w:position w:val="-1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4"/>
                <w:position w:val="-1"/>
              </w:rPr>
              <w:t>16</w:t>
            </w:r>
            <w:r>
              <w:rPr>
                <w:b/>
                <w:bCs/>
                <w:spacing w:val="-4"/>
                <w:position w:val="-1"/>
              </w:rPr>
              <w:t xml:space="preserve">：  韩国出口同比增速 </w:t>
            </w:r>
            <w:r>
              <w:rPr>
                <w:b/>
                <w:bCs/>
                <w:position w:val="-1"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-3"/>
                <w:position w:val="-1"/>
              </w:rPr>
              <w:t>10</w:t>
            </w:r>
          </w:hyperlink>
        </w:p>
        <w:p>
          <w:pPr>
            <w:pStyle w:val="BodyText"/>
            <w:tabs>
              <w:tab w:val="right" w:leader="dot" w:pos="10227"/>
            </w:tabs>
            <w:spacing w:before="62" w:line="186" w:lineRule="auto"/>
            <w:ind w:left="2615"/>
          </w:pPr>
          <w:hyperlink w:anchor="bookmark28" w:history="1">
            <w:r>
              <w:rPr>
                <w:b/>
                <w:bCs/>
                <w:spacing w:val="-2"/>
              </w:rPr>
              <w:t xml:space="preserve">图表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17</w:t>
            </w:r>
            <w:r>
              <w:rPr>
                <w:b/>
                <w:bCs/>
                <w:spacing w:val="-2"/>
              </w:rPr>
              <w:t>：  主要国家与地区出口：中国的份额</w:t>
            </w:r>
            <w:r>
              <w:rPr>
                <w:b/>
                <w:bCs/>
                <w:spacing w:val="28"/>
              </w:rPr>
              <w:t xml:space="preserve"> </w:t>
            </w:r>
            <w:r>
              <w:rPr>
                <w:b/>
                <w:bCs/>
                <w14:textOutline w14:w="3831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ab/>
            </w:r>
            <w:r>
              <w:rPr>
                <w:b/>
                <w:bCs/>
                <w:spacing w:val="-2"/>
              </w:rPr>
              <w:t>11</w:t>
            </w:r>
          </w:hyperlink>
        </w:p>
      </w:sdtContent>
    </w:sdt>
    <w:p>
      <w:pPr>
        <w:spacing w:line="186" w:lineRule="auto"/>
        <w:sectPr>
          <w:headerReference w:type="default" r:id="rId9"/>
          <w:footerReference w:type="default" r:id="rId10"/>
          <w:pgSz w:w="11907" w:h="16839"/>
          <w:pgMar w:top="943" w:right="820" w:bottom="743" w:left="821" w:header="289" w:footer="220" w:gutter="0"/>
          <w:pgNumType w:start="3"/>
          <w:cols w:space="708"/>
        </w:sectPr>
      </w:pPr>
    </w:p>
    <w:p>
      <w:pPr>
        <w:spacing w:line="392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4515709</wp:posOffset>
                </wp:positionH>
                <wp:positionV relativeFrom="page">
                  <wp:posOffset>3863158</wp:posOffset>
                </wp:positionV>
                <wp:extent cx="377825" cy="4357370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515709" y="3863158"/>
                          <a:ext cx="377825" cy="43573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2011-03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2011-08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2012-01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2012-06</w:t>
                            </w:r>
                          </w:p>
                          <w:p>
                            <w:pPr>
                              <w:spacing w:before="53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2012-11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2013-04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2013-09</w:t>
                            </w:r>
                          </w:p>
                          <w:p>
                            <w:pPr>
                              <w:spacing w:before="53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2014-02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2014-07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2014-12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2015-05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2015-10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2016-03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2016-08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2017-01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2017-06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2017-11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2018-04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2018-09</w:t>
                            </w:r>
                          </w:p>
                          <w:p>
                            <w:pPr>
                              <w:spacing w:before="53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2019-02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2019-07</w:t>
                            </w:r>
                          </w:p>
                          <w:p>
                            <w:pPr>
                              <w:spacing w:before="55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2019-12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2020-05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2020-10</w:t>
                            </w:r>
                          </w:p>
                          <w:p>
                            <w:pPr>
                              <w:spacing w:before="53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2021-03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2021-08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2022-01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2022-06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2022-11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2023-04</w:t>
                            </w:r>
                          </w:p>
                          <w:p>
                            <w:pPr>
                              <w:spacing w:before="54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2023-09</w:t>
                            </w:r>
                          </w:p>
                          <w:p>
                            <w:pPr>
                              <w:spacing w:before="100" w:line="184" w:lineRule="auto"/>
                              <w:ind w:left="20"/>
                              <w:rPr>
                                <w:rFonts w:ascii="SimHei" w:eastAsia="SimHei" w:hAnsi="SimHei" w:cs="SimHe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2024-02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" o:spid="_x0000_s1029" type="#_x0000_t202" style="width:29.75pt;height:343.1pt;margin-top:304.19pt;margin-left:355.57pt;mso-position-horizontal-relative:page;mso-position-vertical-relative:page;mso-wrap-distance-bottom:0;mso-wrap-distance-left:0;mso-wrap-distance-right:0;mso-wrap-distance-top:0;position:absolute;rotation:270;v-text-anchor:top;z-index:251672576" o:allowincell="f" filled="f" fillcolor="this" stroked="f">
                <v:textbox inset="0,0,0,0">
                  <w:txbxContent>
                    <w:p>
                      <w:pPr>
                        <w:spacing w:before="19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2011-03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2011-08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2012-01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2012-06</w:t>
                      </w:r>
                    </w:p>
                    <w:p>
                      <w:pPr>
                        <w:spacing w:before="53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2012-11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2013-04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2013-09</w:t>
                      </w:r>
                    </w:p>
                    <w:p>
                      <w:pPr>
                        <w:spacing w:before="53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2014-02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2014-07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2014-12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2015-05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2015-10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2016-03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2016-08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2017-01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2017-06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2017-11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2018-04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2018-09</w:t>
                      </w:r>
                    </w:p>
                    <w:p>
                      <w:pPr>
                        <w:spacing w:before="53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2019-02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2019-07</w:t>
                      </w:r>
                    </w:p>
                    <w:p>
                      <w:pPr>
                        <w:spacing w:before="55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2019-12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2020-05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2020-10</w:t>
                      </w:r>
                    </w:p>
                    <w:p>
                      <w:pPr>
                        <w:spacing w:before="53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2021-03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2021-08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2022-01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2022-06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2022-11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2023-04</w:t>
                      </w:r>
                    </w:p>
                    <w:p>
                      <w:pPr>
                        <w:spacing w:before="54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2023-09</w:t>
                      </w:r>
                    </w:p>
                    <w:p>
                      <w:pPr>
                        <w:spacing w:before="100" w:line="184" w:lineRule="auto"/>
                        <w:ind w:left="20"/>
                        <w:rPr>
                          <w:rFonts w:ascii="SimHei" w:eastAsia="SimHei" w:hAnsi="SimHei" w:cs="SimHei"/>
                          <w:sz w:val="16"/>
                          <w:szCs w:val="16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-1"/>
                          <w:sz w:val="16"/>
                          <w:szCs w:val="16"/>
                        </w:rPr>
                        <w:t>2024-02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30" style="width:2.3pt;height:0.75pt;margin-top:456.86pt;margin-left:201.65pt;mso-position-horizontal-relative:page;mso-position-vertical-relative:page;position:absolute;z-index:251686912" o:allowincell="f" filled="t" fillcolor="#d9d9d9" stroked="f"/>
        </w:pict>
      </w:r>
      <w:r>
        <w:pict>
          <v:rect id="_x0000_s1031" style="width:2.3pt;height:0.75pt;margin-top:446.31pt;margin-left:201.65pt;mso-position-horizontal-relative:page;mso-position-vertical-relative:page;position:absolute;z-index:251687936" o:allowincell="f" filled="t" fillcolor="#d9d9d9" stroked="f"/>
        </w:pict>
      </w:r>
      <w:r>
        <w:pict>
          <v:rect id="_x0000_s1032" style="width:3.75pt;height:1.6pt;margin-top:443.19pt;margin-left:430.39pt;mso-position-horizontal-relative:page;mso-position-vertical-relative:page;position:absolute;z-index:251685888" o:allowincell="f" filled="t" fillcolor="#002060" stroked="f"/>
        </w:pict>
      </w:r>
      <w:r>
        <w:pict>
          <v:rect id="_x0000_s1033" style="width:3.75pt;height:1.6pt;margin-top:447.03pt;margin-left:327.95pt;mso-position-horizontal-relative:page;mso-position-vertical-relative:page;position:absolute;z-index:251684864" o:allowincell="f" filled="t" fillcolor="#002060" stroked="f"/>
        </w:pict>
      </w:r>
      <w:r>
        <w:pict>
          <v:rect id="_x0000_s1034" style="width:382.9pt;height:0.5pt;margin-top:563.11pt;margin-left:170.18pt;mso-position-horizontal-relative:page;mso-position-vertical-relative:page;position:absolute;z-index:251680768" o:allowincell="f" filled="t" fillcolor="#c1002c" stroked="f"/>
        </w:pict>
      </w:r>
      <w:r>
        <w:pict>
          <v:rect id="_x0000_s1035" style="width:2.3pt;height:0.75pt;margin-top:599.07pt;margin-left:208.47pt;mso-position-horizontal-relative:page;mso-position-vertical-relative:page;position:absolute;z-index:251683840" o:allowincell="f" filled="t" fillcolor="#d9d9d9" stroked="f"/>
        </w:pict>
      </w:r>
      <w:r>
        <w:pict>
          <v:shape id="_x0000_s1036" style="width:382.9pt;height:0.5pt;margin-top:313.01pt;margin-left:170.18pt;mso-position-horizontal-relative:page;mso-position-vertical-relative:page;position:absolute;z-index:251681792" coordorigin="0,0" coordsize="7657,10" o:allowincell="f" path="m,9l7657,9l7657,l,l,9xe" filled="t" fillcolor="#c1002c" stroked="f"/>
        </w:pict>
      </w:r>
      <w:r>
        <w:pict>
          <v:shape id="_x0000_s1037" style="width:382.9pt;height:0.5pt;margin-top:333.29pt;margin-left:170.18pt;mso-position-horizontal-relative:page;mso-position-vertical-relative:page;position:absolute;z-index:251677696" coordorigin="0,0" coordsize="7657,10" o:allowincell="f" path="m,9l7657,9l7657,l,l,9xe" filled="t" fillcolor="#c1002c" stroked="f"/>
        </w:pict>
      </w:r>
      <w:r>
        <w:pict>
          <v:shape id="_x0000_s1038" style="width:2.65pt;height:105.4pt;margin-top:351.85pt;margin-left:201.65pt;mso-position-horizontal-relative:page;mso-position-vertical-relative:page;position:absolute;z-index:-251649024" coordorigin="0,0" coordsize="53,2108" o:allowincell="f" path="m45,2107l45,7m,1687l45,1687m,1476l45,1476m,1268l45,1268m,1057l45,1057m,848l45,848m,637l45,637m,426l45,426m,218l45,218m,7l45,7e" filled="f" strokecolor="#d9d9d9" strokeweight="0.72pt"/>
        </w:pict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2585272</wp:posOffset>
            </wp:positionH>
            <wp:positionV relativeFrom="page">
              <wp:posOffset>4920651</wp:posOffset>
            </wp:positionV>
            <wp:extent cx="28944" cy="514562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44" cy="514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1" locked="0" layoutInCell="0" allowOverlap="1">
            <wp:simplePos x="0" y="0"/>
            <wp:positionH relativeFrom="page">
              <wp:posOffset>2589843</wp:posOffset>
            </wp:positionH>
            <wp:positionV relativeFrom="page">
              <wp:posOffset>4594856</wp:posOffset>
            </wp:positionV>
            <wp:extent cx="4227540" cy="9621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7540" cy="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4734747</wp:posOffset>
            </wp:positionH>
            <wp:positionV relativeFrom="page">
              <wp:posOffset>5080505</wp:posOffset>
            </wp:positionV>
            <wp:extent cx="1022338" cy="567846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2338" cy="567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2594413</wp:posOffset>
            </wp:positionH>
            <wp:positionV relativeFrom="page">
              <wp:posOffset>4920651</wp:posOffset>
            </wp:positionV>
            <wp:extent cx="1672646" cy="776417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2646" cy="776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0" allowOverlap="1">
            <wp:simplePos x="0" y="0"/>
            <wp:positionH relativeFrom="page">
              <wp:posOffset>5817896</wp:posOffset>
            </wp:positionH>
            <wp:positionV relativeFrom="page">
              <wp:posOffset>4594856</wp:posOffset>
            </wp:positionV>
            <wp:extent cx="999445" cy="1010868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9445" cy="1010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9" style="width:382.9pt;height:0.5pt;margin-top:506.71pt;margin-left:170.18pt;mso-position-horizontal-relative:page;mso-position-vertical-relative:page;position:absolute;z-index:251678720" coordorigin="0,0" coordsize="7657,10" o:allowincell="f" path="m,9l7657,9l7657,l,l,9xe" filled="t" fillcolor="#c1002c" stroked="f"/>
        </w:pict>
      </w:r>
      <w:r>
        <w:pict>
          <v:shape id="_x0000_s1040" style="width:382.9pt;height:0.5pt;margin-top:583.51pt;margin-left:170.18pt;mso-position-horizontal-relative:page;mso-position-vertical-relative:page;position:absolute;z-index:251679744" coordorigin="0,0" coordsize="7657,10" o:allowincell="f" path="m,9l7657,9l7657,l,l,9xe" filled="t" fillcolor="#c1002c" stroked="f"/>
        </w:pict>
      </w:r>
      <w:r>
        <w:pict>
          <v:shape id="_x0000_s1041" style="width:382.9pt;height:0.5pt;margin-top:759.82pt;margin-left:170.18pt;mso-position-horizontal-relative:page;mso-position-vertical-relative:page;position:absolute;z-index:251676672" coordorigin="0,0" coordsize="7657,10" o:allowincell="f" path="m,9l7657,9l7657,l,l,9xe" filled="t" fillcolor="#c1002c" stroked="f"/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2675022</wp:posOffset>
            </wp:positionH>
            <wp:positionV relativeFrom="page">
              <wp:posOffset>7611157</wp:posOffset>
            </wp:positionV>
            <wp:extent cx="4121157" cy="143317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21157" cy="143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2647609</wp:posOffset>
            </wp:positionH>
            <wp:positionV relativeFrom="page">
              <wp:posOffset>7612695</wp:posOffset>
            </wp:positionV>
            <wp:extent cx="4136387" cy="1469754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36387" cy="1469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0" w:line="184" w:lineRule="auto"/>
        <w:ind w:left="3024"/>
        <w:outlineLvl w:val="0"/>
        <w:rPr>
          <w:sz w:val="28"/>
          <w:szCs w:val="28"/>
        </w:rPr>
      </w:pPr>
      <w:r>
        <w:rPr>
          <w:rFonts w:ascii="Arial" w:eastAsia="Arial" w:hAnsi="Arial" w:cs="Arial"/>
          <w:b/>
          <w:bCs/>
          <w:spacing w:val="-8"/>
          <w:sz w:val="28"/>
          <w:szCs w:val="28"/>
        </w:rPr>
        <w:t>1.</w:t>
      </w:r>
      <w:r>
        <w:rPr>
          <w:rFonts w:ascii="Arial" w:eastAsia="Arial" w:hAnsi="Arial" w:cs="Arial"/>
          <w:b/>
          <w:bCs/>
          <w:spacing w:val="30"/>
          <w:sz w:val="28"/>
          <w:szCs w:val="28"/>
        </w:rPr>
        <w:t xml:space="preserve">  </w:t>
      </w:r>
      <w:r>
        <w:rPr>
          <w:b/>
          <w:bCs/>
          <w:spacing w:val="-8"/>
          <w:sz w:val="28"/>
          <w:szCs w:val="28"/>
        </w:rPr>
        <w:t>1-2 月出口明显反弹</w:t>
      </w:r>
    </w:p>
    <w:p>
      <w:pPr>
        <w:spacing w:before="296" w:line="408" w:lineRule="exact"/>
        <w:ind w:right="25"/>
        <w:jc w:val="right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6"/>
          <w:position w:val="15"/>
          <w:sz w:val="21"/>
          <w:szCs w:val="21"/>
        </w:rPr>
        <w:t>1-2</w:t>
      </w:r>
      <w:r>
        <w:rPr>
          <w:rFonts w:ascii="KaiTi" w:eastAsia="KaiTi" w:hAnsi="KaiTi" w:cs="KaiTi"/>
          <w:spacing w:val="-17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月出口（以美元计价）季调环比大幅回升，其中，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轻工、机电、高新技术产</w:t>
      </w:r>
    </w:p>
    <w:p>
      <w:pPr>
        <w:spacing w:line="213" w:lineRule="auto"/>
        <w:ind w:left="259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1"/>
          <w:sz w:val="21"/>
          <w:szCs w:val="21"/>
        </w:rPr>
        <w:t>品的出口都有明显的回升，对各类贸易对象的出口也普遍出现改善。</w:t>
      </w:r>
    </w:p>
    <w:p>
      <w:pPr>
        <w:pStyle w:val="BodyText"/>
        <w:spacing w:before="330" w:line="184" w:lineRule="auto"/>
        <w:ind w:left="3021"/>
        <w:outlineLvl w:val="1"/>
        <w:rPr>
          <w:sz w:val="24"/>
          <w:szCs w:val="24"/>
        </w:rPr>
      </w:pPr>
      <w:r>
        <w:rPr>
          <w:rFonts w:ascii="Arial" w:eastAsia="Arial" w:hAnsi="Arial" w:cs="Arial"/>
          <w:b/>
          <w:bCs/>
          <w:spacing w:val="-6"/>
          <w:sz w:val="24"/>
          <w:szCs w:val="24"/>
        </w:rPr>
        <w:t>1.1</w:t>
      </w:r>
      <w:r>
        <w:rPr>
          <w:rFonts w:ascii="Arial" w:eastAsia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b/>
          <w:bCs/>
          <w:spacing w:val="-6"/>
          <w:sz w:val="24"/>
          <w:szCs w:val="24"/>
        </w:rPr>
        <w:t>1-2 月出口环比大幅回升</w:t>
      </w:r>
    </w:p>
    <w:p>
      <w:pPr>
        <w:spacing w:before="299" w:line="408" w:lineRule="exact"/>
        <w:ind w:right="15"/>
        <w:jc w:val="right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6"/>
          <w:position w:val="15"/>
          <w:sz w:val="21"/>
          <w:szCs w:val="21"/>
        </w:rPr>
        <w:t>1-2</w:t>
      </w:r>
      <w:r>
        <w:rPr>
          <w:rFonts w:ascii="KaiTi" w:eastAsia="KaiTi" w:hAnsi="KaiTi" w:cs="KaiTi"/>
          <w:spacing w:val="-34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月中国出口同比增速为</w:t>
      </w:r>
      <w:r>
        <w:rPr>
          <w:rFonts w:ascii="KaiTi" w:eastAsia="KaiTi" w:hAnsi="KaiTi" w:cs="KaiTi"/>
          <w:spacing w:val="-43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7.1%（美元计价，</w:t>
      </w:r>
      <w:r>
        <w:rPr>
          <w:rFonts w:ascii="KaiTi" w:eastAsia="KaiTi" w:hAnsi="KaiTi" w:cs="KaiTi"/>
          <w:spacing w:val="-35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前值</w:t>
      </w:r>
      <w:r>
        <w:rPr>
          <w:rFonts w:ascii="KaiTi" w:eastAsia="KaiTi" w:hAnsi="KaiTi" w:cs="KaiTi"/>
          <w:spacing w:val="-48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2.3%</w:t>
      </w:r>
      <w:r>
        <w:rPr>
          <w:rFonts w:ascii="KaiTi" w:eastAsia="KaiTi" w:hAnsi="KaiTi" w:cs="KaiTi"/>
          <w:spacing w:val="-42"/>
          <w:w w:val="92"/>
          <w:position w:val="15"/>
          <w:sz w:val="21"/>
          <w:szCs w:val="21"/>
        </w:rPr>
        <w:t>），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较上月大幅回升，</w:t>
      </w:r>
      <w:r>
        <w:rPr>
          <w:rFonts w:ascii="KaiTi" w:eastAsia="KaiTi" w:hAnsi="KaiTi" w:cs="KaiTi"/>
          <w:spacing w:val="-38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position w:val="15"/>
          <w:sz w:val="21"/>
          <w:szCs w:val="21"/>
        </w:rPr>
        <w:t>也</w:t>
      </w:r>
    </w:p>
    <w:p>
      <w:pPr>
        <w:spacing w:line="217" w:lineRule="auto"/>
        <w:ind w:left="2608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6"/>
          <w:sz w:val="21"/>
          <w:szCs w:val="21"/>
        </w:rPr>
        <w:t>明显好于市场一致预期（0.3%）。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69" w:line="408" w:lineRule="exact"/>
        <w:ind w:right="24"/>
        <w:jc w:val="right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7"/>
          <w:position w:val="15"/>
          <w:sz w:val="21"/>
          <w:szCs w:val="21"/>
        </w:rPr>
        <w:t>经过季节性调整以后，</w:t>
      </w:r>
      <w:r>
        <w:rPr>
          <w:rFonts w:ascii="KaiTi" w:eastAsia="KaiTi" w:hAnsi="KaiTi" w:cs="KaiTi"/>
          <w:spacing w:val="-7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7"/>
          <w:position w:val="15"/>
          <w:sz w:val="21"/>
          <w:szCs w:val="21"/>
        </w:rPr>
        <w:t>1-2</w:t>
      </w:r>
      <w:r>
        <w:rPr>
          <w:rFonts w:ascii="KaiTi" w:eastAsia="KaiTi" w:hAnsi="KaiTi" w:cs="KaiTi"/>
          <w:spacing w:val="-31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7"/>
          <w:position w:val="15"/>
          <w:sz w:val="21"/>
          <w:szCs w:val="21"/>
        </w:rPr>
        <w:t>月出口环比也出现了显著的上行，</w:t>
      </w:r>
      <w:r>
        <w:rPr>
          <w:rFonts w:ascii="KaiTi" w:eastAsia="KaiTi" w:hAnsi="KaiTi" w:cs="KaiTi"/>
          <w:spacing w:val="-7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7"/>
          <w:position w:val="15"/>
          <w:sz w:val="21"/>
          <w:szCs w:val="21"/>
        </w:rPr>
        <w:t>1-2</w:t>
      </w:r>
      <w:r>
        <w:rPr>
          <w:rFonts w:ascii="KaiTi" w:eastAsia="KaiTi" w:hAnsi="KaiTi" w:cs="KaiTi"/>
          <w:spacing w:val="-34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7"/>
          <w:position w:val="15"/>
          <w:sz w:val="21"/>
          <w:szCs w:val="21"/>
        </w:rPr>
        <w:t>月平均的出口</w:t>
      </w:r>
    </w:p>
    <w:p>
      <w:pPr>
        <w:spacing w:line="219" w:lineRule="auto"/>
        <w:ind w:left="2588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8"/>
          <w:sz w:val="21"/>
          <w:szCs w:val="21"/>
        </w:rPr>
        <w:t>规模较</w:t>
      </w:r>
      <w:r>
        <w:rPr>
          <w:rFonts w:ascii="KaiTi" w:eastAsia="KaiTi" w:hAnsi="KaiTi" w:cs="KaiTi"/>
          <w:spacing w:val="-17"/>
          <w:sz w:val="21"/>
          <w:szCs w:val="21"/>
        </w:rPr>
        <w:t xml:space="preserve"> </w:t>
      </w:r>
      <w:r>
        <w:rPr>
          <w:rFonts w:ascii="KaiTi" w:eastAsia="KaiTi" w:hAnsi="KaiTi" w:cs="KaiTi"/>
          <w:spacing w:val="-8"/>
          <w:sz w:val="21"/>
          <w:szCs w:val="21"/>
        </w:rPr>
        <w:t>12</w:t>
      </w:r>
      <w:r>
        <w:rPr>
          <w:rFonts w:ascii="KaiTi" w:eastAsia="KaiTi" w:hAnsi="KaiTi" w:cs="KaiTi"/>
          <w:spacing w:val="-36"/>
          <w:sz w:val="21"/>
          <w:szCs w:val="21"/>
        </w:rPr>
        <w:t xml:space="preserve"> </w:t>
      </w:r>
      <w:r>
        <w:rPr>
          <w:rFonts w:ascii="KaiTi" w:eastAsia="KaiTi" w:hAnsi="KaiTi" w:cs="KaiTi"/>
          <w:spacing w:val="-8"/>
          <w:sz w:val="21"/>
          <w:szCs w:val="21"/>
        </w:rPr>
        <w:t>月环比增长</w:t>
      </w:r>
      <w:r>
        <w:rPr>
          <w:rFonts w:ascii="KaiTi" w:eastAsia="KaiTi" w:hAnsi="KaiTi" w:cs="KaiTi"/>
          <w:spacing w:val="-4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8"/>
          <w:sz w:val="21"/>
          <w:szCs w:val="21"/>
        </w:rPr>
        <w:t>6.3%</w:t>
      </w:r>
      <w:r>
        <w:rPr>
          <w:rFonts w:ascii="KaiTi" w:eastAsia="KaiTi" w:hAnsi="KaiTi" w:cs="KaiTi"/>
          <w:spacing w:val="-4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8"/>
          <w:sz w:val="21"/>
          <w:szCs w:val="21"/>
        </w:rPr>
        <w:t>（前值-0.1%）。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pStyle w:val="BodyText"/>
        <w:spacing w:before="83" w:line="187" w:lineRule="auto"/>
        <w:ind w:left="2721"/>
        <w:rPr>
          <w:sz w:val="19"/>
          <w:szCs w:val="19"/>
        </w:rPr>
      </w:pPr>
      <w:r>
        <w:rPr>
          <w:b/>
          <w:bCs/>
          <w:spacing w:val="5"/>
          <w:sz w:val="19"/>
          <w:szCs w:val="19"/>
        </w:rPr>
        <w:t>图表</w:t>
      </w:r>
      <w:r>
        <w:rPr>
          <w:rFonts w:ascii="Arial" w:eastAsia="Arial" w:hAnsi="Arial" w:cs="Arial"/>
          <w:b/>
          <w:bCs/>
          <w:spacing w:val="5"/>
          <w:sz w:val="19"/>
          <w:szCs w:val="19"/>
        </w:rPr>
        <w:t>1</w:t>
      </w:r>
      <w:r>
        <w:rPr>
          <w:b/>
          <w:bCs/>
          <w:spacing w:val="5"/>
          <w:sz w:val="19"/>
          <w:szCs w:val="19"/>
        </w:rPr>
        <w:t>：</w:t>
      </w:r>
      <w:r>
        <w:rPr>
          <w:b/>
          <w:bCs/>
          <w:spacing w:val="-5"/>
          <w:sz w:val="19"/>
          <w:szCs w:val="19"/>
        </w:rPr>
        <w:t xml:space="preserve"> </w:t>
      </w:r>
      <w:r>
        <w:rPr>
          <w:b/>
          <w:bCs/>
          <w:spacing w:val="5"/>
          <w:sz w:val="19"/>
          <w:szCs w:val="19"/>
        </w:rPr>
        <w:t>中国出口同比增速（美元计价）</w:t>
      </w:r>
    </w:p>
    <w:p>
      <w:pPr>
        <w:spacing w:line="104" w:lineRule="exact"/>
      </w:pPr>
    </w:p>
    <w:p>
      <w:pPr>
        <w:spacing w:line="104" w:lineRule="exact"/>
        <w:sectPr>
          <w:headerReference w:type="default" r:id="rId18"/>
          <w:footerReference w:type="default" r:id="rId19"/>
          <w:pgSz w:w="11907" w:h="16839"/>
          <w:pgMar w:top="943" w:right="820" w:bottom="743" w:left="821" w:header="289" w:footer="220" w:gutter="0"/>
          <w:pgNumType w:start="4"/>
          <w:cols w:num="1" w:space="708" w:equalWidth="0">
            <w:col w:w="10265" w:space="0"/>
          </w:cols>
        </w:sectPr>
      </w:pPr>
    </w:p>
    <w:p>
      <w:pPr>
        <w:spacing w:before="32" w:line="231" w:lineRule="auto"/>
        <w:jc w:val="right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spacing w:val="-11"/>
          <w:sz w:val="16"/>
          <w:szCs w:val="16"/>
        </w:rPr>
        <w:t>（%）</w:t>
      </w:r>
    </w:p>
    <w:p>
      <w:pPr>
        <w:spacing w:before="31" w:line="183" w:lineRule="auto"/>
        <w:ind w:left="2898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2"/>
          <w:sz w:val="16"/>
          <w:szCs w:val="16"/>
        </w:rPr>
        <w:t>70</w:t>
      </w:r>
    </w:p>
    <w:p>
      <w:pPr>
        <w:spacing w:before="52" w:line="183" w:lineRule="auto"/>
        <w:ind w:left="2896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2"/>
          <w:sz w:val="16"/>
          <w:szCs w:val="16"/>
        </w:rPr>
        <w:t>60</w:t>
      </w:r>
    </w:p>
    <w:p>
      <w:pPr>
        <w:spacing w:before="51" w:line="183" w:lineRule="auto"/>
        <w:ind w:left="2893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50</w:t>
      </w:r>
    </w:p>
    <w:p>
      <w:pPr>
        <w:spacing w:before="51" w:line="183" w:lineRule="auto"/>
        <w:ind w:left="2893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40</w:t>
      </w:r>
    </w:p>
    <w:p>
      <w:pPr>
        <w:spacing w:before="51" w:line="184" w:lineRule="auto"/>
        <w:ind w:left="2897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2"/>
          <w:sz w:val="16"/>
          <w:szCs w:val="16"/>
        </w:rPr>
        <w:t>30</w:t>
      </w:r>
    </w:p>
    <w:p>
      <w:pPr>
        <w:spacing w:before="50" w:line="184" w:lineRule="auto"/>
        <w:ind w:left="2896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2"/>
          <w:sz w:val="16"/>
          <w:szCs w:val="16"/>
        </w:rPr>
        <w:t>20</w:t>
      </w:r>
    </w:p>
    <w:p>
      <w:pPr>
        <w:spacing w:before="52" w:line="183" w:lineRule="auto"/>
        <w:ind w:left="2905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4"/>
          <w:sz w:val="16"/>
          <w:szCs w:val="16"/>
        </w:rPr>
        <w:t>10</w:t>
      </w:r>
    </w:p>
    <w:p>
      <w:pPr>
        <w:spacing w:before="52" w:line="183" w:lineRule="auto"/>
        <w:ind w:left="2976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z w:val="16"/>
          <w:szCs w:val="16"/>
        </w:rPr>
        <w:t>0</w:t>
      </w:r>
    </w:p>
    <w:p>
      <w:pPr>
        <w:spacing w:before="51" w:line="183" w:lineRule="auto"/>
        <w:ind w:left="2814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-10</w:t>
      </w:r>
    </w:p>
    <w:p>
      <w:pPr>
        <w:spacing w:before="51" w:line="184" w:lineRule="auto"/>
        <w:ind w:left="2814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-20</w:t>
      </w:r>
    </w:p>
    <w:p>
      <w:pPr>
        <w:spacing w:before="50" w:line="184" w:lineRule="auto"/>
        <w:ind w:left="2814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-30</w:t>
      </w:r>
    </w:p>
    <w:p>
      <w:pPr>
        <w:spacing w:before="31"/>
      </w:pPr>
    </w:p>
    <w:p>
      <w:pPr>
        <w:spacing w:before="30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52" w:line="104" w:lineRule="exact"/>
        <w:ind w:left="6581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b/>
          <w:bCs/>
          <w:color w:val="002060"/>
          <w:spacing w:val="-3"/>
          <w:position w:val="-3"/>
          <w:sz w:val="16"/>
          <w:szCs w:val="16"/>
        </w:rPr>
        <w:t>7.1</w:t>
      </w:r>
    </w:p>
    <w:p>
      <w:pPr>
        <w:spacing w:line="576" w:lineRule="exact"/>
        <w:ind w:firstLine="2826"/>
      </w:pPr>
      <w:r>
        <w:rPr>
          <w:position w:val="-11"/>
        </w:rPr>
        <w:drawing>
          <wp:inline distT="0" distB="0" distL="0" distR="0">
            <wp:extent cx="316996" cy="365719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6996" cy="36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6" w:lineRule="exact"/>
        <w:sectPr>
          <w:headerReference w:type="default" r:id="rId21"/>
          <w:footerReference w:type="default" r:id="rId22"/>
          <w:type w:val="continuous"/>
          <w:pgSz w:w="11907" w:h="16839"/>
          <w:pgMar w:top="943" w:right="820" w:bottom="743" w:left="821" w:header="289" w:footer="220" w:gutter="0"/>
          <w:pgNumType w:start="5"/>
          <w:cols w:num="2" w:space="708" w:equalWidth="0">
            <w:col w:w="3132" w:space="79"/>
            <w:col w:w="7054" w:space="0"/>
          </w:cols>
        </w:sectPr>
      </w:pPr>
    </w:p>
    <w:p>
      <w:pPr>
        <w:spacing w:before="93" w:line="220" w:lineRule="auto"/>
        <w:ind w:left="5926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position w:val="4"/>
          <w:sz w:val="16"/>
          <w:szCs w:val="16"/>
        </w:rPr>
        <w:drawing>
          <wp:inline distT="0" distB="0" distL="0" distR="0">
            <wp:extent cx="263550" cy="19791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3550" cy="1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38"/>
          <w:sz w:val="16"/>
          <w:szCs w:val="16"/>
        </w:rPr>
        <w:t xml:space="preserve"> </w:t>
      </w:r>
      <w:r>
        <w:rPr>
          <w:rFonts w:ascii="SimHei" w:eastAsia="SimHei" w:hAnsi="SimHei" w:cs="SimHei"/>
          <w:color w:val="595959"/>
          <w:spacing w:val="-3"/>
          <w:sz w:val="16"/>
          <w:szCs w:val="16"/>
        </w:rPr>
        <w:t>出口同比</w:t>
      </w:r>
    </w:p>
    <w:p>
      <w:pPr>
        <w:spacing w:before="89" w:line="214" w:lineRule="auto"/>
        <w:ind w:left="2701"/>
        <w:rPr>
          <w:rFonts w:ascii="KaiTi" w:eastAsia="KaiTi" w:hAnsi="KaiTi" w:cs="KaiTi"/>
          <w:sz w:val="15"/>
          <w:szCs w:val="15"/>
        </w:rPr>
      </w:pPr>
      <w:r>
        <w:rPr>
          <w:rFonts w:ascii="KaiTi" w:eastAsia="KaiTi" w:hAnsi="KaiTi" w:cs="KaiTi"/>
          <w:spacing w:val="-4"/>
          <w:sz w:val="15"/>
          <w:szCs w:val="15"/>
        </w:rPr>
        <w:t>资料来源：</w:t>
      </w:r>
      <w:r>
        <w:rPr>
          <w:rFonts w:ascii="KaiTi" w:eastAsia="KaiTi" w:hAnsi="KaiTi" w:cs="KaiTi"/>
          <w:spacing w:val="-19"/>
          <w:sz w:val="15"/>
          <w:szCs w:val="15"/>
        </w:rPr>
        <w:t xml:space="preserve"> </w:t>
      </w:r>
      <w:r>
        <w:rPr>
          <w:rFonts w:ascii="KaiTi" w:eastAsia="KaiTi" w:hAnsi="KaiTi" w:cs="KaiTi"/>
          <w:spacing w:val="-4"/>
          <w:sz w:val="15"/>
          <w:szCs w:val="15"/>
        </w:rPr>
        <w:t>Wind，国联证券研究所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spacing w:before="83" w:line="187" w:lineRule="auto"/>
        <w:ind w:left="2721"/>
        <w:rPr>
          <w:sz w:val="19"/>
          <w:szCs w:val="19"/>
        </w:rPr>
      </w:pPr>
      <w:r>
        <w:rPr>
          <w:b/>
          <w:bCs/>
          <w:spacing w:val="4"/>
          <w:sz w:val="19"/>
          <w:szCs w:val="19"/>
        </w:rPr>
        <w:t>图表</w:t>
      </w:r>
      <w:r>
        <w:rPr>
          <w:rFonts w:ascii="Arial" w:eastAsia="Arial" w:hAnsi="Arial" w:cs="Arial"/>
          <w:b/>
          <w:bCs/>
          <w:spacing w:val="4"/>
          <w:sz w:val="19"/>
          <w:szCs w:val="19"/>
        </w:rPr>
        <w:t>2</w:t>
      </w:r>
      <w:r>
        <w:rPr>
          <w:b/>
          <w:bCs/>
          <w:spacing w:val="4"/>
          <w:sz w:val="19"/>
          <w:szCs w:val="19"/>
        </w:rPr>
        <w:t>：</w:t>
      </w:r>
      <w:r>
        <w:rPr>
          <w:b/>
          <w:bCs/>
          <w:spacing w:val="-12"/>
          <w:sz w:val="19"/>
          <w:szCs w:val="19"/>
        </w:rPr>
        <w:t xml:space="preserve"> </w:t>
      </w:r>
      <w:r>
        <w:rPr>
          <w:b/>
          <w:bCs/>
          <w:spacing w:val="4"/>
          <w:sz w:val="19"/>
          <w:szCs w:val="19"/>
        </w:rPr>
        <w:t>中国出口金额（季调）</w:t>
      </w:r>
    </w:p>
    <w:p>
      <w:pPr>
        <w:spacing w:before="133" w:line="199" w:lineRule="auto"/>
        <w:ind w:left="2763"/>
        <w:rPr>
          <w:rFonts w:ascii="SimHei" w:eastAsia="SimHei" w:hAnsi="SimHei" w:cs="SimHei"/>
          <w:sz w:val="16"/>
          <w:szCs w:val="16"/>
        </w:rPr>
        <w:sectPr>
          <w:headerReference w:type="default" r:id="rId24"/>
          <w:footerReference w:type="default" r:id="rId25"/>
          <w:type w:val="continuous"/>
          <w:pgSz w:w="11907" w:h="16839"/>
          <w:pgMar w:top="943" w:right="820" w:bottom="743" w:left="821" w:header="289" w:footer="220" w:gutter="0"/>
          <w:pgNumType w:start="6"/>
          <w:cols w:num="1" w:space="708" w:equalWidth="0">
            <w:col w:w="10265" w:space="0"/>
          </w:cols>
        </w:sectPr>
      </w:pPr>
      <w:r>
        <w:rPr>
          <w:rFonts w:ascii="SimHei" w:eastAsia="SimHei" w:hAnsi="SimHei" w:cs="SimHei"/>
          <w:color w:val="595959"/>
          <w:spacing w:val="-5"/>
          <w:sz w:val="16"/>
          <w:szCs w:val="16"/>
        </w:rPr>
        <w:t>（亿美元）</w:t>
      </w:r>
    </w:p>
    <w:p>
      <w:pPr>
        <w:spacing w:line="184" w:lineRule="auto"/>
        <w:ind w:left="2792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2"/>
          <w:sz w:val="16"/>
          <w:szCs w:val="16"/>
        </w:rPr>
        <w:t>3,200</w:t>
      </w:r>
    </w:p>
    <w:p>
      <w:pPr>
        <w:spacing w:before="124" w:line="184" w:lineRule="auto"/>
        <w:ind w:left="2792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2"/>
          <w:sz w:val="16"/>
          <w:szCs w:val="16"/>
        </w:rPr>
        <w:t>3,000</w:t>
      </w:r>
    </w:p>
    <w:p>
      <w:pPr>
        <w:spacing w:before="125" w:line="184" w:lineRule="auto"/>
        <w:ind w:left="2791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2,800</w:t>
      </w:r>
    </w:p>
    <w:p>
      <w:pPr>
        <w:spacing w:before="124" w:line="184" w:lineRule="auto"/>
        <w:ind w:left="2791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2,600</w:t>
      </w:r>
    </w:p>
    <w:p>
      <w:pPr>
        <w:spacing w:before="124" w:line="184" w:lineRule="auto"/>
        <w:ind w:left="2791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2,400</w:t>
      </w:r>
    </w:p>
    <w:p>
      <w:pPr>
        <w:spacing w:before="124" w:line="184" w:lineRule="auto"/>
        <w:ind w:left="2791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2,200</w:t>
      </w:r>
    </w:p>
    <w:p>
      <w:pPr>
        <w:spacing w:before="124" w:line="184" w:lineRule="auto"/>
        <w:ind w:left="2791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1"/>
          <w:sz w:val="16"/>
          <w:szCs w:val="16"/>
        </w:rPr>
        <w:t>2,000</w:t>
      </w:r>
    </w:p>
    <w:p>
      <w:pPr>
        <w:spacing w:before="126" w:line="183" w:lineRule="auto"/>
        <w:ind w:left="2800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3"/>
          <w:sz w:val="16"/>
          <w:szCs w:val="16"/>
        </w:rPr>
        <w:t>1,800</w:t>
      </w:r>
    </w:p>
    <w:p>
      <w:pPr>
        <w:spacing w:before="125" w:line="183" w:lineRule="auto"/>
        <w:ind w:left="2800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spacing w:val="-3"/>
          <w:sz w:val="16"/>
          <w:szCs w:val="16"/>
        </w:rPr>
        <w:t>1,600</w:t>
      </w:r>
    </w:p>
    <w:p>
      <w:pPr>
        <w:spacing w:before="22" w:line="450" w:lineRule="exact"/>
        <w:ind w:firstLine="2974"/>
      </w:pPr>
      <w:r>
        <w:rPr>
          <w:position w:val="-8"/>
        </w:rPr>
        <w:drawing>
          <wp:inline distT="0" distB="0" distL="0" distR="0">
            <wp:extent cx="4388612" cy="285593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88612" cy="28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1" w:line="220" w:lineRule="auto"/>
        <w:ind w:left="5412"/>
        <w:rPr>
          <w:rFonts w:ascii="SimHei" w:eastAsia="SimHei" w:hAnsi="SimHei" w:cs="SimHei"/>
          <w:sz w:val="16"/>
          <w:szCs w:val="16"/>
        </w:rPr>
      </w:pPr>
      <w:r>
        <w:rPr>
          <w:rFonts w:ascii="SimHei" w:eastAsia="SimHei" w:hAnsi="SimHei" w:cs="SimHei"/>
          <w:color w:val="595959"/>
          <w:position w:val="4"/>
          <w:sz w:val="16"/>
          <w:szCs w:val="16"/>
        </w:rPr>
        <w:drawing>
          <wp:inline distT="0" distB="0" distL="0" distR="0">
            <wp:extent cx="263469" cy="19821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3469" cy="1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31"/>
          <w:sz w:val="16"/>
          <w:szCs w:val="16"/>
        </w:rPr>
        <w:t xml:space="preserve"> </w:t>
      </w:r>
      <w:r>
        <w:rPr>
          <w:rFonts w:ascii="SimHei" w:eastAsia="SimHei" w:hAnsi="SimHei" w:cs="SimHei"/>
          <w:color w:val="595959"/>
          <w:spacing w:val="-4"/>
          <w:sz w:val="16"/>
          <w:szCs w:val="16"/>
        </w:rPr>
        <w:t>中国出口金额（季调）</w:t>
      </w:r>
    </w:p>
    <w:p>
      <w:pPr>
        <w:spacing w:before="92" w:line="186" w:lineRule="auto"/>
        <w:ind w:left="2701"/>
        <w:rPr>
          <w:rFonts w:ascii="KaiTi" w:eastAsia="KaiTi" w:hAnsi="KaiTi" w:cs="KaiTi"/>
          <w:sz w:val="15"/>
          <w:szCs w:val="15"/>
        </w:rPr>
      </w:pPr>
      <w:r>
        <w:rPr>
          <w:rFonts w:ascii="KaiTi" w:eastAsia="KaiTi" w:hAnsi="KaiTi" w:cs="KaiTi"/>
          <w:spacing w:val="-4"/>
          <w:sz w:val="15"/>
          <w:szCs w:val="15"/>
        </w:rPr>
        <w:t>资料来源：</w:t>
      </w:r>
      <w:r>
        <w:rPr>
          <w:rFonts w:ascii="KaiTi" w:eastAsia="KaiTi" w:hAnsi="KaiTi" w:cs="KaiTi"/>
          <w:spacing w:val="-19"/>
          <w:sz w:val="15"/>
          <w:szCs w:val="15"/>
        </w:rPr>
        <w:t xml:space="preserve"> </w:t>
      </w:r>
      <w:r>
        <w:rPr>
          <w:rFonts w:ascii="KaiTi" w:eastAsia="KaiTi" w:hAnsi="KaiTi" w:cs="KaiTi"/>
          <w:spacing w:val="-4"/>
          <w:sz w:val="15"/>
          <w:szCs w:val="15"/>
        </w:rPr>
        <w:t>Wind，国联证券研究所</w:t>
      </w:r>
    </w:p>
    <w:p>
      <w:pPr>
        <w:spacing w:line="186" w:lineRule="auto"/>
        <w:rPr>
          <w:rFonts w:ascii="KaiTi" w:eastAsia="KaiTi" w:hAnsi="KaiTi" w:cs="KaiTi"/>
          <w:sz w:val="15"/>
          <w:szCs w:val="15"/>
        </w:rPr>
        <w:sectPr>
          <w:headerReference w:type="default" r:id="rId28"/>
          <w:footerReference w:type="default" r:id="rId29"/>
          <w:type w:val="nextPage"/>
          <w:pgSz w:w="11907" w:h="16839"/>
          <w:pgMar w:top="943" w:right="820" w:bottom="743" w:left="821" w:header="289" w:footer="220" w:gutter="0"/>
          <w:pgNumType w:start="7"/>
          <w:cols w:num="1" w:space="708" w:equalWidth="0">
            <w:col w:w="10265" w:space="0"/>
          </w:cols>
          <w:titlePg w:val="0"/>
        </w:sectPr>
      </w:pPr>
    </w:p>
    <w:p>
      <w:pPr>
        <w:spacing w:line="405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91008" behindDoc="0" locked="0" layoutInCell="0" allowOverlap="1">
                <wp:simplePos x="0" y="0"/>
                <wp:positionH relativeFrom="page">
                  <wp:posOffset>2013910</wp:posOffset>
                </wp:positionH>
                <wp:positionV relativeFrom="page">
                  <wp:posOffset>7104364</wp:posOffset>
                </wp:positionV>
                <wp:extent cx="364490" cy="2795904"/>
                <wp:effectExtent l="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013910" y="7104364"/>
                          <a:ext cx="364490" cy="279590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9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2018-11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2019-02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2019-05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2019-08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2019-11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2020-05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2020-08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2020-11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2021-05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2021-08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2021-11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2022-02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2022-05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2022-08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2022-11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2023-02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2023-05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2023-08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2023-11</w:t>
                            </w:r>
                          </w:p>
                          <w:p>
                            <w:pPr>
                              <w:spacing w:before="90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2024-02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8" o:spid="_x0000_s1042" type="#_x0000_t202" style="width:28.7pt;height:220.15pt;margin-top:559.4pt;margin-left:158.58pt;mso-position-horizontal-relative:page;mso-position-vertical-relative:page;mso-wrap-distance-bottom:0;mso-wrap-distance-left:0;mso-wrap-distance-right:0;mso-wrap-distance-top:0;position:absolute;rotation:270;v-text-anchor:top;z-index:251689984" o:allowincell="f" filled="f" fillcolor="this" stroked="f">
                <v:textbox inset="0,0,0,0">
                  <w:txbxContent>
                    <w:p>
                      <w:pPr>
                        <w:spacing w:before="19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2018-11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2019-02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2019-05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2019-08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2019-11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2020-02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2020-05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2020-08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2020-11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2021-02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2021-05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2021-08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2021-11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2022-02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2022-05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2022-08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2022-11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2023-02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2023-05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2023-08</w:t>
                      </w:r>
                    </w:p>
                    <w:p>
                      <w:pPr>
                        <w:spacing w:before="46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2023-11</w:t>
                      </w:r>
                    </w:p>
                    <w:p>
                      <w:pPr>
                        <w:spacing w:before="90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2024-02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43" style="width:248.1pt;height:0.5pt;margin-top:506.95pt;margin-left:42.6pt;mso-position-horizontal-relative:page;mso-position-vertical-relative:page;position:absolute;z-index:251694080" coordorigin="0,0" coordsize="4962,10" o:allowincell="f" path="m,9l4961,9l4961,l,l,9xe" filled="t" fillcolor="#c1002c" stroked="f"/>
        </w:pict>
      </w:r>
      <w:r>
        <w:pict>
          <v:shape id="_x0000_s1044" style="width:248.1pt;height:0.5pt;margin-top:527.35pt;margin-left:42.6pt;mso-position-horizontal-relative:page;mso-position-vertical-relative:page;position:absolute;z-index:251692032" coordorigin="0,0" coordsize="4962,10" o:allowincell="f" path="m,9l4961,9l4961,l,l,9xe" filled="t" fillcolor="#c1002c" stroked="f"/>
        </w:pict>
      </w:r>
      <w:r>
        <w:pict>
          <v:shape id="_x0000_s1045" style="width:248.1pt;height:0.5pt;margin-top:700.78pt;margin-left:42.6pt;mso-position-horizontal-relative:page;mso-position-vertical-relative:page;position:absolute;z-index:251696128" coordorigin="0,0" coordsize="4962,10" o:allowincell="f" path="m,9l4961,9l4961,l,l,9xe" filled="t" fillcolor="#c1002c" stroked="f"/>
        </w:pict>
      </w:r>
      <w:r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823331</wp:posOffset>
            </wp:positionH>
            <wp:positionV relativeFrom="page">
              <wp:posOffset>6966367</wp:posOffset>
            </wp:positionV>
            <wp:extent cx="2715186" cy="133732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15186" cy="133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6" style="width:248.1pt;height:0.5pt;margin-top:506.95pt;margin-left:304.85pt;mso-position-horizontal-relative:page;mso-position-vertical-relative:page;position:absolute;z-index:251695104" coordorigin="0,0" coordsize="4962,10" o:allowincell="f" path="m,9l4961,9l4961,l,l,9xe" filled="t" fillcolor="#c1002c" stroked="f"/>
        </w:pict>
      </w:r>
      <w:r>
        <w:pict>
          <v:shape id="_x0000_s1047" style="width:248.1pt;height:0.5pt;margin-top:527.35pt;margin-left:304.85pt;mso-position-horizontal-relative:page;mso-position-vertical-relative:page;position:absolute;z-index:251693056" coordorigin="0,0" coordsize="4962,10" o:allowincell="f" path="m,9l4961,9l4961,l,l,9xe" filled="t" fillcolor="#c1002c" stroked="f"/>
        </w:pict>
      </w:r>
      <w:r>
        <w:pict>
          <v:shape id="_x0000_s1048" style="width:248.1pt;height:0.5pt;margin-top:700.78pt;margin-left:304.85pt;mso-position-horizontal-relative:page;mso-position-vertical-relative:page;position:absolute;z-index:251697152" coordorigin="0,0" coordsize="4962,10" o:allowincell="f" path="m,9l4961,9l4961,l,l,9xe" filled="t" fillcolor="#c1002c" stroked="f"/>
        </w:pict>
      </w:r>
    </w:p>
    <w:p>
      <w:pPr>
        <w:pStyle w:val="BodyText"/>
        <w:spacing w:before="103" w:line="184" w:lineRule="auto"/>
        <w:ind w:left="3021"/>
        <w:outlineLvl w:val="1"/>
        <w:rPr>
          <w:sz w:val="24"/>
          <w:szCs w:val="24"/>
        </w:rPr>
      </w:pPr>
      <w:r>
        <w:rPr>
          <w:rFonts w:ascii="Arial" w:eastAsia="Arial" w:hAnsi="Arial" w:cs="Arial"/>
          <w:b/>
          <w:bCs/>
          <w:spacing w:val="-3"/>
          <w:sz w:val="24"/>
          <w:szCs w:val="24"/>
        </w:rPr>
        <w:t>1.2</w:t>
      </w:r>
      <w:r>
        <w:rPr>
          <w:rFonts w:ascii="Arial" w:eastAsia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多数产品出口回升</w:t>
      </w:r>
    </w:p>
    <w:p>
      <w:pPr>
        <w:pStyle w:val="BodyText"/>
        <w:spacing w:before="301" w:line="272" w:lineRule="auto"/>
        <w:ind w:left="2616" w:right="25" w:firstLine="395"/>
        <w:jc w:val="both"/>
      </w:pPr>
      <w:r>
        <w:rPr>
          <w:b/>
          <w:bCs/>
          <w:spacing w:val="-10"/>
        </w:rPr>
        <w:t>季节性调整后，</w:t>
      </w:r>
      <w:r>
        <w:rPr>
          <w:b/>
          <w:bCs/>
          <w:spacing w:val="55"/>
        </w:rPr>
        <w:t xml:space="preserve"> </w:t>
      </w:r>
      <w:r>
        <w:rPr>
          <w:b/>
          <w:bCs/>
          <w:spacing w:val="-10"/>
        </w:rPr>
        <w:t>除原材料出口继续下滑，</w:t>
      </w:r>
      <w:r>
        <w:rPr>
          <w:b/>
          <w:bCs/>
          <w:spacing w:val="45"/>
          <w:w w:val="101"/>
        </w:rPr>
        <w:t xml:space="preserve"> </w:t>
      </w:r>
      <w:r>
        <w:rPr>
          <w:b/>
          <w:bCs/>
          <w:spacing w:val="-10"/>
        </w:rPr>
        <w:t>农产品出口基本保持平稳外，其余主要</w:t>
      </w:r>
      <w:r>
        <w:rPr>
          <w:b/>
          <w:bCs/>
        </w:rPr>
        <w:t xml:space="preserve"> </w:t>
      </w:r>
      <w:r>
        <w:rPr>
          <w:b/>
          <w:bCs/>
          <w:spacing w:val="-6"/>
        </w:rPr>
        <w:t>出口大类均有明显改善，包括轻工、机电产品的出口都出现了较大幅度的回升， 高新</w:t>
      </w:r>
    </w:p>
    <w:p>
      <w:pPr>
        <w:pStyle w:val="BodyText"/>
        <w:spacing w:before="1" w:line="185" w:lineRule="auto"/>
        <w:ind w:left="2591"/>
      </w:pPr>
      <w:r>
        <w:rPr>
          <w:b/>
          <w:bCs/>
          <w:spacing w:val="-2"/>
        </w:rPr>
        <w:t>技术产品出口也有进一步改善。</w:t>
      </w:r>
    </w:p>
    <w:p>
      <w:pPr>
        <w:spacing w:before="285" w:line="213" w:lineRule="auto"/>
        <w:ind w:left="3012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10"/>
          <w:sz w:val="21"/>
          <w:szCs w:val="21"/>
        </w:rPr>
        <w:t>具体而言，</w:t>
      </w:r>
      <w:r>
        <w:rPr>
          <w:rFonts w:ascii="KaiTi" w:eastAsia="KaiTi" w:hAnsi="KaiTi" w:cs="KaiTi"/>
          <w:spacing w:val="-10"/>
          <w:sz w:val="21"/>
          <w:szCs w:val="21"/>
        </w:rPr>
        <w:t xml:space="preserve"> </w:t>
      </w:r>
      <w:r>
        <w:rPr>
          <w:rFonts w:ascii="KaiTi" w:eastAsia="KaiTi" w:hAnsi="KaiTi" w:cs="KaiTi"/>
          <w:spacing w:val="-10"/>
          <w:sz w:val="21"/>
          <w:szCs w:val="21"/>
        </w:rPr>
        <w:t>经过季节性调整后：</w:t>
      </w:r>
    </w:p>
    <w:p>
      <w:pPr>
        <w:spacing w:line="251" w:lineRule="auto"/>
        <w:rPr>
          <w:rFonts w:ascii="Arial"/>
          <w:sz w:val="21"/>
        </w:rPr>
      </w:pPr>
    </w:p>
    <w:p>
      <w:pPr>
        <w:spacing w:before="69" w:line="213" w:lineRule="auto"/>
        <w:ind w:left="301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position w:val="1"/>
          <w:sz w:val="21"/>
          <w:szCs w:val="21"/>
        </w:rPr>
        <w:drawing>
          <wp:inline distT="0" distB="0" distL="0" distR="0">
            <wp:extent cx="77650" cy="78857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eastAsia="KaiTi" w:hAnsi="KaiTi" w:cs="KaiTi"/>
          <w:spacing w:val="42"/>
          <w:sz w:val="21"/>
          <w:szCs w:val="21"/>
        </w:rPr>
        <w:t xml:space="preserve">  </w:t>
      </w:r>
      <w:r>
        <w:rPr>
          <w:rFonts w:ascii="KaiTi" w:eastAsia="KaiTi" w:hAnsi="KaiTi" w:cs="KaiTi"/>
          <w:spacing w:val="-3"/>
          <w:sz w:val="21"/>
          <w:szCs w:val="21"/>
        </w:rPr>
        <w:t>原材料出口继续回落，环比下降</w:t>
      </w:r>
      <w:r>
        <w:rPr>
          <w:rFonts w:ascii="KaiTi" w:eastAsia="KaiTi" w:hAnsi="KaiTi" w:cs="KaiTi"/>
          <w:spacing w:val="-44"/>
          <w:sz w:val="21"/>
          <w:szCs w:val="21"/>
        </w:rPr>
        <w:t xml:space="preserve"> </w:t>
      </w:r>
      <w:r>
        <w:rPr>
          <w:rFonts w:ascii="KaiTi" w:eastAsia="KaiTi" w:hAnsi="KaiTi" w:cs="KaiTi"/>
          <w:spacing w:val="-3"/>
          <w:sz w:val="21"/>
          <w:szCs w:val="21"/>
        </w:rPr>
        <w:t>2.1%（前值-10.3%）。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68" w:line="213" w:lineRule="auto"/>
        <w:ind w:left="301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position w:val="1"/>
          <w:sz w:val="21"/>
          <w:szCs w:val="21"/>
        </w:rPr>
        <w:drawing>
          <wp:inline distT="0" distB="0" distL="0" distR="0">
            <wp:extent cx="77650" cy="78857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aiTi" w:eastAsia="KaiTi" w:hAnsi="KaiTi" w:cs="KaiTi"/>
          <w:spacing w:val="44"/>
          <w:sz w:val="21"/>
          <w:szCs w:val="21"/>
        </w:rPr>
        <w:t xml:space="preserve">  </w:t>
      </w:r>
      <w:r>
        <w:rPr>
          <w:rFonts w:ascii="KaiTi" w:eastAsia="KaiTi" w:hAnsi="KaiTi" w:cs="KaiTi"/>
          <w:spacing w:val="-3"/>
          <w:sz w:val="21"/>
          <w:szCs w:val="21"/>
        </w:rPr>
        <w:t>农产品出口基本保持平稳，环比下降</w:t>
      </w:r>
      <w:r>
        <w:rPr>
          <w:rFonts w:ascii="KaiTi" w:eastAsia="KaiTi" w:hAnsi="KaiTi" w:cs="KaiTi"/>
          <w:spacing w:val="-44"/>
          <w:sz w:val="21"/>
          <w:szCs w:val="21"/>
        </w:rPr>
        <w:t xml:space="preserve"> </w:t>
      </w:r>
      <w:r>
        <w:rPr>
          <w:rFonts w:ascii="KaiTi" w:eastAsia="KaiTi" w:hAnsi="KaiTi" w:cs="KaiTi"/>
          <w:spacing w:val="-3"/>
          <w:sz w:val="21"/>
          <w:szCs w:val="21"/>
        </w:rPr>
        <w:t>0.4%（前值-0.4%）。</w:t>
      </w:r>
    </w:p>
    <w:p>
      <w:pPr>
        <w:pStyle w:val="BodyText"/>
        <w:spacing w:before="321" w:line="185" w:lineRule="auto"/>
        <w:ind w:left="3019"/>
        <w:rPr>
          <w:rFonts w:ascii="KaiTi" w:eastAsia="KaiTi" w:hAnsi="KaiTi" w:cs="KaiTi"/>
        </w:rPr>
      </w:pPr>
      <w:r>
        <w:rPr>
          <w:position w:val="1"/>
        </w:rPr>
        <w:drawing>
          <wp:inline distT="0" distB="0" distL="0" distR="0">
            <wp:extent cx="77650" cy="78857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1"/>
        </w:rPr>
        <w:t xml:space="preserve">    </w:t>
      </w:r>
      <w:r>
        <w:rPr>
          <w:b/>
          <w:bCs/>
          <w:spacing w:val="-4"/>
        </w:rPr>
        <w:t xml:space="preserve">轻工制造类产品的出口明显回升 </w:t>
      </w:r>
      <w:r>
        <w:rPr>
          <w:rFonts w:ascii="KaiTi" w:eastAsia="KaiTi" w:hAnsi="KaiTi" w:cs="KaiTi"/>
          <w:spacing w:val="-4"/>
        </w:rPr>
        <w:t>（环比+7.2%，前值+2.9%）。</w:t>
      </w:r>
    </w:p>
    <w:p>
      <w:pPr>
        <w:spacing w:before="286" w:line="359" w:lineRule="auto"/>
        <w:ind w:left="3432" w:right="24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4"/>
          <w:sz w:val="21"/>
          <w:szCs w:val="21"/>
        </w:rPr>
        <w:t>其中，家具照明等地产后周期产品、鞋服箱包等出行相关产品均加速回升，</w:t>
      </w:r>
      <w:r>
        <w:rPr>
          <w:rFonts w:ascii="KaiTi" w:eastAsia="KaiTi" w:hAnsi="KaiTi" w:cs="KaiTi"/>
          <w:spacing w:val="7"/>
          <w:sz w:val="21"/>
          <w:szCs w:val="21"/>
        </w:rPr>
        <w:t xml:space="preserve"> </w:t>
      </w:r>
      <w:r>
        <w:rPr>
          <w:rFonts w:ascii="KaiTi" w:eastAsia="KaiTi" w:hAnsi="KaiTi" w:cs="KaiTi"/>
          <w:spacing w:val="-3"/>
          <w:sz w:val="21"/>
          <w:szCs w:val="21"/>
        </w:rPr>
        <w:t>其环比增速分别为+8.9%、+4.0%（前值+7.1%、+1.0%）。此前持续回落的纺</w:t>
      </w:r>
    </w:p>
    <w:p>
      <w:pPr>
        <w:spacing w:before="1" w:line="213" w:lineRule="auto"/>
        <w:ind w:left="344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3"/>
          <w:sz w:val="21"/>
          <w:szCs w:val="21"/>
        </w:rPr>
        <w:t>织纱线等产品的出口也出现了反弹，环比增长</w:t>
      </w:r>
      <w:r>
        <w:rPr>
          <w:rFonts w:ascii="KaiTi" w:eastAsia="KaiTi" w:hAnsi="KaiTi" w:cs="KaiTi"/>
          <w:spacing w:val="-33"/>
          <w:sz w:val="21"/>
          <w:szCs w:val="21"/>
        </w:rPr>
        <w:t xml:space="preserve"> </w:t>
      </w:r>
      <w:r>
        <w:rPr>
          <w:rFonts w:ascii="KaiTi" w:eastAsia="KaiTi" w:hAnsi="KaiTi" w:cs="KaiTi"/>
          <w:spacing w:val="-3"/>
          <w:sz w:val="21"/>
          <w:szCs w:val="21"/>
        </w:rPr>
        <w:t>11%（前值-2.</w:t>
      </w:r>
      <w:r>
        <w:rPr>
          <w:rFonts w:ascii="KaiTi" w:eastAsia="KaiTi" w:hAnsi="KaiTi" w:cs="KaiTi"/>
          <w:spacing w:val="-4"/>
          <w:sz w:val="21"/>
          <w:szCs w:val="21"/>
        </w:rPr>
        <w:t>5%）。</w:t>
      </w:r>
    </w:p>
    <w:p>
      <w:pPr>
        <w:pStyle w:val="BodyText"/>
        <w:spacing w:before="324" w:line="185" w:lineRule="auto"/>
        <w:ind w:left="3019"/>
        <w:rPr>
          <w:rFonts w:ascii="KaiTi" w:eastAsia="KaiTi" w:hAnsi="KaiTi" w:cs="KaiTi"/>
        </w:rPr>
      </w:pPr>
      <w:r>
        <w:rPr>
          <w:position w:val="1"/>
        </w:rPr>
        <w:drawing>
          <wp:inline distT="0" distB="0" distL="0" distR="0">
            <wp:extent cx="77650" cy="78857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9"/>
        </w:rPr>
        <w:t xml:space="preserve">    </w:t>
      </w:r>
      <w:r>
        <w:rPr>
          <w:b/>
          <w:bCs/>
          <w:spacing w:val="-2"/>
        </w:rPr>
        <w:t>机电产品出口也大幅回升</w:t>
      </w:r>
      <w:r>
        <w:rPr>
          <w:rFonts w:ascii="KaiTi" w:eastAsia="KaiTi" w:hAnsi="KaiTi" w:cs="KaiTi"/>
          <w:spacing w:val="-2"/>
        </w:rPr>
        <w:t>（环比+7.2%，前值+2</w:t>
      </w:r>
      <w:r>
        <w:rPr>
          <w:rFonts w:ascii="KaiTi" w:eastAsia="KaiTi" w:hAnsi="KaiTi" w:cs="KaiTi"/>
          <w:spacing w:val="-3"/>
        </w:rPr>
        <w:t>.6%）。</w:t>
      </w:r>
    </w:p>
    <w:p>
      <w:pPr>
        <w:spacing w:before="285" w:line="359" w:lineRule="auto"/>
        <w:ind w:left="3428" w:right="24" w:firstLine="4"/>
        <w:jc w:val="both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2"/>
          <w:sz w:val="21"/>
          <w:szCs w:val="21"/>
        </w:rPr>
        <w:t>其中，医疗仪器、集成电路的出口均继续增长，其出口金额分别环比增长</w:t>
      </w:r>
      <w:r>
        <w:rPr>
          <w:rFonts w:ascii="KaiTi" w:eastAsia="KaiTi" w:hAnsi="KaiTi" w:cs="KaiTi"/>
          <w:spacing w:val="16"/>
          <w:sz w:val="21"/>
          <w:szCs w:val="21"/>
        </w:rPr>
        <w:t xml:space="preserve"> </w:t>
      </w:r>
      <w:r>
        <w:rPr>
          <w:rFonts w:ascii="KaiTi" w:eastAsia="KaiTi" w:hAnsi="KaiTi" w:cs="KaiTi"/>
          <w:sz w:val="21"/>
          <w:szCs w:val="21"/>
        </w:rPr>
        <w:t>2.7%、4.9%（前值+4.6%、+3.9%</w:t>
      </w:r>
      <w:r>
        <w:rPr>
          <w:rFonts w:ascii="KaiTi" w:eastAsia="KaiTi" w:hAnsi="KaiTi" w:cs="KaiTi"/>
          <w:spacing w:val="-54"/>
          <w:sz w:val="21"/>
          <w:szCs w:val="21"/>
        </w:rPr>
        <w:t>）；</w:t>
      </w:r>
      <w:r>
        <w:rPr>
          <w:rFonts w:ascii="KaiTi" w:eastAsia="KaiTi" w:hAnsi="KaiTi" w:cs="KaiTi"/>
          <w:sz w:val="21"/>
          <w:szCs w:val="21"/>
        </w:rPr>
        <w:t>但汽车</w:t>
      </w:r>
      <w:r>
        <w:rPr>
          <w:rFonts w:ascii="KaiTi" w:eastAsia="KaiTi" w:hAnsi="KaiTi" w:cs="KaiTi"/>
          <w:spacing w:val="-1"/>
          <w:sz w:val="21"/>
          <w:szCs w:val="21"/>
        </w:rPr>
        <w:t>出口有所回落，出口金额环比下</w:t>
      </w:r>
    </w:p>
    <w:p>
      <w:pPr>
        <w:spacing w:before="1" w:line="218" w:lineRule="auto"/>
        <w:ind w:left="3445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7"/>
          <w:sz w:val="21"/>
          <w:szCs w:val="21"/>
        </w:rPr>
        <w:t>降</w:t>
      </w:r>
      <w:r>
        <w:rPr>
          <w:rFonts w:ascii="KaiTi" w:eastAsia="KaiTi" w:hAnsi="KaiTi" w:cs="KaiTi"/>
          <w:spacing w:val="-3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7"/>
          <w:sz w:val="21"/>
          <w:szCs w:val="21"/>
        </w:rPr>
        <w:t>3.0%（前值+2.7%）。</w:t>
      </w:r>
    </w:p>
    <w:p>
      <w:pPr>
        <w:pStyle w:val="BodyText"/>
        <w:spacing w:before="318" w:line="185" w:lineRule="auto"/>
        <w:ind w:left="3019"/>
        <w:rPr>
          <w:rFonts w:ascii="KaiTi" w:eastAsia="KaiTi" w:hAnsi="KaiTi" w:cs="KaiTi"/>
        </w:rPr>
      </w:pPr>
      <w:r>
        <w:rPr>
          <w:position w:val="1"/>
        </w:rPr>
        <w:drawing>
          <wp:inline distT="0" distB="0" distL="0" distR="0">
            <wp:extent cx="77650" cy="78857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4"/>
        </w:rPr>
        <w:t xml:space="preserve">    </w:t>
      </w:r>
      <w:r>
        <w:rPr>
          <w:b/>
          <w:bCs/>
          <w:spacing w:val="-2"/>
        </w:rPr>
        <w:t>高新技术产品出口也有进一步改善</w:t>
      </w:r>
      <w:r>
        <w:rPr>
          <w:rFonts w:ascii="KaiTi" w:eastAsia="KaiTi" w:hAnsi="KaiTi" w:cs="KaiTi"/>
          <w:spacing w:val="-2"/>
        </w:rPr>
        <w:t>（环比+2</w:t>
      </w:r>
      <w:r>
        <w:rPr>
          <w:rFonts w:ascii="KaiTi" w:eastAsia="KaiTi" w:hAnsi="KaiTi" w:cs="KaiTi"/>
          <w:spacing w:val="-3"/>
        </w:rPr>
        <w:t>.3%，前值+0.8%）。</w:t>
      </w:r>
    </w:p>
    <w:p>
      <w:pPr>
        <w:spacing w:before="19"/>
      </w:pPr>
    </w:p>
    <w:p>
      <w:pPr>
        <w:spacing w:before="19"/>
      </w:pPr>
    </w:p>
    <w:p>
      <w:pPr>
        <w:spacing w:before="18"/>
      </w:pPr>
    </w:p>
    <w:p>
      <w:pPr>
        <w:sectPr>
          <w:headerReference w:type="default" r:id="rId33"/>
          <w:footerReference w:type="default" r:id="rId34"/>
          <w:pgSz w:w="11907" w:h="16839"/>
          <w:pgMar w:top="943" w:right="820" w:bottom="743" w:left="821" w:header="289" w:footer="220" w:gutter="0"/>
          <w:pgNumType w:start="8"/>
          <w:cols w:num="1" w:space="708" w:equalWidth="0">
            <w:col w:w="10265" w:space="0"/>
          </w:cols>
        </w:sectPr>
      </w:pPr>
    </w:p>
    <w:p>
      <w:pPr>
        <w:pStyle w:val="BodyText"/>
        <w:spacing w:before="150" w:line="187" w:lineRule="auto"/>
        <w:ind w:left="167"/>
        <w:rPr>
          <w:sz w:val="19"/>
          <w:szCs w:val="19"/>
        </w:rPr>
      </w:pPr>
      <w:r>
        <w:rPr>
          <w:b/>
          <w:bCs/>
          <w:spacing w:val="7"/>
          <w:sz w:val="19"/>
          <w:szCs w:val="19"/>
        </w:rPr>
        <w:t>图表</w:t>
      </w:r>
      <w:r>
        <w:rPr>
          <w:rFonts w:ascii="Arial" w:eastAsia="Arial" w:hAnsi="Arial" w:cs="Arial"/>
          <w:b/>
          <w:bCs/>
          <w:spacing w:val="7"/>
          <w:sz w:val="19"/>
          <w:szCs w:val="19"/>
        </w:rPr>
        <w:t>3</w:t>
      </w:r>
      <w:r>
        <w:rPr>
          <w:b/>
          <w:bCs/>
          <w:spacing w:val="7"/>
          <w:sz w:val="19"/>
          <w:szCs w:val="19"/>
        </w:rPr>
        <w:t>：轻工产品出口金额（季调）</w:t>
      </w:r>
    </w:p>
    <w:p>
      <w:pPr>
        <w:spacing w:before="199" w:line="223" w:lineRule="auto"/>
        <w:ind w:left="98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spacing w:val="-2"/>
          <w:sz w:val="15"/>
          <w:szCs w:val="15"/>
        </w:rPr>
        <w:t>（亿美元）</w:t>
      </w:r>
    </w:p>
    <w:p>
      <w:pPr>
        <w:spacing w:before="40" w:line="187" w:lineRule="auto"/>
        <w:ind w:left="95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z w:val="15"/>
          <w:szCs w:val="15"/>
        </w:rPr>
        <w:t>230</w:t>
      </w:r>
    </w:p>
    <w:p>
      <w:pPr>
        <w:spacing w:before="105" w:line="187" w:lineRule="auto"/>
        <w:ind w:left="95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z w:val="15"/>
          <w:szCs w:val="15"/>
        </w:rPr>
        <w:t>210</w:t>
      </w:r>
    </w:p>
    <w:p>
      <w:pPr>
        <w:spacing w:before="107" w:line="186" w:lineRule="auto"/>
        <w:ind w:left="104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pacing w:val="-3"/>
          <w:sz w:val="15"/>
          <w:szCs w:val="15"/>
        </w:rPr>
        <w:t>190</w:t>
      </w:r>
    </w:p>
    <w:p>
      <w:pPr>
        <w:spacing w:before="106" w:line="186" w:lineRule="auto"/>
        <w:ind w:left="104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pacing w:val="-3"/>
          <w:sz w:val="15"/>
          <w:szCs w:val="15"/>
        </w:rPr>
        <w:t>170</w:t>
      </w:r>
    </w:p>
    <w:p>
      <w:pPr>
        <w:spacing w:before="106" w:line="186" w:lineRule="auto"/>
        <w:ind w:left="104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pacing w:val="-3"/>
          <w:sz w:val="15"/>
          <w:szCs w:val="15"/>
        </w:rPr>
        <w:t>150</w:t>
      </w:r>
    </w:p>
    <w:p>
      <w:pPr>
        <w:spacing w:before="105" w:line="187" w:lineRule="auto"/>
        <w:ind w:left="104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pacing w:val="-3"/>
          <w:sz w:val="15"/>
          <w:szCs w:val="15"/>
        </w:rPr>
        <w:t>130</w:t>
      </w:r>
    </w:p>
    <w:p>
      <w:pPr>
        <w:spacing w:before="106" w:line="186" w:lineRule="auto"/>
        <w:ind w:left="104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pacing w:val="-3"/>
          <w:sz w:val="15"/>
          <w:szCs w:val="15"/>
        </w:rPr>
        <w:t>110</w:t>
      </w:r>
    </w:p>
    <w:p>
      <w:pPr>
        <w:spacing w:before="106" w:line="186" w:lineRule="auto"/>
        <w:ind w:left="169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z w:val="15"/>
          <w:szCs w:val="15"/>
        </w:rPr>
        <w:t>90</w:t>
      </w:r>
    </w:p>
    <w:p>
      <w:pPr>
        <w:spacing w:before="106" w:line="186" w:lineRule="auto"/>
        <w:ind w:left="173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spacing w:val="-1"/>
          <w:sz w:val="15"/>
          <w:szCs w:val="15"/>
        </w:rPr>
        <w:t>70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50" w:line="222" w:lineRule="auto"/>
        <w:ind w:left="265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position w:val="4"/>
          <w:sz w:val="15"/>
          <w:szCs w:val="15"/>
        </w:rPr>
        <w:drawing>
          <wp:inline distT="0" distB="0" distL="0" distR="0">
            <wp:extent cx="252943" cy="19023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2943" cy="1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35"/>
          <w:sz w:val="15"/>
          <w:szCs w:val="15"/>
        </w:rPr>
        <w:t xml:space="preserve"> </w:t>
      </w:r>
      <w:r>
        <w:rPr>
          <w:rFonts w:ascii="SimHei" w:eastAsia="SimHei" w:hAnsi="SimHei" w:cs="SimHei"/>
          <w:color w:val="595959"/>
          <w:spacing w:val="2"/>
          <w:sz w:val="15"/>
          <w:szCs w:val="15"/>
        </w:rPr>
        <w:t>出行消费</w:t>
      </w:r>
      <w:r>
        <w:rPr>
          <w:rFonts w:ascii="SimHei" w:eastAsia="SimHei" w:hAnsi="SimHei" w:cs="SimHei"/>
          <w:color w:val="595959"/>
          <w:spacing w:val="13"/>
          <w:sz w:val="15"/>
          <w:szCs w:val="15"/>
        </w:rPr>
        <w:t xml:space="preserve">  </w:t>
      </w:r>
      <w:r>
        <w:rPr>
          <w:position w:val="4"/>
          <w:sz w:val="15"/>
          <w:szCs w:val="15"/>
        </w:rPr>
        <w:drawing>
          <wp:inline distT="0" distB="0" distL="0" distR="0">
            <wp:extent cx="252943" cy="19023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2943" cy="1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42"/>
          <w:sz w:val="15"/>
          <w:szCs w:val="15"/>
        </w:rPr>
        <w:t xml:space="preserve"> </w:t>
      </w:r>
      <w:r>
        <w:rPr>
          <w:rFonts w:ascii="SimHei" w:eastAsia="SimHei" w:hAnsi="SimHei" w:cs="SimHei"/>
          <w:color w:val="595959"/>
          <w:spacing w:val="2"/>
          <w:sz w:val="15"/>
          <w:szCs w:val="15"/>
        </w:rPr>
        <w:t>家具等大件耐用品</w:t>
      </w:r>
      <w:r>
        <w:rPr>
          <w:rFonts w:ascii="SimHei" w:eastAsia="SimHei" w:hAnsi="SimHei" w:cs="SimHei"/>
          <w:color w:val="595959"/>
          <w:spacing w:val="13"/>
          <w:sz w:val="15"/>
          <w:szCs w:val="15"/>
        </w:rPr>
        <w:t xml:space="preserve">  </w:t>
      </w:r>
      <w:r>
        <w:rPr>
          <w:rFonts w:ascii="SimHei" w:eastAsia="SimHei" w:hAnsi="SimHei" w:cs="SimHei"/>
          <w:strike/>
          <w:color w:val="595959"/>
          <w:spacing w:val="4"/>
          <w:sz w:val="15"/>
          <w:szCs w:val="15"/>
        </w:rPr>
        <w:t xml:space="preserve">     </w:t>
      </w:r>
      <w:r>
        <w:rPr>
          <w:rFonts w:ascii="SimHei" w:eastAsia="SimHei" w:hAnsi="SimHei" w:cs="SimHei"/>
          <w:color w:val="595959"/>
          <w:spacing w:val="-39"/>
          <w:sz w:val="15"/>
          <w:szCs w:val="15"/>
        </w:rPr>
        <w:t xml:space="preserve"> </w:t>
      </w:r>
      <w:r>
        <w:rPr>
          <w:rFonts w:ascii="SimHei" w:eastAsia="SimHei" w:hAnsi="SimHei" w:cs="SimHei"/>
          <w:color w:val="595959"/>
          <w:spacing w:val="2"/>
          <w:sz w:val="15"/>
          <w:szCs w:val="15"/>
        </w:rPr>
        <w:t>纺织纱线</w:t>
      </w:r>
    </w:p>
    <w:p>
      <w:pPr>
        <w:spacing w:before="149" w:line="186" w:lineRule="auto"/>
        <w:ind w:left="147"/>
        <w:rPr>
          <w:rFonts w:ascii="KaiTi" w:eastAsia="KaiTi" w:hAnsi="KaiTi" w:cs="KaiTi"/>
          <w:sz w:val="15"/>
          <w:szCs w:val="15"/>
        </w:rPr>
      </w:pPr>
      <w:r>
        <w:rPr>
          <w:rFonts w:ascii="KaiTi" w:eastAsia="KaiTi" w:hAnsi="KaiTi" w:cs="KaiTi"/>
          <w:spacing w:val="-4"/>
          <w:sz w:val="15"/>
          <w:szCs w:val="15"/>
        </w:rPr>
        <w:t>资料来源：</w:t>
      </w:r>
      <w:r>
        <w:rPr>
          <w:rFonts w:ascii="KaiTi" w:eastAsia="KaiTi" w:hAnsi="KaiTi" w:cs="KaiTi"/>
          <w:spacing w:val="-19"/>
          <w:sz w:val="15"/>
          <w:szCs w:val="15"/>
        </w:rPr>
        <w:t xml:space="preserve"> </w:t>
      </w:r>
      <w:r>
        <w:rPr>
          <w:rFonts w:ascii="KaiTi" w:eastAsia="KaiTi" w:hAnsi="KaiTi" w:cs="KaiTi"/>
          <w:spacing w:val="-4"/>
          <w:sz w:val="15"/>
          <w:szCs w:val="15"/>
        </w:rPr>
        <w:t>Wind，国联证券研究所</w:t>
      </w:r>
    </w:p>
    <w:p>
      <w:pPr>
        <w:spacing w:line="14" w:lineRule="auto"/>
        <w:rPr>
          <w:rFonts w:ascii="Arial"/>
          <w:sz w:val="2"/>
        </w:rPr>
        <w:sectPr>
          <w:headerReference w:type="default" r:id="rId37"/>
          <w:footerReference w:type="default" r:id="rId38"/>
          <w:type w:val="continuous"/>
          <w:pgSz w:w="11907" w:h="16839"/>
          <w:pgMar w:top="943" w:right="820" w:bottom="743" w:left="821" w:header="289" w:footer="220" w:gutter="0"/>
          <w:pgNumType w:start="9"/>
          <w:cols w:num="2" w:space="708" w:equalWidth="0">
            <w:col w:w="5175" w:space="100"/>
            <w:col w:w="499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49" w:line="187" w:lineRule="auto"/>
        <w:ind w:left="140"/>
        <w:rPr>
          <w:sz w:val="19"/>
          <w:szCs w:val="19"/>
        </w:rPr>
      </w:pPr>
      <w:r>
        <w:rPr>
          <w:b/>
          <w:bCs/>
          <w:spacing w:val="6"/>
          <w:sz w:val="19"/>
          <w:szCs w:val="19"/>
        </w:rPr>
        <w:t>图表</w:t>
      </w:r>
      <w:r>
        <w:rPr>
          <w:rFonts w:ascii="Arial" w:eastAsia="Arial" w:hAnsi="Arial" w:cs="Arial"/>
          <w:b/>
          <w:bCs/>
          <w:spacing w:val="6"/>
          <w:sz w:val="19"/>
          <w:szCs w:val="19"/>
        </w:rPr>
        <w:t>4</w:t>
      </w:r>
      <w:r>
        <w:rPr>
          <w:b/>
          <w:bCs/>
          <w:spacing w:val="6"/>
          <w:sz w:val="19"/>
          <w:szCs w:val="19"/>
        </w:rPr>
        <w:t>：</w:t>
      </w:r>
      <w:r>
        <w:rPr>
          <w:b/>
          <w:bCs/>
          <w:spacing w:val="-13"/>
          <w:sz w:val="19"/>
          <w:szCs w:val="19"/>
        </w:rPr>
        <w:t xml:space="preserve"> </w:t>
      </w:r>
      <w:r>
        <w:rPr>
          <w:b/>
          <w:bCs/>
          <w:spacing w:val="6"/>
          <w:sz w:val="19"/>
          <w:szCs w:val="19"/>
        </w:rPr>
        <w:t>高科技和机电产品出口金额（季调）</w:t>
      </w:r>
    </w:p>
    <w:p>
      <w:pPr>
        <w:spacing w:before="225" w:line="224" w:lineRule="auto"/>
        <w:ind w:left="66"/>
        <w:rPr>
          <w:rFonts w:ascii="SimHei" w:eastAsia="SimHei" w:hAnsi="SimHei" w:cs="SimHei"/>
          <w:sz w:val="15"/>
          <w:szCs w:val="15"/>
        </w:rPr>
      </w:pPr>
      <w:r>
        <w:pict>
          <v:shape id="_x0000_s1049" type="#_x0000_t202" style="width:38.65pt;height:11.1pt;margin-top:12.17pt;margin-left:210.64pt;position:absolute;z-index:251698176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ind w:left="20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spacing w:val="-2"/>
                      <w:sz w:val="15"/>
                      <w:szCs w:val="15"/>
                    </w:rPr>
                    <w:t>（亿美元）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1"/>
          <w:sz w:val="15"/>
          <w:szCs w:val="15"/>
        </w:rPr>
        <w:t>（亿美元）</w:t>
      </w:r>
    </w:p>
    <w:p>
      <w:pPr>
        <w:spacing w:line="35" w:lineRule="exact"/>
      </w:pPr>
    </w:p>
    <w:tbl>
      <w:tblPr>
        <w:tblStyle w:val="TableNormal1"/>
        <w:tblW w:w="4835" w:type="dxa"/>
        <w:tblInd w:w="6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6"/>
        <w:gridCol w:w="4034"/>
        <w:gridCol w:w="345"/>
      </w:tblGrid>
      <w:tr>
        <w:tblPrEx>
          <w:tblW w:w="4835" w:type="dxa"/>
          <w:tblInd w:w="6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87"/>
        </w:trPr>
        <w:tc>
          <w:tcPr>
            <w:tcW w:w="456" w:type="dxa"/>
            <w:vAlign w:val="top"/>
          </w:tcPr>
          <w:p>
            <w:pPr>
              <w:spacing w:line="187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2,000</w:t>
            </w:r>
          </w:p>
          <w:p>
            <w:pPr>
              <w:spacing w:before="48" w:line="187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1,900</w:t>
            </w:r>
          </w:p>
          <w:p>
            <w:pPr>
              <w:spacing w:before="50" w:line="186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1,800</w:t>
            </w:r>
          </w:p>
          <w:p>
            <w:pPr>
              <w:spacing w:before="50" w:line="186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1,700</w:t>
            </w:r>
          </w:p>
          <w:p>
            <w:pPr>
              <w:spacing w:before="50" w:line="186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1,600</w:t>
            </w:r>
          </w:p>
          <w:p>
            <w:pPr>
              <w:spacing w:before="50" w:line="186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1,500</w:t>
            </w:r>
          </w:p>
          <w:p>
            <w:pPr>
              <w:spacing w:before="51" w:line="186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1,400</w:t>
            </w:r>
          </w:p>
          <w:p>
            <w:pPr>
              <w:spacing w:before="49" w:line="187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1,300</w:t>
            </w:r>
          </w:p>
          <w:p>
            <w:pPr>
              <w:spacing w:before="48" w:line="188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1,200</w:t>
            </w:r>
          </w:p>
          <w:p>
            <w:pPr>
              <w:spacing w:before="50" w:line="187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1,100</w:t>
            </w:r>
          </w:p>
          <w:p>
            <w:pPr>
              <w:spacing w:before="50" w:line="186" w:lineRule="auto"/>
              <w:ind w:left="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1,000</w:t>
            </w:r>
          </w:p>
        </w:tc>
        <w:tc>
          <w:tcPr>
            <w:tcW w:w="4034" w:type="dxa"/>
            <w:vAlign w:val="top"/>
          </w:tcPr>
          <w:p>
            <w:pPr>
              <w:spacing w:before="47" w:line="2063" w:lineRule="exact"/>
              <w:ind w:firstLine="77"/>
            </w:pPr>
            <w:r>
              <w:rPr>
                <w:position w:val="-41"/>
              </w:rPr>
              <w:drawing>
                <wp:inline distT="0" distB="0" distL="0" distR="0">
                  <wp:extent cx="2487098" cy="1310146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xmlns:r="http://schemas.openxmlformats.org/officeDocument/2006/relationships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098" cy="1310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44" w:lineRule="exact"/>
            </w:pPr>
          </w:p>
          <w:tbl>
            <w:tblPr>
              <w:tblStyle w:val="TableNormal1"/>
              <w:tblW w:w="3876" w:type="dxa"/>
              <w:tblInd w:w="9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180"/>
              <w:gridCol w:w="251"/>
              <w:gridCol w:w="252"/>
              <w:gridCol w:w="251"/>
              <w:gridCol w:w="251"/>
              <w:gridCol w:w="251"/>
              <w:gridCol w:w="251"/>
              <w:gridCol w:w="252"/>
              <w:gridCol w:w="251"/>
              <w:gridCol w:w="251"/>
              <w:gridCol w:w="251"/>
              <w:gridCol w:w="251"/>
              <w:gridCol w:w="251"/>
              <w:gridCol w:w="251"/>
              <w:gridCol w:w="251"/>
              <w:gridCol w:w="180"/>
            </w:tblGrid>
            <w:tr>
              <w:tblPrEx>
                <w:tblW w:w="3876" w:type="dxa"/>
                <w:tblInd w:w="98" w:type="dxa"/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Layout w:type="fixed"/>
              </w:tblPrEx>
              <w:trPr>
                <w:trHeight w:val="532"/>
              </w:trPr>
              <w:tc>
                <w:tcPr>
                  <w:tcW w:w="180" w:type="dxa"/>
                  <w:textDirection w:val="btLr"/>
                  <w:vAlign w:val="top"/>
                </w:tcPr>
                <w:p>
                  <w:pPr>
                    <w:spacing w:line="186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2019-02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2019-06</w:t>
                  </w:r>
                </w:p>
              </w:tc>
              <w:tc>
                <w:tcPr>
                  <w:tcW w:w="252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jc w:val="right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2019-10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2020-02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2020-06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2020-10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2021-02</w:t>
                  </w:r>
                </w:p>
              </w:tc>
              <w:tc>
                <w:tcPr>
                  <w:tcW w:w="252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jc w:val="right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2021-06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2021-10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2022-02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2022-06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2022-10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jc w:val="right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2023-02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2023-06</w:t>
                  </w:r>
                </w:p>
              </w:tc>
              <w:tc>
                <w:tcPr>
                  <w:tcW w:w="251" w:type="dxa"/>
                  <w:textDirection w:val="btLr"/>
                  <w:vAlign w:val="top"/>
                </w:tcPr>
                <w:p>
                  <w:pPr>
                    <w:spacing w:before="71" w:line="187" w:lineRule="auto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sz w:val="15"/>
                      <w:szCs w:val="15"/>
                    </w:rPr>
                    <w:t>2023-10</w:t>
                  </w:r>
                </w:p>
              </w:tc>
              <w:tc>
                <w:tcPr>
                  <w:tcW w:w="180" w:type="dxa"/>
                  <w:textDirection w:val="btLr"/>
                  <w:vAlign w:val="top"/>
                </w:tcPr>
                <w:p>
                  <w:pPr>
                    <w:spacing w:before="71" w:line="109" w:lineRule="exact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color w:val="595959"/>
                      <w:spacing w:val="1"/>
                      <w:position w:val="-2"/>
                      <w:sz w:val="15"/>
                      <w:szCs w:val="15"/>
                    </w:rPr>
                    <w:t>2024-02</w:t>
                  </w:r>
                </w:p>
              </w:tc>
            </w:tr>
          </w:tbl>
          <w:p>
            <w:pPr>
              <w:spacing w:before="46" w:line="176" w:lineRule="auto"/>
              <w:ind w:left="240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position w:val="3"/>
                <w:sz w:val="15"/>
                <w:szCs w:val="15"/>
              </w:rPr>
              <w:drawing>
                <wp:inline distT="0" distB="0" distL="0" distR="0">
                  <wp:extent cx="252943" cy="17652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43" cy="17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Hei" w:eastAsia="SimHei" w:hAnsi="SimHei" w:cs="SimHei"/>
                <w:color w:val="595959"/>
                <w:spacing w:val="-37"/>
                <w:sz w:val="15"/>
                <w:szCs w:val="15"/>
              </w:rPr>
              <w:t xml:space="preserve"> </w:t>
            </w:r>
            <w:r>
              <w:rPr>
                <w:rFonts w:ascii="SimHei" w:eastAsia="SimHei" w:hAnsi="SimHei" w:cs="SimHei"/>
                <w:color w:val="595959"/>
                <w:spacing w:val="2"/>
                <w:sz w:val="15"/>
                <w:szCs w:val="15"/>
              </w:rPr>
              <w:t>机电产品</w:t>
            </w:r>
            <w:r>
              <w:rPr>
                <w:rFonts w:ascii="SimHei" w:eastAsia="SimHei" w:hAnsi="SimHei" w:cs="SimHei"/>
                <w:color w:val="595959"/>
                <w:spacing w:val="5"/>
                <w:sz w:val="15"/>
                <w:szCs w:val="15"/>
              </w:rPr>
              <w:t xml:space="preserve">         </w:t>
            </w:r>
            <w:r>
              <w:rPr>
                <w:position w:val="3"/>
                <w:sz w:val="15"/>
                <w:szCs w:val="15"/>
              </w:rPr>
              <w:drawing>
                <wp:inline distT="0" distB="0" distL="0" distR="0">
                  <wp:extent cx="252943" cy="17653"/>
                  <wp:effectExtent l="0" t="0" r="0" b="0"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43" cy="1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Hei" w:eastAsia="SimHei" w:hAnsi="SimHei" w:cs="SimHei"/>
                <w:color w:val="59595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SimHei" w:eastAsia="SimHei" w:hAnsi="SimHei" w:cs="SimHei"/>
                <w:color w:val="595959"/>
                <w:spacing w:val="2"/>
                <w:sz w:val="15"/>
                <w:szCs w:val="15"/>
              </w:rPr>
              <w:t>高新技术产品(</w:t>
            </w: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RHS</w:t>
            </w:r>
            <w:r>
              <w:rPr>
                <w:rFonts w:ascii="SimHei" w:eastAsia="SimHei" w:hAnsi="SimHei" w:cs="SimHei"/>
                <w:color w:val="595959"/>
                <w:spacing w:val="2"/>
                <w:sz w:val="15"/>
                <w:szCs w:val="15"/>
              </w:rPr>
              <w:t>)</w:t>
            </w:r>
          </w:p>
        </w:tc>
        <w:tc>
          <w:tcPr>
            <w:tcW w:w="345" w:type="dxa"/>
            <w:vAlign w:val="top"/>
          </w:tcPr>
          <w:p>
            <w:pPr>
              <w:spacing w:line="186" w:lineRule="auto"/>
              <w:jc w:val="right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1100</w:t>
            </w:r>
          </w:p>
          <w:p>
            <w:pPr>
              <w:spacing w:before="184" w:line="186" w:lineRule="auto"/>
              <w:jc w:val="right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2"/>
                <w:sz w:val="15"/>
                <w:szCs w:val="15"/>
              </w:rPr>
              <w:t>1000</w:t>
            </w:r>
          </w:p>
          <w:p>
            <w:pPr>
              <w:spacing w:before="184" w:line="186" w:lineRule="auto"/>
              <w:ind w:left="3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1"/>
                <w:sz w:val="15"/>
                <w:szCs w:val="15"/>
              </w:rPr>
              <w:t>900</w:t>
            </w:r>
          </w:p>
          <w:p>
            <w:pPr>
              <w:spacing w:before="184" w:line="186" w:lineRule="auto"/>
              <w:ind w:left="42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800</w:t>
            </w:r>
          </w:p>
          <w:p>
            <w:pPr>
              <w:spacing w:before="184" w:line="186" w:lineRule="auto"/>
              <w:ind w:left="44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700</w:t>
            </w:r>
          </w:p>
          <w:p>
            <w:pPr>
              <w:spacing w:before="185" w:line="186" w:lineRule="auto"/>
              <w:ind w:left="43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600</w:t>
            </w:r>
          </w:p>
          <w:p>
            <w:pPr>
              <w:spacing w:before="184" w:line="186" w:lineRule="auto"/>
              <w:ind w:left="40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1"/>
                <w:sz w:val="15"/>
                <w:szCs w:val="15"/>
              </w:rPr>
              <w:t>500</w:t>
            </w:r>
          </w:p>
        </w:tc>
      </w:tr>
    </w:tbl>
    <w:p>
      <w:pPr>
        <w:spacing w:before="213" w:line="186" w:lineRule="auto"/>
        <w:ind w:left="120"/>
        <w:rPr>
          <w:rFonts w:ascii="KaiTi" w:eastAsia="KaiTi" w:hAnsi="KaiTi" w:cs="KaiTi"/>
          <w:sz w:val="15"/>
          <w:szCs w:val="15"/>
        </w:rPr>
      </w:pPr>
      <w:r>
        <w:rPr>
          <w:rFonts w:ascii="KaiTi" w:eastAsia="KaiTi" w:hAnsi="KaiTi" w:cs="KaiTi"/>
          <w:spacing w:val="-4"/>
          <w:sz w:val="15"/>
          <w:szCs w:val="15"/>
        </w:rPr>
        <w:t>资料来源：</w:t>
      </w:r>
      <w:r>
        <w:rPr>
          <w:rFonts w:ascii="KaiTi" w:eastAsia="KaiTi" w:hAnsi="KaiTi" w:cs="KaiTi"/>
          <w:spacing w:val="-19"/>
          <w:sz w:val="15"/>
          <w:szCs w:val="15"/>
        </w:rPr>
        <w:t xml:space="preserve"> </w:t>
      </w:r>
      <w:r>
        <w:rPr>
          <w:rFonts w:ascii="KaiTi" w:eastAsia="KaiTi" w:hAnsi="KaiTi" w:cs="KaiTi"/>
          <w:spacing w:val="-4"/>
          <w:sz w:val="15"/>
          <w:szCs w:val="15"/>
        </w:rPr>
        <w:t>Wind，国联证券研究所</w:t>
      </w:r>
    </w:p>
    <w:p>
      <w:pPr>
        <w:spacing w:line="186" w:lineRule="auto"/>
        <w:rPr>
          <w:rFonts w:ascii="KaiTi" w:eastAsia="KaiTi" w:hAnsi="KaiTi" w:cs="KaiTi"/>
          <w:sz w:val="15"/>
          <w:szCs w:val="15"/>
        </w:rPr>
        <w:sectPr>
          <w:headerReference w:type="default" r:id="rId42"/>
          <w:footerReference w:type="default" r:id="rId43"/>
          <w:type w:val="nextPage"/>
          <w:pgSz w:w="11907" w:h="16839"/>
          <w:pgMar w:top="943" w:right="820" w:bottom="743" w:left="821" w:header="289" w:footer="220" w:gutter="0"/>
          <w:pgNumType w:start="10"/>
          <w:cols w:num="2" w:space="708" w:equalWidth="0">
            <w:col w:w="5175" w:space="100"/>
            <w:col w:w="4990" w:space="0"/>
          </w:cols>
          <w:titlePg w:val="0"/>
        </w:sectPr>
      </w:pPr>
    </w:p>
    <w:p>
      <w:pPr>
        <w:spacing w:before="193"/>
      </w:pPr>
      <w:r>
        <mc:AlternateContent>
          <mc:Choice Requires="wps">
            <w:drawing>
              <wp:anchor distT="0" distB="0" distL="0" distR="0" simplePos="0" relativeHeight="251700224" behindDoc="0" locked="0" layoutInCell="0" allowOverlap="1">
                <wp:simplePos x="0" y="0"/>
                <wp:positionH relativeFrom="page">
                  <wp:posOffset>1957469</wp:posOffset>
                </wp:positionH>
                <wp:positionV relativeFrom="page">
                  <wp:posOffset>1616592</wp:posOffset>
                </wp:positionV>
                <wp:extent cx="365125" cy="2685414"/>
                <wp:effectExtent l="0" t="0" r="0" b="0"/>
                <wp:wrapNone/>
                <wp:docPr id="62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957469" y="1616592"/>
                          <a:ext cx="365125" cy="26854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2019-05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2019-08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2019-11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2020-05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2020-08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2020-11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2021-02</w:t>
                            </w:r>
                          </w:p>
                          <w:p>
                            <w:pPr>
                              <w:spacing w:before="46" w:line="188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2021-05</w:t>
                            </w:r>
                          </w:p>
                          <w:p>
                            <w:pPr>
                              <w:spacing w:before="47" w:line="188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2021-08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2021-11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2022-02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2022-05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2022-08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2022-11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2023-05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2023-08</w:t>
                            </w:r>
                          </w:p>
                          <w:p>
                            <w:pPr>
                              <w:spacing w:before="48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2023-11</w:t>
                            </w:r>
                          </w:p>
                          <w:p>
                            <w:pPr>
                              <w:spacing w:before="89" w:line="188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2024-02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2" o:spid="_x0000_s1050" type="#_x0000_t202" style="width:28.75pt;height:211.45pt;margin-top:127.29pt;margin-left:154.13pt;mso-position-horizontal-relative:page;mso-position-vertical-relative:page;mso-wrap-distance-bottom:0;mso-wrap-distance-left:0;mso-wrap-distance-right:0;mso-wrap-distance-top:0;position:absolute;rotation:270;v-text-anchor:top;z-index:251699200" o:allowincell="f" filled="f" fillcolor="this" stroked="f">
                <v:textbox inset="0,0,0,0">
                  <w:txbxContent>
                    <w:p>
                      <w:pPr>
                        <w:spacing w:before="20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2019-02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2019-05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2019-08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2019-11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2020-02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2020-05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2020-08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2020-11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2021-02</w:t>
                      </w:r>
                    </w:p>
                    <w:p>
                      <w:pPr>
                        <w:spacing w:before="46" w:line="188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2021-05</w:t>
                      </w:r>
                    </w:p>
                    <w:p>
                      <w:pPr>
                        <w:spacing w:before="47" w:line="188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2021-08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2021-11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2022-02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2022-05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2022-08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2022-11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2023-02</w:t>
                      </w:r>
                    </w:p>
                    <w:p>
                      <w:pPr>
                        <w:spacing w:before="47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2023-05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2023-08</w:t>
                      </w:r>
                    </w:p>
                    <w:p>
                      <w:pPr>
                        <w:spacing w:before="48" w:line="187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2023-11</w:t>
                      </w:r>
                    </w:p>
                    <w:p>
                      <w:pPr>
                        <w:spacing w:before="89" w:line="188" w:lineRule="auto"/>
                        <w:ind w:left="20"/>
                        <w:rPr>
                          <w:rFonts w:ascii="SimHei" w:eastAsia="SimHei" w:hAnsi="SimHei" w:cs="SimHei"/>
                          <w:sz w:val="15"/>
                          <w:szCs w:val="15"/>
                        </w:rPr>
                      </w:pPr>
                      <w:r>
                        <w:rPr>
                          <w:rFonts w:ascii="SimHei" w:eastAsia="SimHei" w:hAnsi="SimHei" w:cs="SimHei"/>
                          <w:color w:val="595959"/>
                          <w:spacing w:val="1"/>
                          <w:sz w:val="15"/>
                          <w:szCs w:val="15"/>
                        </w:rPr>
                        <w:t>2024-02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51" style="width:248.1pt;height:0.5pt;margin-top:70.92pt;margin-left:42.6pt;mso-position-horizontal-relative:page;mso-position-vertical-relative:page;position:absolute;z-index:251701248" coordorigin="0,0" coordsize="4962,10" o:allowincell="f" path="m,9l4961,9l4961,l,l,9xe" filled="t" fillcolor="#c1002c" stroked="f"/>
        </w:pict>
      </w:r>
      <w:r>
        <w:pict>
          <v:shape id="_x0000_s1052" style="width:248.1pt;height:0.5pt;margin-top:91.22pt;margin-left:42.6pt;mso-position-horizontal-relative:page;mso-position-vertical-relative:page;position:absolute;z-index:251702272" coordorigin="0,0" coordsize="4962,10" o:allowincell="f" path="m,9l4961,9l4961,l,l,9xe" filled="t" fillcolor="#c1002c" stroked="f"/>
        </w:pict>
      </w:r>
      <w:r>
        <w:pict>
          <v:shape id="_x0000_s1053" style="width:248.1pt;height:0.5pt;margin-top:264.62pt;margin-left:42.6pt;mso-position-horizontal-relative:page;mso-position-vertical-relative:page;position:absolute;z-index:251703296" coordorigin="0,0" coordsize="4962,10" o:allowincell="f" path="m,9l4961,9l4961,l,l,9xe" filled="t" fillcolor="#c1002c" stroked="f"/>
        </w:pict>
      </w:r>
      <w:r>
        <w:pict>
          <v:shape id="_x0000_s1054" style="width:248.1pt;height:0.5pt;margin-top:70.92pt;margin-left:304.85pt;mso-position-horizontal-relative:page;mso-position-vertical-relative:page;position:absolute;z-index:251705344" coordorigin="0,0" coordsize="4962,10" o:allowincell="f" path="m,9l4961,9l4961,l,l,9xe" filled="t" fillcolor="#c1002c" stroked="f"/>
        </w:pict>
      </w:r>
      <w:r>
        <w:pict>
          <v:shape id="_x0000_s1055" style="width:248.1pt;height:0.5pt;margin-top:91.22pt;margin-left:304.85pt;mso-position-horizontal-relative:page;mso-position-vertical-relative:page;position:absolute;z-index:251704320" coordorigin="0,0" coordsize="4962,10" o:allowincell="f" path="m,9l4961,9l4961,l,l,9xe" filled="t" fillcolor="#c1002c" stroked="f"/>
        </w:pict>
      </w:r>
      <w:r>
        <w:pict>
          <v:shape id="_x0000_s1056" style="width:248.1pt;height:0.5pt;margin-top:264.62pt;margin-left:304.85pt;mso-position-horizontal-relative:page;mso-position-vertical-relative:page;position:absolute;z-index:251706368" coordorigin="0,0" coordsize="4962,10" o:allowincell="f" path="m,9l4961,9l4961,l,l,9xe" filled="t" fillcolor="#c1002c" stroked="f"/>
        </w:pict>
      </w:r>
    </w:p>
    <w:p>
      <w:pPr>
        <w:sectPr>
          <w:headerReference w:type="default" r:id="rId44"/>
          <w:footerReference w:type="default" r:id="rId45"/>
          <w:pgSz w:w="11907" w:h="16839"/>
          <w:pgMar w:top="943" w:right="820" w:bottom="743" w:left="821" w:header="289" w:footer="220" w:gutter="0"/>
          <w:pgNumType w:start="11"/>
          <w:cols w:num="1" w:space="708" w:equalWidth="0">
            <w:col w:w="10265" w:space="0"/>
          </w:cols>
        </w:sectPr>
      </w:pPr>
    </w:p>
    <w:p>
      <w:pPr>
        <w:pStyle w:val="BodyText"/>
        <w:spacing w:before="149" w:line="187" w:lineRule="auto"/>
        <w:ind w:left="167"/>
        <w:rPr>
          <w:sz w:val="19"/>
          <w:szCs w:val="19"/>
        </w:rPr>
      </w:pPr>
      <w:r>
        <w:rPr>
          <w:b/>
          <w:bCs/>
          <w:spacing w:val="7"/>
          <w:sz w:val="19"/>
          <w:szCs w:val="19"/>
        </w:rPr>
        <w:t>图表</w:t>
      </w:r>
      <w:r>
        <w:rPr>
          <w:rFonts w:ascii="Arial" w:eastAsia="Arial" w:hAnsi="Arial" w:cs="Arial"/>
          <w:b/>
          <w:bCs/>
          <w:spacing w:val="7"/>
          <w:sz w:val="19"/>
          <w:szCs w:val="19"/>
        </w:rPr>
        <w:t>5</w:t>
      </w:r>
      <w:r>
        <w:rPr>
          <w:b/>
          <w:bCs/>
          <w:spacing w:val="7"/>
          <w:sz w:val="19"/>
          <w:szCs w:val="19"/>
        </w:rPr>
        <w:t>：部分机电产品出口金额（季调）</w:t>
      </w:r>
    </w:p>
    <w:p>
      <w:pPr>
        <w:spacing w:before="224" w:line="224" w:lineRule="auto"/>
        <w:ind w:left="96"/>
        <w:rPr>
          <w:rFonts w:ascii="SimHei" w:eastAsia="SimHei" w:hAnsi="SimHei" w:cs="SimHei"/>
          <w:sz w:val="15"/>
          <w:szCs w:val="15"/>
        </w:rPr>
      </w:pPr>
      <w:r>
        <w:pict>
          <v:shape id="_x0000_s1057" type="#_x0000_t202" style="width:38.7pt;height:11.1pt;margin-top:11.17pt;margin-left:209.78pt;position:absolute;z-index:251709440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ind w:left="20"/>
                    <w:rPr>
                      <w:rFonts w:ascii="SimHei" w:eastAsia="SimHei" w:hAnsi="SimHei" w:cs="SimHei"/>
                      <w:sz w:val="15"/>
                      <w:szCs w:val="15"/>
                    </w:rPr>
                  </w:pPr>
                  <w:r>
                    <w:rPr>
                      <w:rFonts w:ascii="SimHei" w:eastAsia="SimHei" w:hAnsi="SimHei" w:cs="SimHei"/>
                      <w:spacing w:val="-2"/>
                      <w:sz w:val="15"/>
                      <w:szCs w:val="15"/>
                    </w:rPr>
                    <w:t>（亿美元）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2"/>
          <w:sz w:val="15"/>
          <w:szCs w:val="15"/>
        </w:rPr>
        <w:t>（亿美元）</w:t>
      </w:r>
    </w:p>
    <w:p>
      <w:pPr>
        <w:spacing w:line="35" w:lineRule="exact"/>
      </w:pPr>
    </w:p>
    <w:tbl>
      <w:tblPr>
        <w:tblStyle w:val="TableNormal2"/>
        <w:tblW w:w="4748" w:type="dxa"/>
        <w:tblInd w:w="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4"/>
        <w:gridCol w:w="4262"/>
        <w:gridCol w:w="192"/>
      </w:tblGrid>
      <w:tr>
        <w:tblPrEx>
          <w:tblW w:w="4748" w:type="dxa"/>
          <w:tblInd w:w="10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135"/>
        </w:trPr>
        <w:tc>
          <w:tcPr>
            <w:tcW w:w="294" w:type="dxa"/>
            <w:vAlign w:val="top"/>
          </w:tcPr>
          <w:p>
            <w:pPr>
              <w:spacing w:line="187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180</w:t>
            </w:r>
          </w:p>
          <w:p>
            <w:pPr>
              <w:spacing w:before="137" w:line="187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160</w:t>
            </w:r>
          </w:p>
          <w:p>
            <w:pPr>
              <w:spacing w:before="137" w:line="187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140</w:t>
            </w:r>
          </w:p>
          <w:p>
            <w:pPr>
              <w:spacing w:before="136" w:line="188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120</w:t>
            </w:r>
          </w:p>
          <w:p>
            <w:pPr>
              <w:spacing w:before="137" w:line="187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100</w:t>
            </w:r>
          </w:p>
          <w:p>
            <w:pPr>
              <w:spacing w:before="138" w:line="187" w:lineRule="auto"/>
              <w:ind w:left="66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80</w:t>
            </w:r>
          </w:p>
          <w:p>
            <w:pPr>
              <w:spacing w:before="137" w:line="187" w:lineRule="auto"/>
              <w:ind w:left="68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60</w:t>
            </w:r>
          </w:p>
          <w:p>
            <w:pPr>
              <w:spacing w:before="138" w:line="98" w:lineRule="exact"/>
              <w:ind w:left="64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position w:val="-2"/>
                <w:sz w:val="15"/>
                <w:szCs w:val="15"/>
              </w:rPr>
              <w:t>40</w:t>
            </w:r>
          </w:p>
        </w:tc>
        <w:tc>
          <w:tcPr>
            <w:tcW w:w="4262" w:type="dxa"/>
            <w:vAlign w:val="top"/>
          </w:tcPr>
          <w:p>
            <w:pPr>
              <w:spacing w:before="48" w:line="2074" w:lineRule="exact"/>
              <w:ind w:firstLine="75"/>
            </w:pPr>
            <w:r>
              <w:rPr>
                <w:position w:val="-41"/>
              </w:rPr>
              <w:drawing>
                <wp:inline distT="0" distB="0" distL="0" distR="0">
                  <wp:extent cx="2632745" cy="1317118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2745" cy="1317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" w:type="dxa"/>
            <w:vAlign w:val="top"/>
          </w:tcPr>
          <w:p>
            <w:pPr>
              <w:spacing w:line="187" w:lineRule="auto"/>
              <w:jc w:val="right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25</w:t>
            </w:r>
          </w:p>
          <w:p>
            <w:pPr>
              <w:spacing w:before="253" w:line="187" w:lineRule="auto"/>
              <w:jc w:val="right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20</w:t>
            </w:r>
          </w:p>
          <w:p>
            <w:pPr>
              <w:spacing w:before="254" w:line="186" w:lineRule="auto"/>
              <w:jc w:val="right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6"/>
                <w:sz w:val="15"/>
                <w:szCs w:val="15"/>
              </w:rPr>
              <w:t>15</w:t>
            </w:r>
          </w:p>
          <w:p>
            <w:pPr>
              <w:spacing w:before="253" w:line="187" w:lineRule="auto"/>
              <w:jc w:val="right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6"/>
                <w:sz w:val="15"/>
                <w:szCs w:val="15"/>
              </w:rPr>
              <w:t>10</w:t>
            </w:r>
          </w:p>
          <w:p>
            <w:pPr>
              <w:spacing w:before="255" w:line="184" w:lineRule="auto"/>
              <w:ind w:left="41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5</w:t>
            </w:r>
          </w:p>
          <w:p>
            <w:pPr>
              <w:spacing w:before="253" w:line="99" w:lineRule="exact"/>
              <w:ind w:left="43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position w:val="-2"/>
                <w:sz w:val="15"/>
                <w:szCs w:val="15"/>
              </w:rPr>
              <w:t>0</w:t>
            </w:r>
          </w:p>
        </w:tc>
      </w:tr>
    </w:tbl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48" w:line="224" w:lineRule="auto"/>
        <w:ind w:left="387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color w:val="595959"/>
          <w:position w:val="4"/>
          <w:sz w:val="15"/>
          <w:szCs w:val="15"/>
        </w:rPr>
        <w:drawing>
          <wp:inline distT="0" distB="0" distL="0" distR="0">
            <wp:extent cx="253311" cy="19068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3311" cy="1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42"/>
          <w:sz w:val="15"/>
          <w:szCs w:val="15"/>
        </w:rPr>
        <w:t xml:space="preserve"> </w:t>
      </w:r>
      <w:r>
        <w:rPr>
          <w:rFonts w:ascii="SimHei" w:eastAsia="SimHei" w:hAnsi="SimHei" w:cs="SimHei"/>
          <w:color w:val="595959"/>
          <w:spacing w:val="3"/>
          <w:sz w:val="15"/>
          <w:szCs w:val="15"/>
        </w:rPr>
        <w:t>汽车</w:t>
      </w:r>
      <w:r>
        <w:rPr>
          <w:rFonts w:ascii="SimHei" w:eastAsia="SimHei" w:hAnsi="SimHei" w:cs="SimHei"/>
          <w:color w:val="595959"/>
          <w:spacing w:val="3"/>
          <w:sz w:val="15"/>
          <w:szCs w:val="15"/>
        </w:rPr>
        <w:t xml:space="preserve">    </w:t>
      </w:r>
      <w:r>
        <w:rPr>
          <w:position w:val="4"/>
          <w:sz w:val="15"/>
          <w:szCs w:val="15"/>
        </w:rPr>
        <w:drawing>
          <wp:inline distT="0" distB="0" distL="0" distR="0">
            <wp:extent cx="253311" cy="19068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3311" cy="1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43"/>
          <w:sz w:val="15"/>
          <w:szCs w:val="15"/>
        </w:rPr>
        <w:t xml:space="preserve"> </w:t>
      </w:r>
      <w:r>
        <w:rPr>
          <w:rFonts w:ascii="SimHei" w:eastAsia="SimHei" w:hAnsi="SimHei" w:cs="SimHei"/>
          <w:color w:val="595959"/>
          <w:spacing w:val="3"/>
          <w:sz w:val="15"/>
          <w:szCs w:val="15"/>
        </w:rPr>
        <w:t>集成电路</w:t>
      </w:r>
      <w:r>
        <w:rPr>
          <w:rFonts w:ascii="SimHei" w:eastAsia="SimHei" w:hAnsi="SimHei" w:cs="SimHei"/>
          <w:color w:val="595959"/>
          <w:spacing w:val="3"/>
          <w:sz w:val="15"/>
          <w:szCs w:val="15"/>
        </w:rPr>
        <w:t xml:space="preserve">    </w:t>
      </w:r>
      <w:r>
        <w:rPr>
          <w:position w:val="4"/>
          <w:sz w:val="15"/>
          <w:szCs w:val="15"/>
        </w:rPr>
        <w:drawing>
          <wp:inline distT="0" distB="0" distL="0" distR="0">
            <wp:extent cx="253311" cy="19068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3311" cy="1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color w:val="595959"/>
          <w:spacing w:val="-37"/>
          <w:sz w:val="15"/>
          <w:szCs w:val="15"/>
        </w:rPr>
        <w:t xml:space="preserve"> </w:t>
      </w:r>
      <w:r>
        <w:rPr>
          <w:rFonts w:ascii="SimHei" w:eastAsia="SimHei" w:hAnsi="SimHei" w:cs="SimHei"/>
          <w:color w:val="595959"/>
          <w:spacing w:val="3"/>
          <w:sz w:val="15"/>
          <w:szCs w:val="15"/>
        </w:rPr>
        <w:t>医疗仪器及器械(</w:t>
      </w:r>
      <w:r>
        <w:rPr>
          <w:rFonts w:ascii="SimHei" w:eastAsia="SimHei" w:hAnsi="SimHei" w:cs="SimHei"/>
          <w:color w:val="595959"/>
          <w:sz w:val="15"/>
          <w:szCs w:val="15"/>
        </w:rPr>
        <w:t>rhs</w:t>
      </w:r>
      <w:r>
        <w:rPr>
          <w:rFonts w:ascii="SimHei" w:eastAsia="SimHei" w:hAnsi="SimHei" w:cs="SimHei"/>
          <w:color w:val="595959"/>
          <w:spacing w:val="3"/>
          <w:sz w:val="15"/>
          <w:szCs w:val="15"/>
        </w:rPr>
        <w:t>)</w:t>
      </w:r>
    </w:p>
    <w:p>
      <w:pPr>
        <w:spacing w:before="199" w:line="186" w:lineRule="auto"/>
        <w:ind w:left="147"/>
        <w:rPr>
          <w:rFonts w:ascii="KaiTi" w:eastAsia="KaiTi" w:hAnsi="KaiTi" w:cs="KaiTi"/>
          <w:sz w:val="15"/>
          <w:szCs w:val="15"/>
        </w:rPr>
      </w:pPr>
      <w:r>
        <w:rPr>
          <w:rFonts w:ascii="KaiTi" w:eastAsia="KaiTi" w:hAnsi="KaiTi" w:cs="KaiTi"/>
          <w:spacing w:val="-4"/>
          <w:sz w:val="15"/>
          <w:szCs w:val="15"/>
        </w:rPr>
        <w:t>资料来源：</w:t>
      </w:r>
      <w:r>
        <w:rPr>
          <w:rFonts w:ascii="KaiTi" w:eastAsia="KaiTi" w:hAnsi="KaiTi" w:cs="KaiTi"/>
          <w:spacing w:val="-19"/>
          <w:sz w:val="15"/>
          <w:szCs w:val="15"/>
        </w:rPr>
        <w:t xml:space="preserve"> </w:t>
      </w:r>
      <w:r>
        <w:rPr>
          <w:rFonts w:ascii="KaiTi" w:eastAsia="KaiTi" w:hAnsi="KaiTi" w:cs="KaiTi"/>
          <w:spacing w:val="-4"/>
          <w:sz w:val="15"/>
          <w:szCs w:val="15"/>
        </w:rPr>
        <w:t>Wind，国联证券研究所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48" w:line="187" w:lineRule="auto"/>
        <w:ind w:left="140"/>
        <w:rPr>
          <w:sz w:val="19"/>
          <w:szCs w:val="19"/>
        </w:rPr>
      </w:pPr>
      <w:r>
        <w:rPr>
          <w:b/>
          <w:bCs/>
          <w:spacing w:val="8"/>
          <w:sz w:val="19"/>
          <w:szCs w:val="19"/>
        </w:rPr>
        <w:t>图表</w:t>
      </w:r>
      <w:r>
        <w:rPr>
          <w:rFonts w:ascii="Arial" w:eastAsia="Arial" w:hAnsi="Arial" w:cs="Arial"/>
          <w:b/>
          <w:bCs/>
          <w:spacing w:val="8"/>
          <w:sz w:val="19"/>
          <w:szCs w:val="19"/>
        </w:rPr>
        <w:t>6</w:t>
      </w:r>
      <w:r>
        <w:rPr>
          <w:b/>
          <w:bCs/>
          <w:spacing w:val="8"/>
          <w:sz w:val="19"/>
          <w:szCs w:val="19"/>
        </w:rPr>
        <w:t>：农产品和原材料的出口金额（季调）</w:t>
      </w:r>
    </w:p>
    <w:p>
      <w:pPr>
        <w:spacing w:before="227" w:line="224" w:lineRule="auto"/>
        <w:ind w:left="66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spacing w:val="-2"/>
          <w:sz w:val="15"/>
          <w:szCs w:val="15"/>
        </w:rPr>
        <w:t>（亿美元）</w:t>
      </w:r>
    </w:p>
    <w:p>
      <w:pPr>
        <w:spacing w:line="35" w:lineRule="exact"/>
      </w:pPr>
    </w:p>
    <w:tbl>
      <w:tblPr>
        <w:tblStyle w:val="TableNormal2"/>
        <w:tblW w:w="4672" w:type="dxa"/>
        <w:tblInd w:w="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4"/>
        <w:gridCol w:w="4378"/>
      </w:tblGrid>
      <w:tr>
        <w:tblPrEx>
          <w:tblW w:w="4672" w:type="dxa"/>
          <w:tblInd w:w="7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87"/>
        </w:trPr>
        <w:tc>
          <w:tcPr>
            <w:tcW w:w="294" w:type="dxa"/>
            <w:vAlign w:val="top"/>
          </w:tcPr>
          <w:p>
            <w:pPr>
              <w:spacing w:line="186" w:lineRule="auto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100</w:t>
            </w:r>
          </w:p>
          <w:p>
            <w:pPr>
              <w:spacing w:before="50" w:line="187" w:lineRule="auto"/>
              <w:ind w:left="65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90</w:t>
            </w:r>
          </w:p>
          <w:p>
            <w:pPr>
              <w:spacing w:before="50" w:line="187" w:lineRule="auto"/>
              <w:ind w:left="67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80</w:t>
            </w:r>
          </w:p>
          <w:p>
            <w:pPr>
              <w:spacing w:before="50" w:line="187" w:lineRule="auto"/>
              <w:ind w:left="6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70</w:t>
            </w:r>
          </w:p>
          <w:p>
            <w:pPr>
              <w:spacing w:before="49" w:line="187" w:lineRule="auto"/>
              <w:ind w:left="68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60</w:t>
            </w:r>
          </w:p>
          <w:p>
            <w:pPr>
              <w:spacing w:before="50" w:line="187" w:lineRule="auto"/>
              <w:ind w:left="65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50</w:t>
            </w:r>
          </w:p>
          <w:p>
            <w:pPr>
              <w:spacing w:before="50" w:line="187" w:lineRule="auto"/>
              <w:ind w:left="65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40</w:t>
            </w:r>
          </w:p>
          <w:p>
            <w:pPr>
              <w:spacing w:before="50" w:line="187" w:lineRule="auto"/>
              <w:ind w:left="69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30</w:t>
            </w:r>
          </w:p>
          <w:p>
            <w:pPr>
              <w:spacing w:before="50" w:line="187" w:lineRule="auto"/>
              <w:ind w:left="67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1"/>
                <w:sz w:val="15"/>
                <w:szCs w:val="15"/>
              </w:rPr>
              <w:t>20</w:t>
            </w:r>
          </w:p>
          <w:p>
            <w:pPr>
              <w:spacing w:before="50" w:line="187" w:lineRule="auto"/>
              <w:ind w:left="77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pacing w:val="-3"/>
                <w:sz w:val="15"/>
                <w:szCs w:val="15"/>
              </w:rPr>
              <w:t>10</w:t>
            </w:r>
          </w:p>
          <w:p>
            <w:pPr>
              <w:spacing w:before="50" w:line="187" w:lineRule="auto"/>
              <w:ind w:left="144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>0</w:t>
            </w:r>
          </w:p>
        </w:tc>
        <w:tc>
          <w:tcPr>
            <w:tcW w:w="4378" w:type="dxa"/>
            <w:vAlign w:val="top"/>
          </w:tcPr>
          <w:p>
            <w:pPr>
              <w:spacing w:before="47" w:line="2070" w:lineRule="exact"/>
              <w:ind w:firstLine="76"/>
            </w:pPr>
            <w:r>
              <mc:AlternateContent>
                <mc:Choice Requires="wps">
                  <w:drawing>
                    <wp:anchor distT="0" distB="0" distL="0" distR="0" simplePos="0" relativeHeight="251708416" behindDoc="0" locked="0" layoutInCell="1" allowOverlap="1">
                      <wp:simplePos x="0" y="0"/>
                      <wp:positionH relativeFrom="rightMargin">
                        <wp:posOffset>-1540155</wp:posOffset>
                      </wp:positionH>
                      <wp:positionV relativeFrom="topMargin">
                        <wp:posOffset>144045</wp:posOffset>
                      </wp:positionV>
                      <wp:extent cx="364490" cy="2797175"/>
                      <wp:effectExtent l="0" t="0" r="0" b="0"/>
                      <wp:wrapNone/>
                      <wp:docPr id="72" name="Text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540155" y="144045"/>
                                <a:ext cx="364490" cy="279717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2018-11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2019-02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2019-05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2019-08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2019-11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2020-02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2020-05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2020-08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2020-11</w:t>
                                  </w:r>
                                </w:p>
                                <w:p>
                                  <w:pPr>
                                    <w:spacing w:before="45" w:line="188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2021-02</w:t>
                                  </w:r>
                                </w:p>
                                <w:p>
                                  <w:pPr>
                                    <w:spacing w:before="46" w:line="188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2021-05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2021-08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2021-11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2022-02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2022-05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2022-08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2022-11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2023-02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2023-05</w:t>
                                  </w:r>
                                </w:p>
                                <w:p>
                                  <w:pPr>
                                    <w:spacing w:before="47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2023-08</w:t>
                                  </w:r>
                                </w:p>
                                <w:p>
                                  <w:pPr>
                                    <w:spacing w:before="46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2023-11</w:t>
                                  </w:r>
                                </w:p>
                                <w:p>
                                  <w:pPr>
                                    <w:spacing w:before="90" w:line="187" w:lineRule="auto"/>
                                    <w:ind w:left="20"/>
                                    <w:rPr>
                                      <w:rFonts w:ascii="SimHei" w:eastAsia="SimHei" w:hAnsi="SimHei" w:cs="SimHe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Hei" w:eastAsia="SimHei" w:hAnsi="SimHei" w:cs="SimHei"/>
                                      <w:color w:val="595959"/>
                                      <w:spacing w:val="1"/>
                                      <w:sz w:val="15"/>
                                      <w:szCs w:val="15"/>
                                    </w:rPr>
                                    <w:t>2024-02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2" o:spid="_x0000_s1058" type="#_x0000_t202" style="width:28.7pt;height:220.25pt;margin-top:11.34pt;margin-left:-121.27pt;mso-position-horizontal-relative:right-margin-area;mso-position-vertical-relative:top-margin-area;mso-wrap-distance-bottom:0;mso-wrap-distance-left:0;mso-wrap-distance-right:0;mso-wrap-distance-top:0;position:absolute;rotation:270;v-text-anchor:top;z-index:251707392" filled="f" fillcolor="this" stroked="f">
                      <v:textbox inset="0,0,0,0">
                        <w:txbxContent>
                          <w:p>
                            <w:pPr>
                              <w:spacing w:before="20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2018-11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2019-02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2019-05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2019-08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2019-11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2020-05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2020-08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2020-11</w:t>
                            </w:r>
                          </w:p>
                          <w:p>
                            <w:pPr>
                              <w:spacing w:before="45" w:line="188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2021-02</w:t>
                            </w:r>
                          </w:p>
                          <w:p>
                            <w:pPr>
                              <w:spacing w:before="46" w:line="188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2021-05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2021-08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2021-11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2022-02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2022-05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2022-08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2022-11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2023-02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2023-05</w:t>
                            </w:r>
                          </w:p>
                          <w:p>
                            <w:pPr>
                              <w:spacing w:before="47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2023-08</w:t>
                            </w:r>
                          </w:p>
                          <w:p>
                            <w:pPr>
                              <w:spacing w:before="46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2023-11</w:t>
                            </w:r>
                          </w:p>
                          <w:p>
                            <w:pPr>
                              <w:spacing w:before="90" w:line="187" w:lineRule="auto"/>
                              <w:ind w:left="20"/>
                              <w:rPr>
                                <w:rFonts w:ascii="SimHei" w:eastAsia="SimHei" w:hAnsi="SimHei" w:cs="SimHe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95959"/>
                                <w:spacing w:val="1"/>
                                <w:sz w:val="15"/>
                                <w:szCs w:val="15"/>
                              </w:rPr>
                              <w:t>2024-02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position w:val="-41"/>
              </w:rPr>
              <w:drawing>
                <wp:inline distT="0" distB="0" distL="0" distR="0">
                  <wp:extent cx="2716929" cy="1314274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29" cy="1314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48" w:line="178" w:lineRule="auto"/>
              <w:ind w:left="725"/>
              <w:rPr>
                <w:rFonts w:ascii="SimHei" w:eastAsia="SimHei" w:hAnsi="SimHei" w:cs="SimHei"/>
                <w:sz w:val="15"/>
                <w:szCs w:val="15"/>
              </w:rPr>
            </w:pPr>
            <w:r>
              <w:rPr>
                <w:rFonts w:ascii="SimHei" w:eastAsia="SimHei" w:hAnsi="SimHei" w:cs="SimHei"/>
                <w:color w:val="595959"/>
                <w:position w:val="3"/>
                <w:sz w:val="15"/>
                <w:szCs w:val="15"/>
              </w:rPr>
              <w:drawing>
                <wp:inline distT="0" distB="0" distL="0" distR="0">
                  <wp:extent cx="253652" cy="17805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xmlns:r="http://schemas.openxmlformats.org/officeDocument/2006/relationships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52" cy="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Hei" w:eastAsia="SimHei" w:hAnsi="SimHei" w:cs="SimHei"/>
                <w:color w:val="595959"/>
                <w:spacing w:val="-41"/>
                <w:sz w:val="15"/>
                <w:szCs w:val="15"/>
              </w:rPr>
              <w:t xml:space="preserve"> </w:t>
            </w:r>
            <w:r>
              <w:rPr>
                <w:rFonts w:ascii="SimHei" w:eastAsia="SimHei" w:hAnsi="SimHei" w:cs="SimHei"/>
                <w:color w:val="595959"/>
                <w:spacing w:val="2"/>
                <w:sz w:val="15"/>
                <w:szCs w:val="15"/>
              </w:rPr>
              <w:t>农产品</w:t>
            </w:r>
            <w:r>
              <w:rPr>
                <w:rFonts w:ascii="SimHei" w:eastAsia="SimHei" w:hAnsi="SimHei" w:cs="SimHei"/>
                <w:color w:val="595959"/>
                <w:sz w:val="15"/>
                <w:szCs w:val="15"/>
              </w:rPr>
              <w:t xml:space="preserve">              </w:t>
            </w:r>
            <w:r>
              <w:rPr>
                <w:position w:val="3"/>
                <w:sz w:val="15"/>
                <w:szCs w:val="15"/>
              </w:rPr>
              <w:drawing>
                <wp:inline distT="0" distB="0" distL="0" distR="0">
                  <wp:extent cx="253652" cy="17805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xmlns:r="http://schemas.openxmlformats.org/officeDocument/2006/relationships"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52" cy="1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Hei" w:eastAsia="SimHei" w:hAnsi="SimHei" w:cs="SimHei"/>
                <w:color w:val="595959"/>
                <w:spacing w:val="-42"/>
                <w:sz w:val="15"/>
                <w:szCs w:val="15"/>
              </w:rPr>
              <w:t xml:space="preserve"> </w:t>
            </w:r>
            <w:r>
              <w:rPr>
                <w:rFonts w:ascii="SimHei" w:eastAsia="SimHei" w:hAnsi="SimHei" w:cs="SimHei"/>
                <w:color w:val="595959"/>
                <w:spacing w:val="2"/>
                <w:sz w:val="15"/>
                <w:szCs w:val="15"/>
              </w:rPr>
              <w:t>原材料</w:t>
            </w:r>
          </w:p>
        </w:tc>
      </w:tr>
    </w:tbl>
    <w:p>
      <w:pPr>
        <w:spacing w:before="212" w:line="186" w:lineRule="auto"/>
        <w:ind w:left="120"/>
        <w:rPr>
          <w:rFonts w:ascii="KaiTi" w:eastAsia="KaiTi" w:hAnsi="KaiTi" w:cs="KaiTi"/>
          <w:sz w:val="15"/>
          <w:szCs w:val="15"/>
        </w:rPr>
      </w:pPr>
      <w:r>
        <w:rPr>
          <w:rFonts w:ascii="KaiTi" w:eastAsia="KaiTi" w:hAnsi="KaiTi" w:cs="KaiTi"/>
          <w:spacing w:val="-4"/>
          <w:sz w:val="15"/>
          <w:szCs w:val="15"/>
        </w:rPr>
        <w:t>资料来源：</w:t>
      </w:r>
      <w:r>
        <w:rPr>
          <w:rFonts w:ascii="KaiTi" w:eastAsia="KaiTi" w:hAnsi="KaiTi" w:cs="KaiTi"/>
          <w:spacing w:val="-19"/>
          <w:sz w:val="15"/>
          <w:szCs w:val="15"/>
        </w:rPr>
        <w:t xml:space="preserve"> </w:t>
      </w:r>
      <w:r>
        <w:rPr>
          <w:rFonts w:ascii="KaiTi" w:eastAsia="KaiTi" w:hAnsi="KaiTi" w:cs="KaiTi"/>
          <w:spacing w:val="-4"/>
          <w:sz w:val="15"/>
          <w:szCs w:val="15"/>
        </w:rPr>
        <w:t>Wind，国联证券研究所</w:t>
      </w:r>
    </w:p>
    <w:p>
      <w:pPr>
        <w:spacing w:line="186" w:lineRule="auto"/>
        <w:rPr>
          <w:rFonts w:ascii="KaiTi" w:eastAsia="KaiTi" w:hAnsi="KaiTi" w:cs="KaiTi"/>
          <w:sz w:val="15"/>
          <w:szCs w:val="15"/>
        </w:rPr>
        <w:sectPr>
          <w:headerReference w:type="default" r:id="rId53"/>
          <w:footerReference w:type="default" r:id="rId54"/>
          <w:type w:val="continuous"/>
          <w:pgSz w:w="11907" w:h="16839"/>
          <w:pgMar w:top="943" w:right="820" w:bottom="743" w:left="821" w:header="289" w:footer="220" w:gutter="0"/>
          <w:pgNumType w:start="12"/>
          <w:cols w:num="2" w:space="708" w:equalWidth="0">
            <w:col w:w="5175" w:space="100"/>
            <w:col w:w="4990" w:space="0"/>
          </w:cols>
        </w:sect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103" w:line="184" w:lineRule="auto"/>
        <w:ind w:left="3021"/>
        <w:outlineLvl w:val="1"/>
        <w:rPr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1.3</w:t>
      </w:r>
      <w:r>
        <w:rPr>
          <w:rFonts w:ascii="Arial" w:eastAsia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对各类贸易对象的出口均有明显好转</w:t>
      </w:r>
    </w:p>
    <w:p>
      <w:pPr>
        <w:pStyle w:val="BodyText"/>
        <w:spacing w:before="302" w:line="408" w:lineRule="exact"/>
        <w:ind w:right="27"/>
        <w:jc w:val="right"/>
      </w:pPr>
      <w:r>
        <w:rPr>
          <w:b/>
          <w:bCs/>
          <w:spacing w:val="2"/>
          <w:position w:val="15"/>
        </w:rPr>
        <w:t>季节性调整后，</w:t>
      </w:r>
      <w:r>
        <w:rPr>
          <w:b/>
          <w:bCs/>
          <w:spacing w:val="-36"/>
          <w:position w:val="15"/>
        </w:rPr>
        <w:t xml:space="preserve"> </w:t>
      </w:r>
      <w:r>
        <w:rPr>
          <w:b/>
          <w:bCs/>
          <w:spacing w:val="2"/>
          <w:position w:val="15"/>
        </w:rPr>
        <w:t>我国对新兴经济体、转口贸易对象与</w:t>
      </w:r>
      <w:r>
        <w:rPr>
          <w:b/>
          <w:bCs/>
          <w:spacing w:val="1"/>
          <w:position w:val="15"/>
        </w:rPr>
        <w:t>发达经济体的出口都有明</w:t>
      </w:r>
    </w:p>
    <w:p>
      <w:pPr>
        <w:pStyle w:val="BodyText"/>
        <w:spacing w:before="1" w:line="185" w:lineRule="auto"/>
        <w:ind w:left="2597"/>
      </w:pPr>
      <w:r>
        <w:rPr>
          <w:b/>
          <w:bCs/>
          <w:spacing w:val="-1"/>
        </w:rPr>
        <w:t>显的改善——尽管对韩国、日本等个别国家的出口表现偏弱。</w:t>
      </w:r>
    </w:p>
    <w:p>
      <w:pPr>
        <w:pStyle w:val="BodyText"/>
        <w:spacing w:before="285" w:line="185" w:lineRule="auto"/>
        <w:ind w:left="3014"/>
      </w:pPr>
      <w:r>
        <w:rPr>
          <w:b/>
          <w:bCs/>
          <w:spacing w:val="-2"/>
        </w:rPr>
        <w:t>具体而言，季节性调整后，主要贸易对象中：</w:t>
      </w:r>
    </w:p>
    <w:p>
      <w:pPr>
        <w:pStyle w:val="BodyText"/>
        <w:spacing w:before="288" w:line="185" w:lineRule="auto"/>
        <w:ind w:left="3019"/>
        <w:rPr>
          <w:rFonts w:ascii="KaiTi" w:eastAsia="KaiTi" w:hAnsi="KaiTi" w:cs="KaiTi"/>
        </w:rPr>
      </w:pPr>
      <w:r>
        <w:rPr>
          <w:position w:val="1"/>
        </w:rPr>
        <w:drawing>
          <wp:inline distT="0" distB="0" distL="0" distR="0">
            <wp:extent cx="77650" cy="78857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1"/>
        </w:rPr>
        <w:t xml:space="preserve">    </w:t>
      </w:r>
      <w:r>
        <w:rPr>
          <w:b/>
          <w:bCs/>
          <w:spacing w:val="-2"/>
        </w:rPr>
        <w:t>对新兴经济体的出口整体明显反弹</w:t>
      </w:r>
      <w:r>
        <w:rPr>
          <w:rFonts w:ascii="KaiTi" w:eastAsia="KaiTi" w:hAnsi="KaiTi" w:cs="KaiTi"/>
          <w:spacing w:val="-2"/>
        </w:rPr>
        <w:t>（环比+4.6%，前值+0.2%）。</w:t>
      </w:r>
    </w:p>
    <w:p>
      <w:pPr>
        <w:spacing w:before="287" w:line="408" w:lineRule="exact"/>
        <w:ind w:right="23"/>
        <w:jc w:val="right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2"/>
          <w:position w:val="15"/>
          <w:sz w:val="21"/>
          <w:szCs w:val="21"/>
        </w:rPr>
        <w:t>其中，对巴西、印度的出口都有明显回升，分</w:t>
      </w:r>
      <w:r>
        <w:rPr>
          <w:rFonts w:ascii="KaiTi" w:eastAsia="KaiTi" w:hAnsi="KaiTi" w:cs="KaiTi"/>
          <w:spacing w:val="-3"/>
          <w:position w:val="15"/>
          <w:sz w:val="21"/>
          <w:szCs w:val="21"/>
        </w:rPr>
        <w:t>别环比增长</w:t>
      </w:r>
      <w:r>
        <w:rPr>
          <w:rFonts w:ascii="KaiTi" w:eastAsia="KaiTi" w:hAnsi="KaiTi" w:cs="KaiTi"/>
          <w:spacing w:val="-33"/>
          <w:position w:val="1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3"/>
          <w:position w:val="15"/>
          <w:sz w:val="21"/>
          <w:szCs w:val="21"/>
        </w:rPr>
        <w:t>10.0%、5.6%（前</w:t>
      </w:r>
    </w:p>
    <w:p>
      <w:pPr>
        <w:spacing w:before="1" w:line="213" w:lineRule="auto"/>
        <w:jc w:val="right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9"/>
          <w:sz w:val="21"/>
          <w:szCs w:val="21"/>
        </w:rPr>
        <w:t>值+4.5%、-1.1%）;对俄罗斯的出口略有</w:t>
      </w:r>
      <w:r>
        <w:rPr>
          <w:rFonts w:ascii="KaiTi" w:eastAsia="KaiTi" w:hAnsi="KaiTi" w:cs="KaiTi"/>
          <w:spacing w:val="-10"/>
          <w:sz w:val="21"/>
          <w:szCs w:val="21"/>
        </w:rPr>
        <w:t>回升，环比增长</w:t>
      </w:r>
      <w:r>
        <w:rPr>
          <w:rFonts w:ascii="KaiTi" w:eastAsia="KaiTi" w:hAnsi="KaiTi" w:cs="KaiTi"/>
          <w:spacing w:val="-4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10"/>
          <w:sz w:val="21"/>
          <w:szCs w:val="21"/>
        </w:rPr>
        <w:t>0.3%（前值-0.8%）。</w:t>
      </w:r>
    </w:p>
    <w:p>
      <w:pPr>
        <w:pStyle w:val="BodyText"/>
        <w:spacing w:before="321" w:line="185" w:lineRule="auto"/>
        <w:ind w:left="3019"/>
        <w:rPr>
          <w:rFonts w:ascii="KaiTi" w:eastAsia="KaiTi" w:hAnsi="KaiTi" w:cs="KaiTi"/>
        </w:rPr>
      </w:pPr>
      <w:r>
        <w:rPr>
          <w:position w:val="1"/>
        </w:rPr>
        <w:drawing>
          <wp:inline distT="0" distB="0" distL="0" distR="0">
            <wp:extent cx="77650" cy="78857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1"/>
        </w:rPr>
        <w:t xml:space="preserve">    </w:t>
      </w:r>
      <w:r>
        <w:rPr>
          <w:b/>
          <w:bCs/>
          <w:spacing w:val="-2"/>
        </w:rPr>
        <w:t>对转口贸易对象的出口整体继续回升</w:t>
      </w:r>
      <w:r>
        <w:rPr>
          <w:rFonts w:ascii="KaiTi" w:eastAsia="KaiTi" w:hAnsi="KaiTi" w:cs="KaiTi"/>
          <w:spacing w:val="-2"/>
        </w:rPr>
        <w:t>（环比+5.3%，前值+2.1%）。</w:t>
      </w:r>
    </w:p>
    <w:p>
      <w:pPr>
        <w:spacing w:before="286" w:line="360" w:lineRule="auto"/>
        <w:ind w:left="3425" w:right="34" w:firstLine="7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10"/>
          <w:sz w:val="21"/>
          <w:szCs w:val="21"/>
        </w:rPr>
        <w:t>其中，对东盟、中国香港的出口大幅回升，1-2</w:t>
      </w:r>
      <w:r>
        <w:rPr>
          <w:rFonts w:ascii="KaiTi" w:eastAsia="KaiTi" w:hAnsi="KaiTi" w:cs="KaiTi"/>
          <w:spacing w:val="-30"/>
          <w:sz w:val="21"/>
          <w:szCs w:val="21"/>
        </w:rPr>
        <w:t xml:space="preserve"> </w:t>
      </w:r>
      <w:r>
        <w:rPr>
          <w:rFonts w:ascii="KaiTi" w:eastAsia="KaiTi" w:hAnsi="KaiTi" w:cs="KaiTi"/>
          <w:spacing w:val="-10"/>
          <w:sz w:val="21"/>
          <w:szCs w:val="21"/>
        </w:rPr>
        <w:t>月平均较上月环比增长</w:t>
      </w:r>
      <w:r>
        <w:rPr>
          <w:rFonts w:ascii="KaiTi" w:eastAsia="KaiTi" w:hAnsi="KaiTi" w:cs="KaiTi"/>
          <w:spacing w:val="-50"/>
          <w:sz w:val="21"/>
          <w:szCs w:val="21"/>
        </w:rPr>
        <w:t xml:space="preserve"> </w:t>
      </w:r>
      <w:r>
        <w:rPr>
          <w:rFonts w:ascii="KaiTi" w:eastAsia="KaiTi" w:hAnsi="KaiTi" w:cs="KaiTi"/>
          <w:spacing w:val="-10"/>
          <w:sz w:val="21"/>
          <w:szCs w:val="21"/>
        </w:rPr>
        <w:t>7.8%、</w:t>
      </w:r>
      <w:r>
        <w:rPr>
          <w:rFonts w:ascii="KaiTi" w:eastAsia="KaiTi" w:hAnsi="KaiTi" w:cs="KaiTi"/>
          <w:sz w:val="21"/>
          <w:szCs w:val="21"/>
        </w:rPr>
        <w:t xml:space="preserve"> </w:t>
      </w:r>
      <w:r>
        <w:rPr>
          <w:rFonts w:ascii="KaiTi" w:eastAsia="KaiTi" w:hAnsi="KaiTi" w:cs="KaiTi"/>
          <w:spacing w:val="-3"/>
          <w:sz w:val="21"/>
          <w:szCs w:val="21"/>
        </w:rPr>
        <w:t>5.1%（前值+1.9%、+0.8%</w:t>
      </w:r>
      <w:r>
        <w:rPr>
          <w:rFonts w:ascii="KaiTi" w:eastAsia="KaiTi" w:hAnsi="KaiTi" w:cs="KaiTi"/>
          <w:spacing w:val="-59"/>
          <w:sz w:val="21"/>
          <w:szCs w:val="21"/>
        </w:rPr>
        <w:t>）；</w:t>
      </w:r>
      <w:r>
        <w:rPr>
          <w:rFonts w:ascii="KaiTi" w:eastAsia="KaiTi" w:hAnsi="KaiTi" w:cs="KaiTi"/>
          <w:spacing w:val="-3"/>
          <w:sz w:val="21"/>
          <w:szCs w:val="21"/>
        </w:rPr>
        <w:t>但对韩国</w:t>
      </w:r>
      <w:r>
        <w:rPr>
          <w:rFonts w:ascii="KaiTi" w:eastAsia="KaiTi" w:hAnsi="KaiTi" w:cs="KaiTi"/>
          <w:spacing w:val="-4"/>
          <w:sz w:val="21"/>
          <w:szCs w:val="21"/>
        </w:rPr>
        <w:t>的出口表现稍弱，</w:t>
      </w:r>
      <w:r>
        <w:rPr>
          <w:rFonts w:ascii="KaiTi" w:eastAsia="KaiTi" w:hAnsi="KaiTi" w:cs="KaiTi"/>
          <w:spacing w:val="-34"/>
          <w:sz w:val="21"/>
          <w:szCs w:val="21"/>
        </w:rPr>
        <w:t xml:space="preserve"> </w:t>
      </w:r>
      <w:r>
        <w:rPr>
          <w:rFonts w:ascii="KaiTi" w:eastAsia="KaiTi" w:hAnsi="KaiTi" w:cs="KaiTi"/>
          <w:spacing w:val="-4"/>
          <w:sz w:val="21"/>
          <w:szCs w:val="21"/>
        </w:rPr>
        <w:t>环比下降</w:t>
      </w:r>
      <w:r>
        <w:rPr>
          <w:rFonts w:ascii="KaiTi" w:eastAsia="KaiTi" w:hAnsi="KaiTi" w:cs="KaiTi"/>
          <w:spacing w:val="-48"/>
          <w:sz w:val="21"/>
          <w:szCs w:val="21"/>
        </w:rPr>
        <w:t xml:space="preserve"> </w:t>
      </w:r>
      <w:r>
        <w:rPr>
          <w:rFonts w:ascii="KaiTi" w:eastAsia="KaiTi" w:hAnsi="KaiTi" w:cs="KaiTi"/>
          <w:spacing w:val="-4"/>
          <w:sz w:val="21"/>
          <w:szCs w:val="21"/>
        </w:rPr>
        <w:t>2.9%（前</w:t>
      </w:r>
    </w:p>
    <w:p>
      <w:pPr>
        <w:spacing w:before="1" w:line="224" w:lineRule="auto"/>
        <w:ind w:left="3424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9"/>
          <w:sz w:val="21"/>
          <w:szCs w:val="21"/>
        </w:rPr>
        <w:t>值+5.4%）。</w:t>
      </w:r>
    </w:p>
    <w:p>
      <w:pPr>
        <w:pStyle w:val="BodyText"/>
        <w:spacing w:before="308" w:line="185" w:lineRule="auto"/>
        <w:ind w:left="3019"/>
        <w:rPr>
          <w:rFonts w:ascii="KaiTi" w:eastAsia="KaiTi" w:hAnsi="KaiTi" w:cs="KaiTi"/>
        </w:rPr>
      </w:pPr>
      <w:r>
        <w:rPr>
          <w:position w:val="1"/>
        </w:rPr>
        <w:drawing>
          <wp:inline distT="0" distB="0" distL="0" distR="0">
            <wp:extent cx="77650" cy="78857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7650" cy="7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1"/>
        </w:rPr>
        <w:t xml:space="preserve">    </w:t>
      </w:r>
      <w:r>
        <w:rPr>
          <w:b/>
          <w:bCs/>
          <w:spacing w:val="-4"/>
        </w:rPr>
        <w:t>对发达经济体的出口总体也有进一步回升</w:t>
      </w:r>
      <w:r>
        <w:rPr>
          <w:b/>
          <w:bCs/>
          <w:spacing w:val="18"/>
        </w:rPr>
        <w:t xml:space="preserve"> </w:t>
      </w:r>
      <w:r>
        <w:rPr>
          <w:rFonts w:ascii="KaiTi" w:eastAsia="KaiTi" w:hAnsi="KaiTi" w:cs="KaiTi"/>
          <w:spacing w:val="-4"/>
        </w:rPr>
        <w:t>（环比+4.4%，前值+3.0%）。</w:t>
      </w:r>
    </w:p>
    <w:p>
      <w:pPr>
        <w:spacing w:before="286" w:line="360" w:lineRule="auto"/>
        <w:ind w:left="3460" w:right="26" w:hanging="28"/>
        <w:jc w:val="both"/>
        <w:rPr>
          <w:rFonts w:ascii="KaiTi" w:eastAsia="KaiTi" w:hAnsi="KaiTi" w:cs="KaiTi"/>
          <w:sz w:val="21"/>
          <w:szCs w:val="21"/>
        </w:rPr>
        <w:sectPr>
          <w:headerReference w:type="default" r:id="rId55"/>
          <w:footerReference w:type="default" r:id="rId56"/>
          <w:type w:val="continuous"/>
          <w:pgSz w:w="11907" w:h="16839"/>
          <w:pgMar w:top="943" w:right="820" w:bottom="743" w:left="821" w:header="289" w:footer="220" w:gutter="0"/>
          <w:pgNumType w:start="13"/>
          <w:cols w:num="1" w:space="708" w:equalWidth="0">
            <w:col w:w="10265" w:space="0"/>
          </w:cols>
        </w:sectPr>
      </w:pPr>
      <w:r>
        <w:rPr>
          <w:rFonts w:ascii="KaiTi" w:eastAsia="KaiTi" w:hAnsi="KaiTi" w:cs="KaiTi"/>
          <w:spacing w:val="-6"/>
          <w:sz w:val="21"/>
          <w:szCs w:val="21"/>
        </w:rPr>
        <w:t>其中，</w:t>
      </w:r>
      <w:r>
        <w:rPr>
          <w:rFonts w:ascii="KaiTi" w:eastAsia="KaiTi" w:hAnsi="KaiTi" w:cs="KaiTi"/>
          <w:spacing w:val="-6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sz w:val="21"/>
          <w:szCs w:val="21"/>
        </w:rPr>
        <w:t>对美国的出口明显反弹，环比增长</w:t>
      </w:r>
      <w:r>
        <w:rPr>
          <w:rFonts w:ascii="KaiTi" w:eastAsia="KaiTi" w:hAnsi="KaiTi" w:cs="KaiTi"/>
          <w:spacing w:val="-6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sz w:val="21"/>
          <w:szCs w:val="21"/>
        </w:rPr>
        <w:t>7.2%</w:t>
      </w:r>
      <w:r>
        <w:rPr>
          <w:rFonts w:ascii="KaiTi" w:eastAsia="KaiTi" w:hAnsi="KaiTi" w:cs="KaiTi"/>
          <w:spacing w:val="-21"/>
          <w:sz w:val="21"/>
          <w:szCs w:val="21"/>
        </w:rPr>
        <w:t xml:space="preserve"> </w:t>
      </w:r>
      <w:r>
        <w:rPr>
          <w:rFonts w:ascii="KaiTi" w:eastAsia="KaiTi" w:hAnsi="KaiTi" w:cs="KaiTi"/>
          <w:spacing w:val="-6"/>
          <w:sz w:val="21"/>
          <w:szCs w:val="21"/>
        </w:rPr>
        <w:t>（前值-2.5%</w:t>
      </w:r>
      <w:r>
        <w:rPr>
          <w:rFonts w:ascii="KaiTi" w:eastAsia="KaiTi" w:hAnsi="KaiTi" w:cs="KaiTi"/>
          <w:spacing w:val="-47"/>
          <w:sz w:val="21"/>
          <w:szCs w:val="21"/>
        </w:rPr>
        <w:t>），</w:t>
      </w:r>
      <w:r>
        <w:rPr>
          <w:rFonts w:ascii="KaiTi" w:eastAsia="KaiTi" w:hAnsi="KaiTi" w:cs="KaiTi"/>
          <w:spacing w:val="-6"/>
          <w:sz w:val="21"/>
          <w:szCs w:val="21"/>
        </w:rPr>
        <w:t>对欧盟的出</w:t>
      </w:r>
      <w:r>
        <w:rPr>
          <w:rFonts w:ascii="KaiTi" w:eastAsia="KaiTi" w:hAnsi="KaiTi" w:cs="KaiTi"/>
          <w:sz w:val="21"/>
          <w:szCs w:val="21"/>
        </w:rPr>
        <w:t xml:space="preserve"> </w:t>
      </w:r>
      <w:r>
        <w:rPr>
          <w:rFonts w:ascii="KaiTi" w:eastAsia="KaiTi" w:hAnsi="KaiTi" w:cs="KaiTi"/>
          <w:spacing w:val="-4"/>
          <w:sz w:val="21"/>
          <w:szCs w:val="21"/>
        </w:rPr>
        <w:t>口也进一步增长(环比</w:t>
      </w:r>
      <w:r>
        <w:rPr>
          <w:rFonts w:ascii="KaiTi" w:eastAsia="KaiTi" w:hAnsi="KaiTi" w:cs="KaiTi"/>
          <w:spacing w:val="-35"/>
          <w:sz w:val="21"/>
          <w:szCs w:val="21"/>
        </w:rPr>
        <w:t xml:space="preserve"> </w:t>
      </w:r>
      <w:r>
        <w:rPr>
          <w:rFonts w:ascii="KaiTi" w:eastAsia="KaiTi" w:hAnsi="KaiTi" w:cs="KaiTi"/>
          <w:spacing w:val="-4"/>
          <w:sz w:val="21"/>
          <w:szCs w:val="21"/>
        </w:rPr>
        <w:t>3.1%，前值</w:t>
      </w:r>
      <w:r>
        <w:rPr>
          <w:rFonts w:ascii="KaiTi" w:eastAsia="KaiTi" w:hAnsi="KaiTi" w:cs="KaiTi"/>
          <w:spacing w:val="-50"/>
          <w:sz w:val="21"/>
          <w:szCs w:val="21"/>
        </w:rPr>
        <w:t xml:space="preserve"> </w:t>
      </w:r>
      <w:r>
        <w:rPr>
          <w:rFonts w:ascii="KaiTi" w:eastAsia="KaiTi" w:hAnsi="KaiTi" w:cs="KaiTi"/>
          <w:spacing w:val="-4"/>
          <w:sz w:val="21"/>
          <w:szCs w:val="21"/>
        </w:rPr>
        <w:t>9.5%)；但对日本出口稍有回落，</w:t>
      </w:r>
      <w:r>
        <w:rPr>
          <w:rFonts w:ascii="KaiTi" w:eastAsia="KaiTi" w:hAnsi="KaiTi" w:cs="KaiTi"/>
          <w:spacing w:val="-28"/>
          <w:sz w:val="21"/>
          <w:szCs w:val="21"/>
        </w:rPr>
        <w:t xml:space="preserve"> </w:t>
      </w:r>
      <w:r>
        <w:rPr>
          <w:rFonts w:ascii="KaiTi" w:eastAsia="KaiTi" w:hAnsi="KaiTi" w:cs="KaiTi"/>
          <w:spacing w:val="-4"/>
          <w:sz w:val="21"/>
          <w:szCs w:val="21"/>
        </w:rPr>
        <w:t>环比下</w:t>
      </w:r>
    </w:p>
    <w:p>
      <w:pPr>
        <w:spacing w:before="1" w:line="185" w:lineRule="auto"/>
        <w:ind w:left="3445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-8"/>
          <w:sz w:val="21"/>
          <w:szCs w:val="21"/>
        </w:rPr>
        <w:t>降</w:t>
      </w:r>
      <w:r>
        <w:rPr>
          <w:rFonts w:ascii="KaiTi" w:eastAsia="KaiTi" w:hAnsi="KaiTi" w:cs="KaiTi"/>
          <w:spacing w:val="-33"/>
          <w:sz w:val="21"/>
          <w:szCs w:val="21"/>
        </w:rPr>
        <w:t xml:space="preserve"> </w:t>
      </w:r>
      <w:r>
        <w:rPr>
          <w:rFonts w:ascii="KaiTi" w:eastAsia="KaiTi" w:hAnsi="KaiTi" w:cs="KaiTi"/>
          <w:spacing w:val="-8"/>
          <w:sz w:val="21"/>
          <w:szCs w:val="21"/>
        </w:rPr>
        <w:t>0.5%（前值+2.5%）。</w:t>
      </w:r>
    </w:p>
    <w:p>
      <w:pPr>
        <w:spacing w:line="185" w:lineRule="auto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z w:val="21"/>
          <w:szCs w:val="21"/>
        </w:rPr>
        <w:br/>
      </w:r>
      <w:r>
        <w:rPr>
          <w:rFonts w:ascii="KaiTi" w:eastAsia="KaiTi" w:hAnsi="KaiTi" w:cs="KaiTi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https://d.book118.com/878104036110006043</w:t>
        </w:r>
      </w:hyperlink>
    </w:p>
    <w:p>
      <w:pPr>
        <w:spacing w:line="185" w:lineRule="auto"/>
        <w:rPr>
          <w:rFonts w:ascii="KaiTi" w:eastAsia="KaiTi" w:hAnsi="KaiTi" w:cs="KaiTi"/>
          <w:sz w:val="21"/>
          <w:szCs w:val="21"/>
        </w:rPr>
      </w:pPr>
    </w:p>
    <w:sectPr>
      <w:headerReference w:type="default" r:id="rId58"/>
      <w:footerReference w:type="default" r:id="rId59"/>
      <w:type w:val="nextPage"/>
      <w:pgSz w:w="11907" w:h="16839"/>
      <w:pgMar w:top="943" w:right="820" w:bottom="743" w:left="821" w:header="289" w:footer="220" w:gutter="0"/>
      <w:pgNumType w:start="14"/>
      <w:cols w:num="1" w:space="708" w:equalWidth="0">
        <w:col w:w="10265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50" style="width:513.05pt;height:0.75pt;margin-top:804.72pt;margin-left:41.1pt;mso-position-horizontal-relative:page;mso-position-vertical-relative:page;position:absolute;z-index:251658240" coordorigin="0,0" coordsize="10260,15" o:allowincell="f" path="m,7l10260,7e" filled="f" strokecolor="#c00000" strokeweight="0.75pt"/>
      </w:pict>
    </w:r>
  </w:p>
  <w:p>
    <w:pPr>
      <w:spacing w:before="59" w:line="203" w:lineRule="auto"/>
      <w:ind w:left="5088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position w:val="1"/>
        <w:sz w:val="18"/>
        <w:szCs w:val="18"/>
      </w:rPr>
      <w:t xml:space="preserve">2                                                  </w:t>
    </w:r>
    <w:r>
      <w:rPr>
        <w:rFonts w:ascii="KaiTi" w:eastAsia="KaiTi" w:hAnsi="KaiTi" w:cs="KaiTi"/>
        <w:sz w:val="18"/>
        <w:szCs w:val="18"/>
      </w:rPr>
      <w:t>请务必阅读报告末页的重要声明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51" style="width:513.05pt;height:0.75pt;margin-top:804.72pt;margin-left:41.1pt;mso-position-horizontal-relative:page;mso-position-vertical-relative:page;position:absolute;z-index:251659264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3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53" style="width:513.05pt;height:0.75pt;margin-top:804.72pt;margin-left:41.1pt;mso-position-horizontal-relative:page;mso-position-vertical-relative:page;position:absolute;z-index:251660288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3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55" style="width:513.05pt;height:0.75pt;margin-top:804.72pt;margin-left:41.1pt;mso-position-horizontal-relative:page;mso-position-vertical-relative:page;position:absolute;z-index:251661312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3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57" style="width:513.05pt;height:0.75pt;margin-top:804.72pt;margin-left:41.1pt;mso-position-horizontal-relative:page;mso-position-vertical-relative:page;position:absolute;z-index:251662336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3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59" style="width:513.05pt;height:0.75pt;margin-top:804.72pt;margin-left:41.1pt;mso-position-horizontal-relative:page;mso-position-vertical-relative:page;position:absolute;z-index:251663360" coordorigin="0,0" coordsize="10260,15" o:allowincell="f" path="m,7l10260,7e" filled="f" strokecolor="#c00000" strokeweight="0.75pt"/>
      </w:pict>
    </w:r>
  </w:p>
  <w:p>
    <w:pPr>
      <w:spacing w:before="59" w:line="203" w:lineRule="auto"/>
      <w:ind w:left="5085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1"/>
        <w:position w:val="1"/>
        <w:sz w:val="18"/>
        <w:szCs w:val="18"/>
      </w:rPr>
      <w:t xml:space="preserve">4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                         </w:t>
    </w:r>
    <w:r>
      <w:rPr>
        <w:rFonts w:ascii="KaiTi" w:eastAsia="KaiTi" w:hAnsi="KaiTi" w:cs="KaiTi"/>
        <w:sz w:val="18"/>
        <w:szCs w:val="18"/>
      </w:rPr>
      <w:t>请务必阅读报告末页的重要声明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61" style="width:513.05pt;height:0.75pt;margin-top:804.72pt;margin-left:41.1pt;mso-position-horizontal-relative:page;mso-position-vertical-relative:page;position:absolute;z-index:251664384" coordorigin="0,0" coordsize="10260,15" o:allowincell="f" path="m,7l10260,7e" filled="f" strokecolor="#c00000" strokeweight="0.75pt"/>
      </w:pict>
    </w:r>
  </w:p>
  <w:p>
    <w:pPr>
      <w:spacing w:before="59" w:line="203" w:lineRule="auto"/>
      <w:ind w:left="5085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1"/>
        <w:position w:val="1"/>
        <w:sz w:val="18"/>
        <w:szCs w:val="18"/>
      </w:rPr>
      <w:t xml:space="preserve">4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                         </w:t>
    </w:r>
    <w:r>
      <w:rPr>
        <w:rFonts w:ascii="KaiTi" w:eastAsia="KaiTi" w:hAnsi="KaiTi" w:cs="KaiTi"/>
        <w:sz w:val="18"/>
        <w:szCs w:val="18"/>
      </w:rPr>
      <w:t>请务必阅读报告末页的重要声明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63" style="width:513.05pt;height:0.75pt;margin-top:804.72pt;margin-left:41.1pt;mso-position-horizontal-relative:page;mso-position-vertical-relative:page;position:absolute;z-index:251665408" coordorigin="0,0" coordsize="10260,15" o:allowincell="f" path="m,7l10260,7e" filled="f" strokecolor="#c00000" strokeweight="0.75pt"/>
      </w:pict>
    </w:r>
  </w:p>
  <w:p>
    <w:pPr>
      <w:spacing w:before="59" w:line="203" w:lineRule="auto"/>
      <w:ind w:left="5085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1"/>
        <w:position w:val="1"/>
        <w:sz w:val="18"/>
        <w:szCs w:val="18"/>
      </w:rPr>
      <w:t xml:space="preserve">4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                         </w:t>
    </w:r>
    <w:r>
      <w:rPr>
        <w:rFonts w:ascii="KaiTi" w:eastAsia="KaiTi" w:hAnsi="KaiTi" w:cs="KaiTi"/>
        <w:sz w:val="18"/>
        <w:szCs w:val="18"/>
      </w:rPr>
      <w:t>请务必阅读报告末页的重要声明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65" style="width:513.05pt;height:0.75pt;margin-top:804.72pt;margin-left:41.1pt;mso-position-horizontal-relative:page;mso-position-vertical-relative:page;position:absolute;z-index:251666432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5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67" style="width:513.05pt;height:0.75pt;margin-top:804.72pt;margin-left:41.1pt;mso-position-horizontal-relative:page;mso-position-vertical-relative:page;position:absolute;z-index:251667456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5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69" style="width:513.05pt;height:0.75pt;margin-top:804.72pt;margin-left:41.1pt;mso-position-horizontal-relative:page;mso-position-vertical-relative:page;position:absolute;z-index:251668480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5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shape id="_x0000_s2071" style="width:513.05pt;height:0.75pt;margin-top:804.72pt;margin-left:41.1pt;mso-position-horizontal-relative:page;mso-position-vertical-relative:page;position:absolute;z-index:251669504" coordorigin="0,0" coordsize="10260,15" o:allowincell="f" path="m,7l10260,7e" filled="f" strokecolor="#c00000" strokeweight="0.75pt"/>
      </w:pict>
    </w:r>
  </w:p>
  <w:p>
    <w:pPr>
      <w:spacing w:before="59" w:line="203" w:lineRule="auto"/>
      <w:ind w:left="5090"/>
      <w:rPr>
        <w:rFonts w:ascii="KaiTi" w:eastAsia="KaiTi" w:hAnsi="KaiTi" w:cs="KaiTi"/>
        <w:sz w:val="18"/>
        <w:szCs w:val="18"/>
      </w:rPr>
    </w:pPr>
    <w:r>
      <w:rPr>
        <w:rFonts w:ascii="Arial" w:eastAsia="Arial" w:hAnsi="Arial" w:cs="Arial"/>
        <w:spacing w:val="-2"/>
        <w:position w:val="1"/>
        <w:sz w:val="18"/>
        <w:szCs w:val="18"/>
      </w:rPr>
      <w:t>5</w:t>
    </w:r>
    <w:r>
      <w:rPr>
        <w:rFonts w:ascii="Arial" w:eastAsia="Arial" w:hAnsi="Arial" w:cs="Arial"/>
        <w:spacing w:val="1"/>
        <w:position w:val="1"/>
        <w:sz w:val="18"/>
        <w:szCs w:val="18"/>
      </w:rPr>
      <w:t xml:space="preserve">                                            </w:t>
    </w:r>
    <w:r>
      <w:rPr>
        <w:rFonts w:ascii="Arial" w:eastAsia="Arial" w:hAnsi="Arial" w:cs="Arial"/>
        <w:position w:val="1"/>
        <w:sz w:val="18"/>
        <w:szCs w:val="18"/>
      </w:rPr>
      <w:t xml:space="preserve">      </w:t>
    </w:r>
    <w:r>
      <w:rPr>
        <w:rFonts w:ascii="KaiTi" w:eastAsia="KaiTi" w:hAnsi="KaiTi" w:cs="KaiTi"/>
        <w:spacing w:val="-2"/>
        <w:sz w:val="18"/>
        <w:szCs w:val="18"/>
      </w:rPr>
      <w:t>请务必阅读报告末页的重要声明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49" style="width:513.05pt;height:0.75pt;margin-top:46.43pt;margin-left:41.25pt;mso-position-horizontal-relative:page;mso-position-vertical-relative:page;position:absolute;z-index:251659264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52" style="width:513.05pt;height:0.75pt;margin-top:46.43pt;margin-left:41.25pt;mso-position-horizontal-relative:page;mso-position-vertical-relative:page;position:absolute;z-index:251661312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40377212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77212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54" style="width:513.05pt;height:0.75pt;margin-top:46.43pt;margin-left:41.25pt;mso-position-horizontal-relative:page;mso-position-vertical-relative:page;position:absolute;z-index:251663360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1775571455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571455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56" style="width:513.05pt;height:0.75pt;margin-top:46.43pt;margin-left:41.25pt;mso-position-horizontal-relative:page;mso-position-vertical-relative:page;position:absolute;z-index:251665408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775854604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54604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58" style="width:513.05pt;height:0.75pt;margin-top:46.43pt;margin-left:41.25pt;mso-position-horizontal-relative:page;mso-position-vertical-relative:page;position:absolute;z-index:251667456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1516330877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330877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60" style="width:513.05pt;height:0.75pt;margin-top:46.43pt;margin-left:41.25pt;mso-position-horizontal-relative:page;mso-position-vertical-relative:page;position:absolute;z-index:251669504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300703049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703049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62" style="width:513.05pt;height:0.75pt;margin-top:46.43pt;margin-left:41.25pt;mso-position-horizontal-relative:page;mso-position-vertical-relative:page;position:absolute;z-index:251671552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1797813253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813253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64" style="width:513.05pt;height:0.75pt;margin-top:46.43pt;margin-left:41.25pt;mso-position-horizontal-relative:page;mso-position-vertical-relative:page;position:absolute;z-index:251673600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658954323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954323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66" style="width:513.05pt;height:0.75pt;margin-top:46.43pt;margin-left:41.25pt;mso-position-horizontal-relative:page;mso-position-vertical-relative:page;position:absolute;z-index:251675648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2039700270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700270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68" style="width:513.05pt;height:0.75pt;margin-top:46.43pt;margin-left:41.25pt;mso-position-horizontal-relative:page;mso-position-vertical-relative:page;position:absolute;z-index:251677696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1183165208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165208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70" style="width:513.05pt;height:0.75pt;margin-top:46.43pt;margin-left:41.25pt;mso-position-horizontal-relative:page;mso-position-vertical-relative:page;position:absolute;z-index:251679744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789398285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398285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02" w:line="183" w:lineRule="auto"/>
      <w:ind w:left="8294"/>
    </w:pPr>
    <w:r>
      <w:pict>
        <v:shape id="_x0000_s2072" style="width:513.05pt;height:0.75pt;margin-top:46.43pt;margin-left:41.25pt;mso-position-horizontal-relative:page;mso-position-vertical-relative:page;position:absolute;z-index:251681792" coordorigin="0,0" coordsize="10260,15" o:allowincell="f" path="m,7l10260,7e" filled="f" strokecolor="#c00000" strokeweight="0.75pt"/>
      </w:pict>
    </w: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540384</wp:posOffset>
          </wp:positionH>
          <wp:positionV relativeFrom="page">
            <wp:posOffset>183566</wp:posOffset>
          </wp:positionV>
          <wp:extent cx="1386204" cy="396061"/>
          <wp:effectExtent l="0" t="0" r="0" b="0"/>
          <wp:wrapNone/>
          <wp:docPr id="156458241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58241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386204" cy="3960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6"/>
      </w:rPr>
      <w:t>宏观经济│宏观专题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header" Target="header2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image" Target="media/image15.png" /><Relationship Id="rId24" Type="http://schemas.openxmlformats.org/officeDocument/2006/relationships/header" Target="header4.xml" /><Relationship Id="rId25" Type="http://schemas.openxmlformats.org/officeDocument/2006/relationships/footer" Target="footer4.xml" /><Relationship Id="rId26" Type="http://schemas.openxmlformats.org/officeDocument/2006/relationships/image" Target="media/image16.png" /><Relationship Id="rId27" Type="http://schemas.openxmlformats.org/officeDocument/2006/relationships/image" Target="media/image17.png" /><Relationship Id="rId28" Type="http://schemas.openxmlformats.org/officeDocument/2006/relationships/header" Target="header5.xml" /><Relationship Id="rId29" Type="http://schemas.openxmlformats.org/officeDocument/2006/relationships/footer" Target="footer5.xml" /><Relationship Id="rId3" Type="http://schemas.openxmlformats.org/officeDocument/2006/relationships/fontTable" Target="fontTable.xml" /><Relationship Id="rId30" Type="http://schemas.openxmlformats.org/officeDocument/2006/relationships/image" Target="media/image18.png" /><Relationship Id="rId31" Type="http://schemas.openxmlformats.org/officeDocument/2006/relationships/image" Target="media/image19.png" /><Relationship Id="rId32" Type="http://schemas.openxmlformats.org/officeDocument/2006/relationships/image" Target="media/image20.png" /><Relationship Id="rId33" Type="http://schemas.openxmlformats.org/officeDocument/2006/relationships/header" Target="header6.xml" /><Relationship Id="rId34" Type="http://schemas.openxmlformats.org/officeDocument/2006/relationships/footer" Target="footer6.xml" /><Relationship Id="rId35" Type="http://schemas.openxmlformats.org/officeDocument/2006/relationships/image" Target="media/image21.png" /><Relationship Id="rId36" Type="http://schemas.openxmlformats.org/officeDocument/2006/relationships/image" Target="media/image22.png" /><Relationship Id="rId37" Type="http://schemas.openxmlformats.org/officeDocument/2006/relationships/header" Target="header7.xml" /><Relationship Id="rId38" Type="http://schemas.openxmlformats.org/officeDocument/2006/relationships/footer" Target="footer7.xml" /><Relationship Id="rId39" Type="http://schemas.openxmlformats.org/officeDocument/2006/relationships/image" Target="media/image23.png" /><Relationship Id="rId4" Type="http://schemas.openxmlformats.org/officeDocument/2006/relationships/image" Target="media/image1.png" /><Relationship Id="rId40" Type="http://schemas.openxmlformats.org/officeDocument/2006/relationships/image" Target="media/image24.png" /><Relationship Id="rId41" Type="http://schemas.openxmlformats.org/officeDocument/2006/relationships/image" Target="media/image25.png" /><Relationship Id="rId42" Type="http://schemas.openxmlformats.org/officeDocument/2006/relationships/header" Target="header8.xml" /><Relationship Id="rId43" Type="http://schemas.openxmlformats.org/officeDocument/2006/relationships/footer" Target="footer8.xml" /><Relationship Id="rId44" Type="http://schemas.openxmlformats.org/officeDocument/2006/relationships/header" Target="header9.xml" /><Relationship Id="rId45" Type="http://schemas.openxmlformats.org/officeDocument/2006/relationships/footer" Target="footer9.xml" /><Relationship Id="rId46" Type="http://schemas.openxmlformats.org/officeDocument/2006/relationships/image" Target="media/image26.png" /><Relationship Id="rId47" Type="http://schemas.openxmlformats.org/officeDocument/2006/relationships/image" Target="media/image27.png" /><Relationship Id="rId48" Type="http://schemas.openxmlformats.org/officeDocument/2006/relationships/image" Target="media/image28.png" /><Relationship Id="rId49" Type="http://schemas.openxmlformats.org/officeDocument/2006/relationships/image" Target="media/image29.png" /><Relationship Id="rId5" Type="http://schemas.openxmlformats.org/officeDocument/2006/relationships/image" Target="media/image2.jpeg" /><Relationship Id="rId50" Type="http://schemas.openxmlformats.org/officeDocument/2006/relationships/image" Target="media/image30.png" /><Relationship Id="rId51" Type="http://schemas.openxmlformats.org/officeDocument/2006/relationships/image" Target="media/image31.png" /><Relationship Id="rId52" Type="http://schemas.openxmlformats.org/officeDocument/2006/relationships/image" Target="media/image32.png" /><Relationship Id="rId53" Type="http://schemas.openxmlformats.org/officeDocument/2006/relationships/header" Target="header10.xml" /><Relationship Id="rId54" Type="http://schemas.openxmlformats.org/officeDocument/2006/relationships/footer" Target="footer10.xml" /><Relationship Id="rId55" Type="http://schemas.openxmlformats.org/officeDocument/2006/relationships/header" Target="header11.xml" /><Relationship Id="rId56" Type="http://schemas.openxmlformats.org/officeDocument/2006/relationships/footer" Target="footer11.xml" /><Relationship Id="rId57" Type="http://schemas.openxmlformats.org/officeDocument/2006/relationships/hyperlink" Target="https://d.book118.com/878104036110006043" TargetMode="External" /><Relationship Id="rId58" Type="http://schemas.openxmlformats.org/officeDocument/2006/relationships/header" Target="header12.xml" /><Relationship Id="rId59" Type="http://schemas.openxmlformats.org/officeDocument/2006/relationships/footer" Target="footer12.xml" /><Relationship Id="rId6" Type="http://schemas.openxmlformats.org/officeDocument/2006/relationships/image" Target="media/image3.png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2024-03-08T22:56:26Z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2024-03-08T22:56:34Z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65eb271754cdff001fbe6da3wl</vt:lpwstr>
  </property>
</Properties>
</file>