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7CB02220" w14:textId="77777777">
          <w:pPr>
            <w:pStyle w:val="NoSpacing"/>
          </w:pPr>
        </w:p>
        <w:p w:rsidR="00C018A2" w14:paraId="0C1A25AE" w14:textId="77777777">
          <w:pPr>
            <w:pStyle w:val="NoSpacing"/>
          </w:pPr>
        </w:p>
        <w:p w:rsidR="00C018A2" w14:paraId="62244805" w14:textId="77777777">
          <w:pPr>
            <w:pStyle w:val="NoSpacing"/>
          </w:pPr>
        </w:p>
        <w:p w:rsidR="00C018A2" w14:paraId="24EBD06B" w14:textId="77777777">
          <w:pPr>
            <w:pStyle w:val="NoSpacing"/>
          </w:pPr>
        </w:p>
        <w:p w:rsidR="00C018A2" w14:paraId="05A7623B" w14:textId="77777777">
          <w:pPr>
            <w:pStyle w:val="NoSpacing"/>
          </w:pPr>
        </w:p>
        <w:p w:rsidR="00C018A2" w14:paraId="01701E3F" w14:textId="77777777">
          <w:pPr>
            <w:pStyle w:val="NoSpacing"/>
          </w:pPr>
        </w:p>
        <w:p w:rsidR="00C018A2" w14:paraId="4544FBD4" w14:textId="77777777">
          <w:pPr>
            <w:pStyle w:val="NoSpacing"/>
          </w:pPr>
        </w:p>
        <w:p w:rsidR="00C018A2" w14:paraId="027DBC8D" w14:textId="77777777">
          <w:pPr>
            <w:pStyle w:val="NoSpacing"/>
          </w:pPr>
        </w:p>
        <w:p w:rsidR="00C018A2" w14:paraId="2CB72592" w14:textId="77777777">
          <w:pPr>
            <w:pStyle w:val="NoSpacing"/>
          </w:pPr>
        </w:p>
        <w:p w:rsidR="00C018A2" w14:paraId="09291C4D" w14:textId="77777777">
          <w:pPr>
            <w:pStyle w:val="NoSpacing"/>
          </w:pPr>
        </w:p>
        <w:p w:rsidR="00C018A2" w14:paraId="092F5A51" w14:textId="77777777">
          <w:pPr>
            <w:pStyle w:val="NoSpacing"/>
          </w:pPr>
        </w:p>
        <w:p w:rsidR="00C018A2" w14:paraId="78A88C92" w14:textId="77777777">
          <w:pPr>
            <w:pStyle w:val="NoSpacing"/>
          </w:pPr>
        </w:p>
        <w:p w:rsidR="00C018A2" w14:paraId="7525B140"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5A1271C" w14:textId="77777777">
                            <w:pPr>
                              <w:pStyle w:val="NoSpacing"/>
                              <w:jc w:val="right"/>
                              <w:rPr>
                                <w:color w:val="FFFFFF" w:themeColor="background1"/>
                                <w:sz w:val="28"/>
                                <w:szCs w:val="28"/>
                              </w:rPr>
                            </w:pPr>
                            <w:sdt>
                              <w:sdtPr>
                                <w:rPr>
                                  <w:color w:val="FFFFFF" w:themeColor="background1"/>
                                  <w:sz w:val="32"/>
                                  <w:szCs w:val="32"/>
                                </w:rPr>
                                <w:alias w:val="日期"/>
                                <w:id w:val="1443042886"/>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420DD9F6"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非晶微晶合金</w:t>
          </w:r>
          <w:r w:rsidRPr="007A4CF7">
            <w:rPr>
              <w:rFonts w:ascii="仿宋" w:eastAsia="仿宋" w:hAnsi="仿宋" w:hint="eastAsia"/>
              <w:b/>
              <w:bCs/>
              <w:sz w:val="52"/>
              <w:szCs w:val="52"/>
            </w:rPr>
            <w:t>项目</w:t>
          </w:r>
        </w:p>
        <w:p w:rsidR="00C018A2" w:rsidP="007A4CF7" w14:paraId="286F99FF"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44809C5E">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15060F06" w14:textId="44809C5E">
                          <w:pPr>
                            <w:pStyle w:val="NoSpacing"/>
                            <w:rPr>
                              <w:color w:val="4472C4" w:themeColor="accent1"/>
                              <w:sz w:val="36"/>
                              <w:szCs w:val="36"/>
                            </w:rPr>
                          </w:pPr>
                          <w:sdt>
                            <w:sdtPr>
                              <w:rPr>
                                <w:color w:val="4472C4" w:themeColor="accent1"/>
                                <w:sz w:val="36"/>
                                <w:szCs w:val="36"/>
                              </w:rPr>
                              <w:alias w:val="作者"/>
                              <w:id w:val="305368513"/>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247B2622" w14:textId="77777777">
                          <w:pPr>
                            <w:pStyle w:val="NoSpacing"/>
                            <w:rPr>
                              <w:color w:val="595959" w:themeColor="text1" w:themeTint="A6"/>
                              <w:sz w:val="24"/>
                              <w:szCs w:val="24"/>
                            </w:rPr>
                          </w:pPr>
                          <w:sdt>
                            <w:sdtPr>
                              <w:rPr>
                                <w:caps/>
                                <w:color w:val="595959" w:themeColor="text1" w:themeTint="A6"/>
                                <w:sz w:val="24"/>
                                <w:szCs w:val="24"/>
                              </w:rPr>
                              <w:alias w:val="公司"/>
                              <w:id w:val="1027390117"/>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5C738721"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5713DF5E"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306D05F2"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189E4DC"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非晶微晶合金项目商业计划书摘要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21DC4DC"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4B15E5D7"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非晶微晶合金产品或服务描述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221F529C"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6B0EB90"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非晶微晶合金目标市场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C49B253"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非晶微晶合金市场竞争分析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24B1123"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非晶微晶合金行业趋势与机遇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74DD56A2"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A518CC5"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55924E96"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非晶微晶合金产品定价策略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8DDB558"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非晶微晶合金产品销售渠道与拓展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C82DD8B"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6379D88A"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4750511"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28503C56"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29277CF2"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6AF11140"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D2FAD13"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690F903C"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151D41F0"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323516450"/>
        <w:docPartObj>
          <w:docPartGallery w:val="Table of Contents"/>
          <w:docPartUnique/>
        </w:docPartObj>
      </w:sdtPr>
      <w:sdtEndPr>
        <w:rPr>
          <w:b/>
          <w:bCs/>
        </w:rPr>
      </w:sdtEndPr>
      <w:sdtContent>
        <w:p w:rsidR="007A4CF7" w:rsidRPr="007A4CF7" w:rsidP="007A4CF7" w14:paraId="1E775C7F"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6424327A"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5BB150F4"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C7B8A4A"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A751711"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902CD61"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6B8DD2C9"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3ADC4CF9"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081D249"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F6D0E96"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15D5890E"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BF79B9A"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51941A8"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54F89449"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F5D8E95"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2333D0B5"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15DA7CC8" w14:textId="77777777">
          <w:pPr>
            <w:spacing w:line="500" w:lineRule="exact"/>
          </w:pPr>
          <w:r w:rsidRPr="007A4CF7">
            <w:rPr>
              <w:b/>
              <w:bCs/>
              <w:sz w:val="28"/>
              <w:szCs w:val="28"/>
              <w:lang w:val="zh-CN"/>
            </w:rPr>
            <w:fldChar w:fldCharType="end"/>
          </w:r>
        </w:p>
      </w:sdtContent>
    </w:sdt>
    <w:p w:rsidR="007A4CF7" w:rsidP="00DA4121" w14:paraId="79F1D401"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4D5F11EA" w14:textId="77777777">
      <w:pPr>
        <w:pStyle w:val="Heading2"/>
      </w:pPr>
      <w:r w:rsidRPr="009C12B5">
        <w:t>一、概述</w:t>
      </w:r>
      <w:bookmarkEnd w:id="0"/>
    </w:p>
    <w:p w:rsidR="009C12B5" w:rsidRPr="00DA4121" w:rsidP="00DA4121" w14:paraId="533F190B" w14:textId="77777777">
      <w:pPr>
        <w:pStyle w:val="Heading3"/>
      </w:pPr>
      <w:bookmarkStart w:id="1" w:name="_Toc157814104"/>
      <w:r w:rsidRPr="00DA4121">
        <w:t xml:space="preserve">1.1 </w:t>
      </w:r>
      <w:r w:rsidR="007A4CF7">
        <w:t>非晶微晶合金</w:t>
      </w:r>
      <w:r w:rsidR="007A4CF7">
        <w:rPr>
          <w:rFonts w:hint="eastAsia"/>
        </w:rPr>
        <w:t>项目</w:t>
      </w:r>
      <w:r w:rsidRPr="00DA4121">
        <w:t>商业计划书摘要</w:t>
      </w:r>
      <w:bookmarkEnd w:id="1"/>
    </w:p>
    <w:p w:rsidR="009C12B5" w:rsidRPr="009C12B5" w:rsidP="009C12B5" w14:paraId="36B0AF7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非晶微晶合金产品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非晶微晶合金产品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非晶微晶合金产品</w:t>
      </w:r>
      <w:r w:rsidRPr="009C12B5">
        <w:rPr>
          <w:rFonts w:ascii="仿宋" w:eastAsia="仿宋" w:hAnsi="仿宋"/>
          <w:sz w:val="28"/>
          <w:szCs w:val="28"/>
        </w:rPr>
        <w:t>有望成为市场上的畅销产品，并为公司带来可观的收益和市场份额。</w:t>
      </w:r>
    </w:p>
    <w:p w:rsidR="009C12B5" w:rsidRPr="009C12B5" w:rsidP="009C12B5" w14:paraId="3347198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非晶微晶合金产品</w:t>
      </w:r>
      <w:r w:rsidRPr="009C12B5">
        <w:rPr>
          <w:rFonts w:ascii="仿宋" w:eastAsia="仿宋" w:hAnsi="仿宋"/>
          <w:sz w:val="28"/>
          <w:szCs w:val="28"/>
        </w:rPr>
        <w:t>商业计划书中，我们将详细阐述</w:t>
      </w:r>
      <w:r w:rsidR="00E75C7F">
        <w:rPr>
          <w:rFonts w:ascii="仿宋" w:eastAsia="仿宋" w:hAnsi="仿宋"/>
          <w:sz w:val="28"/>
          <w:szCs w:val="28"/>
        </w:rPr>
        <w:t>非晶微晶合金产品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非晶微晶合金产品</w:t>
      </w:r>
      <w:r w:rsidRPr="009C12B5">
        <w:rPr>
          <w:rFonts w:ascii="仿宋" w:eastAsia="仿宋" w:hAnsi="仿宋"/>
          <w:sz w:val="28"/>
          <w:szCs w:val="28"/>
        </w:rPr>
        <w:t>有一个全面而深入的了解，并认识到其巨大的商业价值和投资潜力。</w:t>
      </w:r>
    </w:p>
    <w:p w:rsidR="009C12B5" w:rsidRPr="009C12B5" w:rsidP="009C12B5" w14:paraId="49AA3E15"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非晶微晶合金产品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231C8BC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非晶微晶合金产品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非晶微晶合金产品</w:t>
      </w:r>
      <w:r w:rsidRPr="009C12B5">
        <w:rPr>
          <w:rFonts w:ascii="仿宋" w:eastAsia="仿宋" w:hAnsi="仿宋"/>
          <w:sz w:val="28"/>
          <w:szCs w:val="28"/>
        </w:rPr>
        <w:t>的美好未来。</w:t>
      </w:r>
    </w:p>
    <w:p w:rsidR="009C12B5" w:rsidRPr="009C12B5" w:rsidP="007A4CF7" w14:paraId="192A9368" w14:textId="77777777">
      <w:pPr>
        <w:pStyle w:val="Heading3"/>
      </w:pPr>
      <w:bookmarkStart w:id="2" w:name="_Toc157814105"/>
      <w:r w:rsidRPr="009C12B5">
        <w:t xml:space="preserve">1.2 </w:t>
      </w:r>
      <w:r w:rsidRPr="009C12B5">
        <w:t>公司简介</w:t>
      </w:r>
      <w:bookmarkEnd w:id="2"/>
    </w:p>
    <w:p w:rsidR="009C12B5" w:rsidRPr="009C12B5" w:rsidP="009C12B5" w14:paraId="1165AEE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04F3E7F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1C1738AA"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41E5993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20349DF1" w14:textId="77777777">
      <w:pPr>
        <w:pStyle w:val="Heading3"/>
      </w:pPr>
      <w:bookmarkStart w:id="3" w:name="_Toc157814106"/>
      <w:r w:rsidRPr="007A4CF7">
        <w:t xml:space="preserve">1.3 </w:t>
      </w:r>
      <w:r w:rsidR="007A4CF7">
        <w:t>非晶微晶合金</w:t>
      </w:r>
      <w:r w:rsidRPr="007A4CF7">
        <w:t>产品或服务描述</w:t>
      </w:r>
      <w:bookmarkEnd w:id="3"/>
    </w:p>
    <w:p w:rsidR="007A203D" w14:paraId="1D9BE5CB" w14:textId="5F04900E">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非晶微晶合金产品是一种具有优异物理性能和广泛应用前景的材料，其独特的结构赋予了它优异的机械性能、耐腐蚀性能以及磁性特性。以下是关于非晶微晶合金产品功能的一些关键点：</w:t>
      </w:r>
      <w:r>
        <w:rPr>
          <w:rFonts w:ascii="仿宋" w:eastAsia="仿宋" w:hAnsi="仿宋"/>
          <w:sz w:val="28"/>
        </w:rPr>
        <w:br/>
        <w:t xml:space="preserve">    1.</w:t>
      </w:r>
      <w:r>
        <w:rPr>
          <w:rFonts w:ascii="仿宋" w:eastAsia="仿宋" w:hAnsi="仿宋"/>
          <w:sz w:val="28"/>
        </w:rPr>
        <w:t>高强度与良好的塑性：非晶微晶合金产品通常具有较高的强度，同时保持良好的塑性，这使得它们在需要高强度结构件的</w:t>
      </w:r>
      <w:r>
        <w:rPr>
          <w:rFonts w:ascii="仿宋" w:eastAsia="仿宋" w:hAnsi="仿宋"/>
          <w:sz w:val="28"/>
        </w:rPr>
        <w:t xml:space="preserve"> applications</w:t>
      </w:r>
      <w:r>
        <w:rPr>
          <w:rFonts w:ascii="仿宋" w:eastAsia="仿宋" w:hAnsi="仿宋"/>
          <w:sz w:val="28"/>
        </w:rPr>
        <w:t>中非常有用。</w:t>
      </w:r>
      <w:r>
        <w:rPr>
          <w:rFonts w:ascii="仿宋" w:eastAsia="仿宋" w:hAnsi="仿宋"/>
          <w:sz w:val="28"/>
        </w:rPr>
        <w:br/>
        <w:t xml:space="preserve">    2.</w:t>
      </w:r>
      <w:r>
        <w:rPr>
          <w:rFonts w:ascii="仿宋" w:eastAsia="仿宋" w:hAnsi="仿宋"/>
          <w:sz w:val="28"/>
        </w:rPr>
        <w:t>耐腐蚀性：这些合金对多种腐蚀介质表现出优异的抵抗能力，包括酸、碱和盐溶液，适用于化工、海洋工程等恶劣环境。</w:t>
      </w:r>
      <w:r>
        <w:rPr>
          <w:rFonts w:ascii="仿宋" w:eastAsia="仿宋" w:hAnsi="仿宋"/>
          <w:sz w:val="28"/>
        </w:rPr>
        <w:br/>
        <w:t xml:space="preserve">    3.</w:t>
      </w:r>
      <w:r>
        <w:rPr>
          <w:rFonts w:ascii="仿宋" w:eastAsia="仿宋" w:hAnsi="仿宋"/>
          <w:sz w:val="28"/>
        </w:rPr>
        <w:t>优异的磁性能：某些非晶微晶合金具有特殊的磁性，适用于制造高效率的磁性材料和元器件，如变压器、电机和传感器。</w:t>
      </w:r>
      <w:r>
        <w:rPr>
          <w:rFonts w:ascii="仿宋" w:eastAsia="仿宋" w:hAnsi="仿宋"/>
          <w:sz w:val="28"/>
        </w:rPr>
        <w:br/>
        <w:t xml:space="preserve">    4.</w:t>
      </w:r>
      <w:r>
        <w:rPr>
          <w:rFonts w:ascii="仿宋" w:eastAsia="仿宋" w:hAnsi="仿宋"/>
          <w:sz w:val="28"/>
        </w:rPr>
        <w:t>良好的导热性和导电性：虽然非晶态合金的导电性通常低于晶态合金，但在某些应用中，其导热性和导电性足以满足需求。</w:t>
      </w:r>
      <w:r>
        <w:rPr>
          <w:rFonts w:ascii="仿宋" w:eastAsia="仿宋" w:hAnsi="仿宋"/>
          <w:sz w:val="28"/>
        </w:rPr>
        <w:br/>
        <w:t xml:space="preserve">    5.</w:t>
      </w:r>
      <w:r>
        <w:rPr>
          <w:rFonts w:ascii="仿宋" w:eastAsia="仿宋" w:hAnsi="仿宋"/>
          <w:sz w:val="28"/>
        </w:rPr>
        <w:t>尺寸稳定性：非晶微晶合金产品具有良好的尺寸稳定性，不易受温度变化的影响，适合在需要精确尺寸保持的场合使用。</w:t>
      </w:r>
    </w:p>
    <w:p w:rsidR="007A203D" w14:textId="5F04900E">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优异的耐磨性：非晶微晶合金的表面硬度高，耐磨性好，适用于制造耐磨零件和工具。</w:t>
      </w:r>
      <w:r>
        <w:rPr>
          <w:rFonts w:ascii="仿宋" w:eastAsia="仿宋" w:hAnsi="仿宋"/>
          <w:sz w:val="28"/>
        </w:rPr>
        <w:br/>
        <w:t xml:space="preserve">    7.</w:t>
      </w:r>
      <w:r>
        <w:rPr>
          <w:rFonts w:ascii="仿宋" w:eastAsia="仿宋" w:hAnsi="仿宋"/>
          <w:sz w:val="28"/>
        </w:rPr>
        <w:t>良好的加工性能：通过热处理和其他加工技术，可以进一步优化非晶微晶合金的性能，以满足不同应用领域的需求。</w:t>
      </w:r>
      <w:r>
        <w:rPr>
          <w:rFonts w:ascii="仿宋" w:eastAsia="仿宋" w:hAnsi="仿宋"/>
          <w:sz w:val="28"/>
        </w:rPr>
        <w:br/>
        <w:t xml:space="preserve">    8.</w:t>
      </w:r>
      <w:r>
        <w:rPr>
          <w:rFonts w:ascii="仿宋" w:eastAsia="仿宋" w:hAnsi="仿宋"/>
          <w:sz w:val="28"/>
        </w:rPr>
        <w:t>环保友好：非晶微晶合金的生产过程通常比传统合金生产过程更加环保，产生的废料更少，符合可持续发展的要求。</w:t>
      </w:r>
      <w:r>
        <w:rPr>
          <w:rFonts w:ascii="仿宋" w:eastAsia="仿宋" w:hAnsi="仿宋"/>
          <w:sz w:val="28"/>
        </w:rPr>
        <w:br/>
      </w:r>
      <w:r>
        <w:rPr>
          <w:rFonts w:ascii="仿宋" w:eastAsia="仿宋" w:hAnsi="仿宋"/>
          <w:sz w:val="28"/>
        </w:rPr>
        <w:t>综上所述，非晶微晶合金产品以其独特的性能优势，广泛应用于电子、机械、能源、交通等多个领域，为现代工业提供了高性能、多功能的材料解决方案。</w:t>
      </w:r>
    </w:p>
    <w:p w:rsidR="009C12B5" w:rsidRPr="009C12B5" w:rsidP="009C12B5" w14:paraId="00CB5BE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非晶微晶合金产品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非晶微晶合金产品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非晶微晶合金产品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非晶微晶合金产品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1491D835"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非晶微晶合金产品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3A202593" w14:textId="77777777">
      <w:pPr>
        <w:pStyle w:val="Heading2"/>
      </w:pPr>
      <w:bookmarkStart w:id="4" w:name="_Toc157814107"/>
      <w:r w:rsidRPr="009C12B5">
        <w:t>二、市场分析</w:t>
      </w:r>
      <w:bookmarkEnd w:id="4"/>
    </w:p>
    <w:p w:rsidR="009C12B5" w:rsidP="007A4CF7" w14:paraId="7E4E3FD8" w14:textId="77777777">
      <w:pPr>
        <w:pStyle w:val="Heading3"/>
      </w:pPr>
      <w:bookmarkStart w:id="5" w:name="_Toc157814108"/>
      <w:r w:rsidRPr="009C12B5">
        <w:t xml:space="preserve">2.1 </w:t>
      </w:r>
      <w:r w:rsidR="007A4CF7">
        <w:t>非晶微晶合金</w:t>
      </w:r>
      <w:r w:rsidRPr="009C12B5">
        <w:t>目标市场</w:t>
      </w:r>
      <w:bookmarkEnd w:id="5"/>
    </w:p>
    <w:p w:rsidR="007A203D" w14:paraId="1AF435E9" w14:textId="130A31C5">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非晶微晶合金产品项目商业发展计划书中的目标市场分析应重点聚焦于市场潜力和增长机会。通过深入的市场调研和分析，确定目标市场的特征、需求趋势以及竞争对手的情况。以下是一些关键的分析要点：</w:t>
      </w:r>
      <w:r>
        <w:rPr>
          <w:rFonts w:ascii="仿宋" w:eastAsia="仿宋" w:hAnsi="仿宋"/>
          <w:sz w:val="28"/>
        </w:rPr>
        <w:br/>
        <w:t xml:space="preserve">    1.</w:t>
      </w:r>
      <w:r>
        <w:rPr>
          <w:rFonts w:ascii="仿宋" w:eastAsia="仿宋" w:hAnsi="仿宋"/>
          <w:sz w:val="28"/>
        </w:rPr>
        <w:t>市场趋势分析：研究市场整体发展趋势，包括技术进步、政策导向、消费者偏好变化等，以确定非晶微晶合金产品在市场中的定位。</w:t>
      </w:r>
      <w:r>
        <w:rPr>
          <w:rFonts w:ascii="仿宋" w:eastAsia="仿宋" w:hAnsi="仿宋"/>
          <w:sz w:val="28"/>
        </w:rPr>
        <w:br/>
        <w:t xml:space="preserve">    2.</w:t>
      </w:r>
      <w:r>
        <w:rPr>
          <w:rFonts w:ascii="仿宋" w:eastAsia="仿宋" w:hAnsi="仿宋"/>
          <w:sz w:val="28"/>
        </w:rPr>
        <w:t>目标客户群体：明确产品的主要目标客户群，包括终端用户和潜在的合作伙伴，分析他们的需求、购买行为和市场影响力。</w:t>
      </w:r>
      <w:r>
        <w:rPr>
          <w:rFonts w:ascii="仿宋" w:eastAsia="仿宋" w:hAnsi="仿宋"/>
          <w:sz w:val="28"/>
        </w:rPr>
        <w:br/>
        <w:t xml:space="preserve">    3.</w:t>
      </w:r>
      <w:r>
        <w:rPr>
          <w:rFonts w:ascii="仿宋" w:eastAsia="仿宋" w:hAnsi="仿宋"/>
          <w:sz w:val="28"/>
        </w:rPr>
        <w:t>竞争对手分析：评估现有和潜在竞争对手的优劣势，了解市场上的现有产品和解决方案，以及它们的市场份额和品牌影响力。</w:t>
      </w:r>
      <w:r>
        <w:rPr>
          <w:rFonts w:ascii="仿宋" w:eastAsia="仿宋" w:hAnsi="仿宋"/>
          <w:sz w:val="28"/>
        </w:rPr>
        <w:br/>
        <w:t xml:space="preserve">    4.</w:t>
      </w:r>
      <w:r>
        <w:rPr>
          <w:rFonts w:ascii="仿宋" w:eastAsia="仿宋" w:hAnsi="仿宋"/>
          <w:sz w:val="28"/>
        </w:rPr>
        <w:t>市场细分：根据不同的市场因素（如应用领域、客户需求、产品特性等）对市场进行细分，确定最适合非晶微晶合金产品进入的细分市场。</w:t>
      </w:r>
      <w:r>
        <w:rPr>
          <w:rFonts w:ascii="仿宋" w:eastAsia="仿宋" w:hAnsi="仿宋"/>
          <w:sz w:val="28"/>
        </w:rPr>
        <w:br/>
        <w:t xml:space="preserve">    5.</w:t>
      </w:r>
      <w:r>
        <w:rPr>
          <w:rFonts w:ascii="仿宋" w:eastAsia="仿宋" w:hAnsi="仿宋"/>
          <w:sz w:val="28"/>
        </w:rPr>
        <w:t>市场准入策略：制定市场准入策略，包括定价、渠道、促销等，以确保产品能够有效满足目标市场的需求，并建立竞争优势。</w:t>
      </w:r>
      <w:r>
        <w:rPr>
          <w:rFonts w:ascii="仿宋" w:eastAsia="仿宋" w:hAnsi="仿宋"/>
          <w:sz w:val="28"/>
        </w:rPr>
        <w:br/>
        <w:t xml:space="preserve">    6.</w:t>
      </w:r>
      <w:r>
        <w:rPr>
          <w:rFonts w:ascii="仿宋" w:eastAsia="仿宋" w:hAnsi="仿宋"/>
          <w:sz w:val="28"/>
        </w:rPr>
        <w:t>销售预测：基于市场分析，对非晶微晶合金产品的销售进行预测，包括短期和长期的销售目标，以及实现这些目标所需的营销和销售策略。</w:t>
      </w:r>
      <w:r>
        <w:rPr>
          <w:rFonts w:ascii="仿宋" w:eastAsia="仿宋" w:hAnsi="仿宋"/>
          <w:sz w:val="28"/>
        </w:rPr>
        <w:br/>
        <w:t xml:space="preserve">    7.</w:t>
      </w:r>
    </w:p>
    <w:p w:rsidR="007A203D" w14:textId="130A31C5">
      <w:pPr>
        <w:ind w:firstLine="560"/>
      </w:pPr>
      <w:r>
        <w:rPr>
          <w:rFonts w:ascii="仿宋" w:eastAsia="仿宋" w:hAnsi="仿宋"/>
          <w:sz w:val="28"/>
        </w:rPr>
        <w:t>市场风险评估：识别并评估市场可能存在的风险，如技术变革、市场饱和、替代产品的出现等，并制定相应的风险管理策略。</w:t>
      </w:r>
      <w:r>
        <w:rPr>
          <w:rFonts w:ascii="仿宋" w:eastAsia="仿宋" w:hAnsi="仿宋"/>
          <w:sz w:val="28"/>
        </w:rPr>
        <w:br/>
        <w:t xml:space="preserve">    8.</w:t>
      </w:r>
      <w:r>
        <w:rPr>
          <w:rFonts w:ascii="仿宋" w:eastAsia="仿宋" w:hAnsi="仿宋"/>
          <w:sz w:val="28"/>
        </w:rPr>
        <w:t>市场拓展计划：制定市场拓展计划，包括区域扩张、产品线延伸、客户关系管理等，以实现市场份额的逐步扩大和业务的持续增长。</w:t>
      </w:r>
      <w:r>
        <w:rPr>
          <w:rFonts w:ascii="仿宋" w:eastAsia="仿宋" w:hAnsi="仿宋"/>
          <w:sz w:val="28"/>
        </w:rPr>
        <w:br/>
      </w:r>
      <w:r>
        <w:rPr>
          <w:rFonts w:ascii="仿宋" w:eastAsia="仿宋" w:hAnsi="仿宋"/>
          <w:sz w:val="28"/>
        </w:rPr>
        <w:t>通过上述分析，非晶微晶合金产品项目能够更好地把握市场机遇，制定有效的商业策略，为实现项目的长期成功奠定坚实的基础。</w:t>
      </w:r>
    </w:p>
    <w:p w:rsidR="009C12B5" w:rsidRPr="009C12B5" w:rsidP="009C12B5" w14:paraId="25C4E99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0E42E7D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非晶微晶合金产品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非晶微晶合金产品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非晶微晶合金产品</w:t>
      </w:r>
      <w:r w:rsidRPr="009C12B5">
        <w:rPr>
          <w:rFonts w:ascii="仿宋" w:eastAsia="仿宋" w:hAnsi="仿宋"/>
          <w:sz w:val="28"/>
          <w:szCs w:val="28"/>
        </w:rPr>
        <w:t>始终与市场需求保持同步。</w:t>
      </w:r>
    </w:p>
    <w:p w:rsidR="009C12B5" w:rsidP="007A4CF7" w14:paraId="37C487E8" w14:textId="77777777">
      <w:pPr>
        <w:pStyle w:val="Heading3"/>
      </w:pPr>
      <w:bookmarkStart w:id="6" w:name="_Toc157814109"/>
      <w:r w:rsidRPr="009C12B5">
        <w:t xml:space="preserve">2.2 </w:t>
      </w:r>
      <w:r w:rsidR="007A4CF7">
        <w:t>非晶微晶合金</w:t>
      </w:r>
      <w:r w:rsidR="007A4CF7">
        <w:rPr>
          <w:rFonts w:hint="eastAsia"/>
        </w:rPr>
        <w:t>市场</w:t>
      </w:r>
      <w:r w:rsidRPr="009C12B5">
        <w:t>竞争分析</w:t>
      </w:r>
      <w:bookmarkEnd w:id="6"/>
    </w:p>
    <w:p w:rsidR="007A203D" w14:paraId="099EAB99" w14:textId="64369791">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非晶微晶合金产品市场竞争分析</w:t>
      </w:r>
      <w:r>
        <w:rPr>
          <w:rFonts w:ascii="仿宋" w:eastAsia="仿宋" w:hAnsi="仿宋"/>
          <w:sz w:val="28"/>
        </w:rPr>
        <w:br/>
      </w:r>
    </w:p>
    <w:p w:rsidR="007A203D" w14:textId="64369791">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随着科技的不断进步和市场需求的多样化，非晶微晶合金作为一种新型材料，正逐渐在各个领域展现出其独特的应用价值。在商业发展计划书中，对非晶微晶合金产品市场的竞争分析是极为重要的环节。以下将从市场概述、竞争格局、优势分析、挑战与机遇四个方面进行简述。</w:t>
      </w:r>
      <w:r>
        <w:rPr>
          <w:rFonts w:ascii="仿宋" w:eastAsia="仿宋" w:hAnsi="仿宋"/>
          <w:sz w:val="28"/>
        </w:rPr>
        <w:br/>
        <w:t xml:space="preserve">    1.</w:t>
      </w:r>
      <w:r>
        <w:rPr>
          <w:rFonts w:ascii="仿宋" w:eastAsia="仿宋" w:hAnsi="仿宋"/>
          <w:sz w:val="28"/>
        </w:rPr>
        <w:t>市场概述</w:t>
      </w:r>
      <w:r>
        <w:rPr>
          <w:rFonts w:ascii="仿宋" w:eastAsia="仿宋" w:hAnsi="仿宋"/>
          <w:sz w:val="28"/>
        </w:rPr>
        <w:br/>
      </w:r>
      <w:r>
        <w:rPr>
          <w:rFonts w:ascii="仿宋" w:eastAsia="仿宋" w:hAnsi="仿宋"/>
          <w:sz w:val="28"/>
        </w:rPr>
        <w:t>非晶微晶合金产品市场正处于快速发展阶段，其应用领域涵盖电子、航空航天、医疗、能源等多个行业。市场需求的不断增长，为非晶微晶合金产品的研发和推广提供了广阔的空间。</w:t>
      </w:r>
      <w:r>
        <w:rPr>
          <w:rFonts w:ascii="仿宋" w:eastAsia="仿宋" w:hAnsi="仿宋"/>
          <w:sz w:val="28"/>
        </w:rPr>
        <w:br/>
        <w:t xml:space="preserve">    2.</w:t>
      </w:r>
      <w:r>
        <w:rPr>
          <w:rFonts w:ascii="仿宋" w:eastAsia="仿宋" w:hAnsi="仿宋"/>
          <w:sz w:val="28"/>
        </w:rPr>
        <w:t>竞争格局</w:t>
      </w:r>
      <w:r>
        <w:rPr>
          <w:rFonts w:ascii="仿宋" w:eastAsia="仿宋" w:hAnsi="仿宋"/>
          <w:sz w:val="28"/>
        </w:rPr>
        <w:br/>
      </w:r>
      <w:r>
        <w:rPr>
          <w:rFonts w:ascii="仿宋" w:eastAsia="仿宋" w:hAnsi="仿宋"/>
          <w:sz w:val="28"/>
        </w:rPr>
        <w:t>目前，非晶微晶合金产品市场上的竞争者主要包括技术领先的企业和一些新兴的初创公司。这些企业通过技术创新和市场营销策略，不断推出性能更优、应用更广泛的产品，以抢占市场份额。</w:t>
      </w:r>
      <w:r>
        <w:rPr>
          <w:rFonts w:ascii="仿宋" w:eastAsia="仿宋" w:hAnsi="仿宋"/>
          <w:sz w:val="28"/>
        </w:rPr>
        <w:br/>
        <w:t xml:space="preserve">    3.</w:t>
      </w:r>
      <w:r>
        <w:rPr>
          <w:rFonts w:ascii="仿宋" w:eastAsia="仿宋" w:hAnsi="仿宋"/>
          <w:sz w:val="28"/>
        </w:rPr>
        <w:t>优势分析</w:t>
      </w:r>
      <w:r>
        <w:rPr>
          <w:rFonts w:ascii="仿宋" w:eastAsia="仿宋" w:hAnsi="仿宋"/>
          <w:sz w:val="28"/>
        </w:rPr>
        <w:br/>
      </w:r>
      <w:r>
        <w:rPr>
          <w:rFonts w:ascii="仿宋" w:eastAsia="仿宋" w:hAnsi="仿宋"/>
          <w:sz w:val="28"/>
        </w:rPr>
        <w:t>本项目在非晶微晶合金产品市场竞争中具有以下优势：首先，独特的技术研发能力，能够提供性能卓越的产品；其次，深入的市场调研，确保产品能够精准满足客户需求；再者，高效的供应链管理，保证了产品的稳定性和成本优势。</w:t>
      </w:r>
      <w:r>
        <w:rPr>
          <w:rFonts w:ascii="仿宋" w:eastAsia="仿宋" w:hAnsi="仿宋"/>
          <w:sz w:val="28"/>
        </w:rPr>
        <w:br/>
        <w:t xml:space="preserve">    4.</w:t>
      </w:r>
      <w:r>
        <w:rPr>
          <w:rFonts w:ascii="仿宋" w:eastAsia="仿宋" w:hAnsi="仿宋"/>
          <w:sz w:val="28"/>
        </w:rPr>
        <w:t>挑战与机遇</w:t>
      </w:r>
      <w:r>
        <w:rPr>
          <w:rFonts w:ascii="仿宋" w:eastAsia="仿宋" w:hAnsi="仿宋"/>
          <w:sz w:val="28"/>
        </w:rPr>
        <w:br/>
      </w:r>
      <w:r>
        <w:rPr>
          <w:rFonts w:ascii="仿宋" w:eastAsia="仿宋" w:hAnsi="仿宋"/>
          <w:sz w:val="28"/>
        </w:rPr>
        <w:t>尽管非晶微晶合金产品市场潜力巨大，但同时也面临着诸多挑战，如技术壁垒、成本控制、市场推广等。然而，随着环保意识的增强和科技的进步，非晶微晶合金产品在节能减排和高端制造领域的应用将带来巨大的机遇。</w:t>
      </w:r>
      <w:r>
        <w:rPr>
          <w:rFonts w:ascii="仿宋" w:eastAsia="仿宋" w:hAnsi="仿宋"/>
          <w:sz w:val="28"/>
        </w:rPr>
        <w:br/>
      </w:r>
    </w:p>
    <w:p w:rsidR="007A203D" w14:textId="64369791">
      <w:pPr>
        <w:ind w:firstLine="560"/>
      </w:pPr>
      <w:r>
        <w:rPr>
          <w:rFonts w:ascii="仿宋" w:eastAsia="仿宋" w:hAnsi="仿宋"/>
          <w:sz w:val="28"/>
        </w:rPr>
        <w:t>综上所述，非晶微晶合金产品市场既有机遇也有挑战。通过持续的技术创新、市场开拓和精细化的运营管理，本项目将能够在激烈的市场竞争中脱颖而出，实现商业价值的最大化。</w:t>
      </w:r>
    </w:p>
    <w:p w:rsidR="009C12B5" w:rsidRPr="009C12B5" w:rsidP="009C12B5" w14:paraId="2729B7A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非晶微晶合金产品</w:t>
      </w:r>
      <w:r w:rsidRPr="009C12B5">
        <w:rPr>
          <w:rFonts w:ascii="仿宋" w:eastAsia="仿宋" w:hAnsi="仿宋"/>
          <w:sz w:val="28"/>
          <w:szCs w:val="28"/>
        </w:rPr>
        <w:t>的竞争优势和差异化策略。我们认为，</w:t>
      </w:r>
      <w:r w:rsidR="00E75C7F">
        <w:rPr>
          <w:rFonts w:ascii="仿宋" w:eastAsia="仿宋" w:hAnsi="仿宋"/>
          <w:sz w:val="28"/>
          <w:szCs w:val="28"/>
        </w:rPr>
        <w:t>非晶微晶合金产品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0677DF9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非晶微晶合金产品</w:t>
      </w:r>
      <w:r w:rsidRPr="009C12B5">
        <w:rPr>
          <w:rFonts w:ascii="仿宋" w:eastAsia="仿宋" w:hAnsi="仿宋"/>
          <w:sz w:val="28"/>
          <w:szCs w:val="28"/>
        </w:rPr>
        <w:t>将在竞争激烈的市场中脱颖而出。</w:t>
      </w:r>
    </w:p>
    <w:p w:rsidR="009C12B5" w:rsidP="007A4CF7" w14:paraId="3FCA17E6" w14:textId="77777777">
      <w:pPr>
        <w:pStyle w:val="Heading3"/>
      </w:pPr>
      <w:bookmarkStart w:id="7" w:name="_Toc157814110"/>
      <w:r w:rsidRPr="009C12B5">
        <w:t xml:space="preserve">2.3 </w:t>
      </w:r>
      <w:r w:rsidR="007A4CF7">
        <w:t>非晶微晶合金</w:t>
      </w:r>
      <w:r w:rsidRPr="009C12B5">
        <w:t>行业趋势与机遇</w:t>
      </w:r>
      <w:bookmarkEnd w:id="7"/>
    </w:p>
    <w:p w:rsidR="007A203D" w14:paraId="47039D2F" w14:textId="466A6145">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非晶微晶合金产品行业正经历着一场革命，其独特的性能和广泛的应用领域正吸引着越来越多的关注和投资。以下是行业趋势与机遇的分析：</w:t>
      </w:r>
      <w:r>
        <w:rPr>
          <w:rFonts w:ascii="仿宋" w:eastAsia="仿宋" w:hAnsi="仿宋"/>
          <w:sz w:val="28"/>
        </w:rPr>
        <w:br/>
        <w:t xml:space="preserve">    1.</w:t>
      </w:r>
      <w:r>
        <w:rPr>
          <w:rFonts w:ascii="仿宋" w:eastAsia="仿宋" w:hAnsi="仿宋"/>
          <w:sz w:val="28"/>
        </w:rPr>
        <w:t>节能环保：非晶微晶合金在能源效率方面的卓越表现使其成为传统金属材料的理想替代品。随着全球对节能减排需求的增加，非晶微晶合金产品在电力、电子和建筑行业的应用将日益广泛。</w:t>
      </w:r>
    </w:p>
    <w:p w:rsidR="007A203D" w14:textId="466A6145">
      <w:pPr>
        <w:ind w:firstLine="560"/>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高强度与轻量化：非晶微晶合金的强度高、重量轻，这使得它们在汽车、航空航天和医疗器械等行业中备受欢迎，有助于减少产品重量，提高性能。</w:t>
      </w:r>
      <w:r>
        <w:rPr>
          <w:rFonts w:ascii="仿宋" w:eastAsia="仿宋" w:hAnsi="仿宋"/>
          <w:sz w:val="28"/>
        </w:rPr>
        <w:br/>
        <w:t xml:space="preserve">    3.</w:t>
      </w:r>
      <w:r>
        <w:rPr>
          <w:rFonts w:ascii="仿宋" w:eastAsia="仿宋" w:hAnsi="仿宋"/>
          <w:sz w:val="28"/>
        </w:rPr>
        <w:t>优异的磁性性能：非晶微晶合金在磁性材料领域展现出巨大潜力，特别是在高效率、低损耗的电力电子变压器中，其应用将推动能源行业的升级转型。</w:t>
      </w:r>
      <w:r>
        <w:rPr>
          <w:rFonts w:ascii="仿宋" w:eastAsia="仿宋" w:hAnsi="仿宋"/>
          <w:sz w:val="28"/>
        </w:rPr>
        <w:br/>
        <w:t xml:space="preserve">    4.</w:t>
      </w:r>
      <w:r>
        <w:rPr>
          <w:rFonts w:ascii="仿宋" w:eastAsia="仿宋" w:hAnsi="仿宋"/>
          <w:sz w:val="28"/>
        </w:rPr>
        <w:t>定制化与功能集成：随着技术的发展，非晶微晶合金产品的定制化能力和功能集成度不断提高，能够满足不同行业和应用的特定需求，增强市场竞争力。</w:t>
      </w:r>
      <w:r>
        <w:rPr>
          <w:rFonts w:ascii="仿宋" w:eastAsia="仿宋" w:hAnsi="仿宋"/>
          <w:sz w:val="28"/>
        </w:rPr>
        <w:br/>
        <w:t xml:space="preserve">    5.</w:t>
      </w:r>
      <w:r>
        <w:rPr>
          <w:rFonts w:ascii="仿宋" w:eastAsia="仿宋" w:hAnsi="仿宋"/>
          <w:sz w:val="28"/>
        </w:rPr>
        <w:t>技术创新：持续的研发投入和创新活动推动着非晶微晶合金产品性能的不断提升，新的应用领域不断被开拓，为行业带来了更多的增长机会。</w:t>
      </w:r>
      <w:r>
        <w:rPr>
          <w:rFonts w:ascii="仿宋" w:eastAsia="仿宋" w:hAnsi="仿宋"/>
          <w:sz w:val="28"/>
        </w:rPr>
        <w:br/>
        <w:t xml:space="preserve">    6.</w:t>
      </w:r>
      <w:r>
        <w:rPr>
          <w:rFonts w:ascii="仿宋" w:eastAsia="仿宋" w:hAnsi="仿宋"/>
          <w:sz w:val="28"/>
        </w:rPr>
        <w:t>政策支持：许多国家和地区都出台了支持节能环保和创新材料发展的政策，为非晶微晶合金产品的推广应用提供了有利的政策环境。</w:t>
      </w:r>
      <w:r>
        <w:rPr>
          <w:rFonts w:ascii="仿宋" w:eastAsia="仿宋" w:hAnsi="仿宋"/>
          <w:sz w:val="28"/>
        </w:rPr>
        <w:br/>
        <w:t xml:space="preserve">    7.</w:t>
      </w:r>
      <w:r>
        <w:rPr>
          <w:rFonts w:ascii="仿宋" w:eastAsia="仿宋" w:hAnsi="仿宋"/>
          <w:sz w:val="28"/>
        </w:rPr>
        <w:t>成本降低：随着生产规模的扩大和工艺的优化，非晶微晶合金产品的成本有望逐渐降低，从而扩大其市场接受度和应用范围。</w:t>
      </w:r>
      <w:r>
        <w:rPr>
          <w:rFonts w:ascii="仿宋" w:eastAsia="仿宋" w:hAnsi="仿宋"/>
          <w:sz w:val="28"/>
        </w:rPr>
        <w:br/>
        <w:t xml:space="preserve">    8.</w:t>
      </w:r>
      <w:r>
        <w:rPr>
          <w:rFonts w:ascii="仿宋" w:eastAsia="仿宋" w:hAnsi="仿宋"/>
          <w:sz w:val="28"/>
        </w:rPr>
        <w:t>循环经济：非晶微晶合金的可回收性和可持续性符合循环经济的发展趋势，有助于企业在长期内建立更加环保和可持续的供应链。</w:t>
      </w:r>
      <w:r>
        <w:rPr>
          <w:rFonts w:ascii="仿宋" w:eastAsia="仿宋" w:hAnsi="仿宋"/>
          <w:sz w:val="28"/>
        </w:rPr>
        <w:br/>
      </w:r>
      <w:r>
        <w:rPr>
          <w:rFonts w:ascii="仿宋" w:eastAsia="仿宋" w:hAnsi="仿宋"/>
          <w:sz w:val="28"/>
        </w:rPr>
        <w:t>综上所述，非晶微晶合金产品行业正处于一个充满机遇和潜力的阶段，其发展将不仅推动相关技术进步和产业升级，也将为社会带来显著的节能减排效益。</w:t>
      </w:r>
    </w:p>
    <w:p w:rsidR="009C12B5" w:rsidRPr="009C12B5" w:rsidP="009C12B5" w14:paraId="70B1EA9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非晶微晶合金产品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非晶微晶合金产品</w:t>
      </w:r>
      <w:r w:rsidRPr="009C12B5">
        <w:rPr>
          <w:rFonts w:ascii="仿宋" w:eastAsia="仿宋" w:hAnsi="仿宋"/>
          <w:sz w:val="28"/>
          <w:szCs w:val="28"/>
        </w:rPr>
        <w:t>始终走在行业的前沿并抓住每一个市场机遇。</w:t>
      </w:r>
    </w:p>
    <w:p w:rsidR="009C12B5" w:rsidRPr="009C12B5" w:rsidP="007A4CF7" w14:paraId="7482815E" w14:textId="77777777">
      <w:pPr>
        <w:pStyle w:val="Heading2"/>
      </w:pPr>
      <w:bookmarkStart w:id="8" w:name="_Toc157814111"/>
      <w:r w:rsidRPr="009C12B5">
        <w:t>三、营销策略</w:t>
      </w:r>
      <w:bookmarkEnd w:id="8"/>
    </w:p>
    <w:p w:rsidR="009C12B5" w:rsidRPr="009C12B5" w:rsidP="007A4CF7" w14:paraId="4DA9E890" w14:textId="77777777">
      <w:pPr>
        <w:pStyle w:val="Heading3"/>
      </w:pPr>
      <w:bookmarkStart w:id="9" w:name="_Toc157814112"/>
      <w:r w:rsidRPr="009C12B5">
        <w:t xml:space="preserve">3.1 </w:t>
      </w:r>
      <w:r w:rsidRPr="009C12B5">
        <w:t>品牌定位与传播</w:t>
      </w:r>
      <w:bookmarkEnd w:id="9"/>
    </w:p>
    <w:p w:rsidR="009C12B5" w:rsidRPr="009C12B5" w:rsidP="007A4CF7" w14:paraId="0A4BA812"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非晶微晶合金产品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137B602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非晶微晶合金产品</w:t>
      </w:r>
      <w:r w:rsidRPr="009C12B5">
        <w:rPr>
          <w:rFonts w:ascii="仿宋" w:eastAsia="仿宋" w:hAnsi="仿宋"/>
          <w:sz w:val="28"/>
          <w:szCs w:val="28"/>
        </w:rPr>
        <w:t>的专业评测和推荐文章，以扩大品牌影响力。</w:t>
      </w:r>
    </w:p>
    <w:p w:rsidR="009C12B5" w:rsidRPr="009C12B5" w:rsidP="009C12B5" w14:paraId="7F24990C"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非晶微晶合金产品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3A105C3E" w14:textId="77777777">
      <w:pPr>
        <w:pStyle w:val="Heading3"/>
      </w:pPr>
      <w:bookmarkStart w:id="10" w:name="_Toc157814113"/>
      <w:r w:rsidRPr="009C12B5">
        <w:t xml:space="preserve">3.2 </w:t>
      </w:r>
      <w:r w:rsidR="007A4CF7">
        <w:t>非晶微晶合金</w:t>
      </w:r>
      <w:r w:rsidRPr="009C12B5">
        <w:t>产品定价策略</w:t>
      </w:r>
      <w:bookmarkEnd w:id="10"/>
    </w:p>
    <w:p w:rsidR="009C12B5" w:rsidRPr="009C12B5" w:rsidP="00CA39FB" w14:paraId="20AF8C2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非晶微晶合金产品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09A118B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043D6505"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非晶微晶合金产品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42592A10" w14:textId="77777777">
      <w:pPr>
        <w:pStyle w:val="Heading3"/>
      </w:pPr>
      <w:bookmarkStart w:id="11" w:name="_Toc157814114"/>
      <w:r w:rsidRPr="009C12B5">
        <w:t xml:space="preserve">3.3 </w:t>
      </w:r>
      <w:r w:rsidR="007A4CF7">
        <w:t>非晶微晶合金</w:t>
      </w:r>
      <w:r w:rsidR="007A4CF7">
        <w:rPr>
          <w:rFonts w:hint="eastAsia"/>
        </w:rPr>
        <w:t>产品</w:t>
      </w:r>
      <w:r w:rsidRPr="009C12B5">
        <w:t>销售渠道与拓展</w:t>
      </w:r>
      <w:bookmarkEnd w:id="11"/>
    </w:p>
    <w:p w:rsidR="009C12B5" w:rsidRPr="009C12B5" w:rsidP="009C12B5" w14:paraId="71AF78F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非晶微晶合金产品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73C0445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非晶微晶合金产品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320AA8D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非晶微晶合金产品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5DFBA42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https://d.book118.com/878117042060006034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668AD702" w14:textId="77777777">
    <w:pPr>
      <w:pStyle w:val="Footer"/>
      <w:jc w:val="center"/>
    </w:pPr>
  </w:p>
  <w:p w:rsidR="00FE7E16" w14:paraId="7767466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115EF7B1" w14:textId="77777777">
    <w:pPr>
      <w:pStyle w:val="Footer"/>
      <w:jc w:val="center"/>
    </w:pPr>
  </w:p>
  <w:p w:rsidR="007A4CF7" w14:paraId="0351087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5EF7F08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paraId="68D2851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2C0B9439"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53421D0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442937"/>
      <w:docPartObj>
        <w:docPartGallery w:val="Page Numbers (Bottom of Page)"/>
        <w:docPartUnique/>
      </w:docPartObj>
    </w:sdtPr>
    <w:sdtContent>
      <w:sdt>
        <w:sdtPr>
          <w:id w:val="131253898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401339"/>
      <w:docPartObj>
        <w:docPartGallery w:val="Page Numbers (Bottom of Page)"/>
        <w:docPartUnique/>
      </w:docPartObj>
    </w:sdtPr>
    <w:sdtContent>
      <w:sdt>
        <w:sdtPr>
          <w:id w:val="75370324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8229047"/>
      <w:docPartObj>
        <w:docPartGallery w:val="Page Numbers (Bottom of Page)"/>
        <w:docPartUnique/>
      </w:docPartObj>
    </w:sdtPr>
    <w:sdtContent>
      <w:sdt>
        <w:sdtPr>
          <w:id w:val="113442833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6020030"/>
      <w:docPartObj>
        <w:docPartGallery w:val="Page Numbers (Bottom of Page)"/>
        <w:docPartUnique/>
      </w:docPartObj>
    </w:sdtPr>
    <w:sdtContent>
      <w:sdt>
        <w:sdtPr>
          <w:id w:val="187737038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654431"/>
      <w:docPartObj>
        <w:docPartGallery w:val="Page Numbers (Bottom of Page)"/>
        <w:docPartUnique/>
      </w:docPartObj>
    </w:sdtPr>
    <w:sdtContent>
      <w:sdt>
        <w:sdtPr>
          <w:id w:val="98286988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1768108"/>
      <w:docPartObj>
        <w:docPartGallery w:val="Page Numbers (Bottom of Page)"/>
        <w:docPartUnique/>
      </w:docPartObj>
    </w:sdtPr>
    <w:sdtContent>
      <w:sdt>
        <w:sdtPr>
          <w:id w:val="33736336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1872629"/>
      <w:docPartObj>
        <w:docPartGallery w:val="Page Numbers (Bottom of Page)"/>
        <w:docPartUnique/>
      </w:docPartObj>
    </w:sdtPr>
    <w:sdtContent>
      <w:sdt>
        <w:sdtPr>
          <w:id w:val="129223502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2921696"/>
      <w:docPartObj>
        <w:docPartGallery w:val="Page Numbers (Bottom of Page)"/>
        <w:docPartUnique/>
      </w:docPartObj>
    </w:sdtPr>
    <w:sdtContent>
      <w:sdt>
        <w:sdtPr>
          <w:id w:val="129803100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5033824"/>
      <w:docPartObj>
        <w:docPartGallery w:val="Page Numbers (Bottom of Page)"/>
        <w:docPartUnique/>
      </w:docPartObj>
    </w:sdtPr>
    <w:sdtContent>
      <w:sdt>
        <w:sdtPr>
          <w:id w:val="188815362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5257802"/>
      <w:docPartObj>
        <w:docPartGallery w:val="Page Numbers (Bottom of Page)"/>
        <w:docPartUnique/>
      </w:docPartObj>
    </w:sdtPr>
    <w:sdtContent>
      <w:sdt>
        <w:sdtPr>
          <w:id w:val="1175223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2956814"/>
      <w:docPartObj>
        <w:docPartGallery w:val="Page Numbers (Bottom of Page)"/>
        <w:docPartUnique/>
      </w:docPartObj>
    </w:sdtPr>
    <w:sdtContent>
      <w:sdt>
        <w:sdtPr>
          <w:id w:val="49201106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776893"/>
      <w:docPartObj>
        <w:docPartGallery w:val="Page Numbers (Bottom of Page)"/>
        <w:docPartUnique/>
      </w:docPartObj>
    </w:sdtPr>
    <w:sdtContent>
      <w:sdt>
        <w:sdtPr>
          <w:id w:val="159099630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1156266"/>
      <w:docPartObj>
        <w:docPartGallery w:val="Page Numbers (Bottom of Page)"/>
        <w:docPartUnique/>
      </w:docPartObj>
    </w:sdtPr>
    <w:sdtContent>
      <w:sdt>
        <w:sdtPr>
          <w:id w:val="126924303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0590431"/>
      <w:docPartObj>
        <w:docPartGallery w:val="Page Numbers (Bottom of Page)"/>
        <w:docPartUnique/>
      </w:docPartObj>
    </w:sdtPr>
    <w:sdtContent>
      <w:sdt>
        <w:sdtPr>
          <w:id w:val="58279364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7123521"/>
      <w:docPartObj>
        <w:docPartGallery w:val="Page Numbers (Bottom of Page)"/>
        <w:docPartUnique/>
      </w:docPartObj>
    </w:sdtPr>
    <w:sdtContent>
      <w:sdt>
        <w:sdtPr>
          <w:id w:val="115023831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7124916"/>
      <w:docPartObj>
        <w:docPartGallery w:val="Page Numbers (Bottom of Page)"/>
        <w:docPartUnique/>
      </w:docPartObj>
    </w:sdtPr>
    <w:sdtContent>
      <w:sdt>
        <w:sdtPr>
          <w:id w:val="148205628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2031900"/>
      <w:docPartObj>
        <w:docPartGallery w:val="Page Numbers (Bottom of Page)"/>
        <w:docPartUnique/>
      </w:docPartObj>
    </w:sdtPr>
    <w:sdtContent>
      <w:sdt>
        <w:sdtPr>
          <w:id w:val="180785889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6686207"/>
      <w:docPartObj>
        <w:docPartGallery w:val="Page Numbers (Bottom of Page)"/>
        <w:docPartUnique/>
      </w:docPartObj>
    </w:sdtPr>
    <w:sdtContent>
      <w:sdt>
        <w:sdtPr>
          <w:id w:val="201336516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9567521"/>
      <w:docPartObj>
        <w:docPartGallery w:val="Page Numbers (Bottom of Page)"/>
        <w:docPartUnique/>
      </w:docPartObj>
    </w:sdtPr>
    <w:sdtContent>
      <w:sdt>
        <w:sdtPr>
          <w:id w:val="44520539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3583950"/>
      <w:docPartObj>
        <w:docPartGallery w:val="Page Numbers (Bottom of Page)"/>
        <w:docPartUnique/>
      </w:docPartObj>
    </w:sdtPr>
    <w:sdtContent>
      <w:sdt>
        <w:sdtPr>
          <w:id w:val="191698494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7994451"/>
      <w:docPartObj>
        <w:docPartGallery w:val="Page Numbers (Bottom of Page)"/>
        <w:docPartUnique/>
      </w:docPartObj>
    </w:sdtPr>
    <w:sdtContent>
      <w:sdt>
        <w:sdtPr>
          <w:id w:val="83997569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2597119"/>
      <w:docPartObj>
        <w:docPartGallery w:val="Page Numbers (Bottom of Page)"/>
        <w:docPartUnique/>
      </w:docPartObj>
    </w:sdtPr>
    <w:sdtContent>
      <w:sdt>
        <w:sdtPr>
          <w:id w:val="157065516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5D81F3AD"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02EB715F"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203D"/>
    <w:rsid w:val="007A4CF7"/>
    <w:rsid w:val="008B5822"/>
    <w:rsid w:val="009222AE"/>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17F4550"/>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87811704206000603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19</Pages>
  <Words>2796</Words>
  <Characters>15939</Characters>
  <Application>Microsoft Office Word</Application>
  <DocSecurity>0</DocSecurity>
  <Lines>132</Lines>
  <Paragraphs>37</Paragraphs>
  <ScaleCrop>false</ScaleCrop>
  <Company/>
  <LinksUpToDate>false</LinksUpToDate>
  <CharactersWithSpaces>18698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2024-02-05T06:41:00Z</dcterms:modified>
</cp:coreProperties>
</file>