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国家免疫规划用疫苗项目建议书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522" w:history="1">
        <w:r>
          <w:rPr>
            <w:rFonts w:ascii="仿宋" w:eastAsia="仿宋" w:hAnsi="仿宋" w:cs="仿宋" w:hint="eastAsia"/>
            <w:lang w:eastAsia="zh-CN"/>
          </w:rPr>
          <w:t>序言</w:t>
        </w:r>
        <w:r>
          <w:tab/>
        </w:r>
        <w:r>
          <w:fldChar w:fldCharType="begin"/>
        </w:r>
        <w:r>
          <w:instrText xml:space="preserve"> PAGEREF _Toc28522 \h </w:instrText>
        </w:r>
        <w:r>
          <w:fldChar w:fldCharType="separate"/>
        </w:r>
        <w:r>
          <w:t>3</w:t>
        </w:r>
        <w:r>
          <w:fldChar w:fldCharType="end"/>
        </w:r>
      </w:hyperlink>
    </w:p>
    <w:p>
      <w:pPr>
        <w:pStyle w:val="TOC1"/>
        <w:tabs>
          <w:tab w:val="right" w:leader="dot" w:pos="8306"/>
        </w:tabs>
      </w:pPr>
      <w:hyperlink w:anchor="_Toc12908" w:history="1">
        <w:r>
          <w:rPr>
            <w:rFonts w:ascii="仿宋" w:eastAsia="仿宋" w:hAnsi="仿宋" w:cs="仿宋" w:hint="eastAsia"/>
            <w:lang w:eastAsia="zh-CN"/>
          </w:rPr>
          <w:t>一、背景和必要性研究</w:t>
        </w:r>
        <w:r>
          <w:tab/>
        </w:r>
        <w:r>
          <w:fldChar w:fldCharType="begin"/>
        </w:r>
        <w:r>
          <w:instrText xml:space="preserve"> PAGEREF _Toc12908 \h </w:instrText>
        </w:r>
        <w:r>
          <w:fldChar w:fldCharType="separate"/>
        </w:r>
        <w:r>
          <w:t>3</w:t>
        </w:r>
        <w:r>
          <w:fldChar w:fldCharType="end"/>
        </w:r>
      </w:hyperlink>
    </w:p>
    <w:p>
      <w:pPr>
        <w:pStyle w:val="TOC2"/>
        <w:tabs>
          <w:tab w:val="right" w:leader="dot" w:pos="8306"/>
        </w:tabs>
      </w:pPr>
      <w:hyperlink w:anchor="_Toc9593" w:history="1">
        <w:r>
          <w:rPr>
            <w:rFonts w:ascii="仿宋" w:eastAsia="仿宋" w:hAnsi="仿宋" w:cs="仿宋" w:hint="eastAsia"/>
            <w:lang w:eastAsia="zh-CN"/>
          </w:rPr>
          <w:t>(一)、国家免疫规划用疫苗项目承办单位背景分析</w:t>
        </w:r>
        <w:r>
          <w:tab/>
        </w:r>
        <w:r>
          <w:fldChar w:fldCharType="begin"/>
        </w:r>
        <w:r>
          <w:instrText xml:space="preserve"> PAGEREF _Toc9593 \h </w:instrText>
        </w:r>
        <w:r>
          <w:fldChar w:fldCharType="separate"/>
        </w:r>
        <w:r>
          <w:t>3</w:t>
        </w:r>
        <w:r>
          <w:fldChar w:fldCharType="end"/>
        </w:r>
      </w:hyperlink>
    </w:p>
    <w:p>
      <w:pPr>
        <w:pStyle w:val="TOC2"/>
        <w:tabs>
          <w:tab w:val="right" w:leader="dot" w:pos="8306"/>
        </w:tabs>
      </w:pPr>
      <w:hyperlink w:anchor="_Toc17286" w:history="1">
        <w:r>
          <w:rPr>
            <w:rFonts w:ascii="仿宋" w:eastAsia="仿宋" w:hAnsi="仿宋" w:cs="仿宋" w:hint="eastAsia"/>
            <w:lang w:eastAsia="zh-CN"/>
          </w:rPr>
          <w:t>(二)、国家免疫规划用疫苗项目背景分析</w:t>
        </w:r>
        <w:r>
          <w:tab/>
        </w:r>
        <w:r>
          <w:fldChar w:fldCharType="begin"/>
        </w:r>
        <w:r>
          <w:instrText xml:space="preserve"> PAGEREF _Toc17286 \h </w:instrText>
        </w:r>
        <w:r>
          <w:fldChar w:fldCharType="separate"/>
        </w:r>
        <w:r>
          <w:t>4</w:t>
        </w:r>
        <w:r>
          <w:fldChar w:fldCharType="end"/>
        </w:r>
      </w:hyperlink>
    </w:p>
    <w:p>
      <w:pPr>
        <w:pStyle w:val="TOC1"/>
        <w:tabs>
          <w:tab w:val="right" w:leader="dot" w:pos="8306"/>
        </w:tabs>
      </w:pPr>
      <w:hyperlink w:anchor="_Toc16757" w:history="1">
        <w:r>
          <w:rPr>
            <w:rFonts w:ascii="仿宋" w:eastAsia="仿宋" w:hAnsi="仿宋" w:cs="仿宋" w:hint="eastAsia"/>
            <w:lang w:eastAsia="zh-CN"/>
          </w:rPr>
          <w:t>二、工艺先进性</w:t>
        </w:r>
        <w:r>
          <w:tab/>
        </w:r>
        <w:r>
          <w:fldChar w:fldCharType="begin"/>
        </w:r>
        <w:r>
          <w:instrText xml:space="preserve"> PAGEREF _Toc16757 \h </w:instrText>
        </w:r>
        <w:r>
          <w:fldChar w:fldCharType="separate"/>
        </w:r>
        <w:r>
          <w:t>5</w:t>
        </w:r>
        <w:r>
          <w:fldChar w:fldCharType="end"/>
        </w:r>
      </w:hyperlink>
    </w:p>
    <w:p>
      <w:pPr>
        <w:pStyle w:val="TOC2"/>
        <w:tabs>
          <w:tab w:val="right" w:leader="dot" w:pos="8306"/>
        </w:tabs>
      </w:pPr>
      <w:hyperlink w:anchor="_Toc18009" w:history="1">
        <w:r>
          <w:rPr>
            <w:rFonts w:ascii="仿宋" w:eastAsia="仿宋" w:hAnsi="仿宋" w:cs="仿宋" w:hint="eastAsia"/>
            <w:lang w:eastAsia="zh-CN"/>
          </w:rPr>
          <w:t>(一)、国家免疫规划用疫苗项目建设期的原辅材料保障</w:t>
        </w:r>
        <w:r>
          <w:tab/>
        </w:r>
        <w:r>
          <w:fldChar w:fldCharType="begin"/>
        </w:r>
        <w:r>
          <w:instrText xml:space="preserve"> PAGEREF _Toc18009 \h </w:instrText>
        </w:r>
        <w:r>
          <w:fldChar w:fldCharType="separate"/>
        </w:r>
        <w:r>
          <w:t>5</w:t>
        </w:r>
        <w:r>
          <w:fldChar w:fldCharType="end"/>
        </w:r>
      </w:hyperlink>
    </w:p>
    <w:p>
      <w:pPr>
        <w:pStyle w:val="TOC2"/>
        <w:tabs>
          <w:tab w:val="right" w:leader="dot" w:pos="8306"/>
        </w:tabs>
      </w:pPr>
      <w:hyperlink w:anchor="_Toc26313" w:history="1">
        <w:r>
          <w:rPr>
            <w:rFonts w:ascii="仿宋" w:eastAsia="仿宋" w:hAnsi="仿宋" w:cs="仿宋" w:hint="eastAsia"/>
            <w:lang w:eastAsia="zh-CN"/>
          </w:rPr>
          <w:t>(二)、国家免疫规划用疫苗项目运营期的原辅材料采购与管理</w:t>
        </w:r>
        <w:r>
          <w:tab/>
        </w:r>
        <w:r>
          <w:fldChar w:fldCharType="begin"/>
        </w:r>
        <w:r>
          <w:instrText xml:space="preserve"> PAGEREF _Toc26313 \h </w:instrText>
        </w:r>
        <w:r>
          <w:fldChar w:fldCharType="separate"/>
        </w:r>
        <w:r>
          <w:t>6</w:t>
        </w:r>
        <w:r>
          <w:fldChar w:fldCharType="end"/>
        </w:r>
      </w:hyperlink>
    </w:p>
    <w:p>
      <w:pPr>
        <w:pStyle w:val="TOC2"/>
        <w:tabs>
          <w:tab w:val="right" w:leader="dot" w:pos="8306"/>
        </w:tabs>
      </w:pPr>
      <w:hyperlink w:anchor="_Toc13969" w:history="1">
        <w:r>
          <w:rPr>
            <w:rFonts w:ascii="仿宋" w:eastAsia="仿宋" w:hAnsi="仿宋" w:cs="仿宋" w:hint="eastAsia"/>
            <w:lang w:eastAsia="zh-CN"/>
          </w:rPr>
          <w:t>(三)、技术管理的独特特色</w:t>
        </w:r>
        <w:r>
          <w:tab/>
        </w:r>
        <w:r>
          <w:fldChar w:fldCharType="begin"/>
        </w:r>
        <w:r>
          <w:instrText xml:space="preserve"> PAGEREF _Toc13969 \h </w:instrText>
        </w:r>
        <w:r>
          <w:fldChar w:fldCharType="separate"/>
        </w:r>
        <w:r>
          <w:t>7</w:t>
        </w:r>
        <w:r>
          <w:fldChar w:fldCharType="end"/>
        </w:r>
      </w:hyperlink>
    </w:p>
    <w:p>
      <w:pPr>
        <w:pStyle w:val="TOC2"/>
        <w:tabs>
          <w:tab w:val="right" w:leader="dot" w:pos="8306"/>
        </w:tabs>
      </w:pPr>
      <w:hyperlink w:anchor="_Toc14495" w:history="1">
        <w:r>
          <w:rPr>
            <w:rFonts w:ascii="仿宋" w:eastAsia="仿宋" w:hAnsi="仿宋" w:cs="仿宋" w:hint="eastAsia"/>
            <w:lang w:eastAsia="zh-CN"/>
          </w:rPr>
          <w:t>(四)、国家免疫规划用疫苗项目工艺技术设计方案</w:t>
        </w:r>
        <w:r>
          <w:tab/>
        </w:r>
        <w:r>
          <w:fldChar w:fldCharType="begin"/>
        </w:r>
        <w:r>
          <w:instrText xml:space="preserve"> PAGEREF _Toc14495 \h </w:instrText>
        </w:r>
        <w:r>
          <w:fldChar w:fldCharType="separate"/>
        </w:r>
        <w:r>
          <w:t>9</w:t>
        </w:r>
        <w:r>
          <w:fldChar w:fldCharType="end"/>
        </w:r>
      </w:hyperlink>
    </w:p>
    <w:p>
      <w:pPr>
        <w:pStyle w:val="TOC2"/>
        <w:tabs>
          <w:tab w:val="right" w:leader="dot" w:pos="8306"/>
        </w:tabs>
      </w:pPr>
      <w:hyperlink w:anchor="_Toc4153" w:history="1">
        <w:r>
          <w:rPr>
            <w:rFonts w:ascii="仿宋" w:eastAsia="仿宋" w:hAnsi="仿宋" w:cs="仿宋" w:hint="eastAsia"/>
            <w:lang w:eastAsia="zh-CN"/>
          </w:rPr>
          <w:t>(五)、设备选型的智能化方案</w:t>
        </w:r>
        <w:r>
          <w:tab/>
        </w:r>
        <w:r>
          <w:fldChar w:fldCharType="begin"/>
        </w:r>
        <w:r>
          <w:instrText xml:space="preserve"> PAGEREF _Toc4153 \h </w:instrText>
        </w:r>
        <w:r>
          <w:fldChar w:fldCharType="separate"/>
        </w:r>
        <w:r>
          <w:t>10</w:t>
        </w:r>
        <w:r>
          <w:fldChar w:fldCharType="end"/>
        </w:r>
      </w:hyperlink>
    </w:p>
    <w:p>
      <w:pPr>
        <w:pStyle w:val="TOC1"/>
        <w:tabs>
          <w:tab w:val="right" w:leader="dot" w:pos="8306"/>
        </w:tabs>
      </w:pPr>
      <w:hyperlink w:anchor="_Toc6732" w:history="1">
        <w:r>
          <w:rPr>
            <w:rFonts w:ascii="仿宋" w:eastAsia="仿宋" w:hAnsi="仿宋" w:cs="仿宋" w:hint="eastAsia"/>
            <w:lang w:eastAsia="zh-CN"/>
          </w:rPr>
          <w:t>三、风险应对评估</w:t>
        </w:r>
        <w:r>
          <w:tab/>
        </w:r>
        <w:r>
          <w:fldChar w:fldCharType="begin"/>
        </w:r>
        <w:r>
          <w:instrText xml:space="preserve"> PAGEREF _Toc6732 \h </w:instrText>
        </w:r>
        <w:r>
          <w:fldChar w:fldCharType="separate"/>
        </w:r>
        <w:r>
          <w:t>11</w:t>
        </w:r>
        <w:r>
          <w:fldChar w:fldCharType="end"/>
        </w:r>
      </w:hyperlink>
    </w:p>
    <w:p>
      <w:pPr>
        <w:pStyle w:val="TOC2"/>
        <w:tabs>
          <w:tab w:val="right" w:leader="dot" w:pos="8306"/>
        </w:tabs>
      </w:pPr>
      <w:hyperlink w:anchor="_Toc2782" w:history="1">
        <w:r>
          <w:rPr>
            <w:rFonts w:ascii="仿宋" w:eastAsia="仿宋" w:hAnsi="仿宋" w:cs="仿宋" w:hint="eastAsia"/>
            <w:lang w:eastAsia="zh-CN"/>
          </w:rPr>
          <w:t>(一)、政策风险分析</w:t>
        </w:r>
        <w:r>
          <w:tab/>
        </w:r>
        <w:r>
          <w:fldChar w:fldCharType="begin"/>
        </w:r>
        <w:r>
          <w:instrText xml:space="preserve"> PAGEREF _Toc2782 \h </w:instrText>
        </w:r>
        <w:r>
          <w:fldChar w:fldCharType="separate"/>
        </w:r>
        <w:r>
          <w:t>11</w:t>
        </w:r>
        <w:r>
          <w:fldChar w:fldCharType="end"/>
        </w:r>
      </w:hyperlink>
    </w:p>
    <w:p>
      <w:pPr>
        <w:pStyle w:val="TOC2"/>
        <w:tabs>
          <w:tab w:val="right" w:leader="dot" w:pos="8306"/>
        </w:tabs>
      </w:pPr>
      <w:hyperlink w:anchor="_Toc2166" w:history="1">
        <w:r>
          <w:rPr>
            <w:rFonts w:ascii="仿宋" w:eastAsia="仿宋" w:hAnsi="仿宋" w:cs="仿宋" w:hint="eastAsia"/>
            <w:lang w:eastAsia="zh-CN"/>
          </w:rPr>
          <w:t>(二)、社会风险分析</w:t>
        </w:r>
        <w:r>
          <w:tab/>
        </w:r>
        <w:r>
          <w:fldChar w:fldCharType="begin"/>
        </w:r>
        <w:r>
          <w:instrText xml:space="preserve"> PAGEREF _Toc2166 \h </w:instrText>
        </w:r>
        <w:r>
          <w:fldChar w:fldCharType="separate"/>
        </w:r>
        <w:r>
          <w:t>11</w:t>
        </w:r>
        <w:r>
          <w:fldChar w:fldCharType="end"/>
        </w:r>
      </w:hyperlink>
    </w:p>
    <w:p>
      <w:pPr>
        <w:pStyle w:val="TOC2"/>
        <w:tabs>
          <w:tab w:val="right" w:leader="dot" w:pos="8306"/>
        </w:tabs>
      </w:pPr>
      <w:hyperlink w:anchor="_Toc28339" w:history="1">
        <w:r>
          <w:rPr>
            <w:rFonts w:ascii="仿宋" w:eastAsia="仿宋" w:hAnsi="仿宋" w:cs="仿宋" w:hint="eastAsia"/>
            <w:lang w:eastAsia="zh-CN"/>
          </w:rPr>
          <w:t>(三)、市场风险分析</w:t>
        </w:r>
        <w:r>
          <w:tab/>
        </w:r>
        <w:r>
          <w:fldChar w:fldCharType="begin"/>
        </w:r>
        <w:r>
          <w:instrText xml:space="preserve"> PAGEREF _Toc28339 \h </w:instrText>
        </w:r>
        <w:r>
          <w:fldChar w:fldCharType="separate"/>
        </w:r>
        <w:r>
          <w:t>12</w:t>
        </w:r>
        <w:r>
          <w:fldChar w:fldCharType="end"/>
        </w:r>
      </w:hyperlink>
    </w:p>
    <w:p>
      <w:pPr>
        <w:pStyle w:val="TOC2"/>
        <w:tabs>
          <w:tab w:val="right" w:leader="dot" w:pos="8306"/>
        </w:tabs>
      </w:pPr>
      <w:hyperlink w:anchor="_Toc30751" w:history="1">
        <w:r>
          <w:rPr>
            <w:rFonts w:ascii="仿宋" w:eastAsia="仿宋" w:hAnsi="仿宋" w:cs="仿宋" w:hint="eastAsia"/>
            <w:lang w:eastAsia="zh-CN"/>
          </w:rPr>
          <w:t>(四)、资金风险分析</w:t>
        </w:r>
        <w:r>
          <w:tab/>
        </w:r>
        <w:r>
          <w:fldChar w:fldCharType="begin"/>
        </w:r>
        <w:r>
          <w:instrText xml:space="preserve"> PAGEREF _Toc30751 \h </w:instrText>
        </w:r>
        <w:r>
          <w:fldChar w:fldCharType="separate"/>
        </w:r>
        <w:r>
          <w:t>12</w:t>
        </w:r>
        <w:r>
          <w:fldChar w:fldCharType="end"/>
        </w:r>
      </w:hyperlink>
    </w:p>
    <w:p>
      <w:pPr>
        <w:pStyle w:val="TOC2"/>
        <w:tabs>
          <w:tab w:val="right" w:leader="dot" w:pos="8306"/>
        </w:tabs>
      </w:pPr>
      <w:hyperlink w:anchor="_Toc23522" w:history="1">
        <w:r>
          <w:rPr>
            <w:rFonts w:ascii="仿宋" w:eastAsia="仿宋" w:hAnsi="仿宋" w:cs="仿宋" w:hint="eastAsia"/>
            <w:lang w:eastAsia="zh-CN"/>
          </w:rPr>
          <w:t>(五)、技术风险分析</w:t>
        </w:r>
        <w:r>
          <w:tab/>
        </w:r>
        <w:r>
          <w:fldChar w:fldCharType="begin"/>
        </w:r>
        <w:r>
          <w:instrText xml:space="preserve"> PAGEREF _Toc23522 \h </w:instrText>
        </w:r>
        <w:r>
          <w:fldChar w:fldCharType="separate"/>
        </w:r>
        <w:r>
          <w:t>12</w:t>
        </w:r>
        <w:r>
          <w:fldChar w:fldCharType="end"/>
        </w:r>
      </w:hyperlink>
    </w:p>
    <w:p>
      <w:pPr>
        <w:pStyle w:val="TOC2"/>
        <w:tabs>
          <w:tab w:val="right" w:leader="dot" w:pos="8306"/>
        </w:tabs>
      </w:pPr>
      <w:hyperlink w:anchor="_Toc21295" w:history="1">
        <w:r>
          <w:rPr>
            <w:rFonts w:ascii="仿宋" w:eastAsia="仿宋" w:hAnsi="仿宋" w:cs="仿宋" w:hint="eastAsia"/>
            <w:lang w:eastAsia="zh-CN"/>
          </w:rPr>
          <w:t>(六)、财务风险分析</w:t>
        </w:r>
        <w:r>
          <w:tab/>
        </w:r>
        <w:r>
          <w:fldChar w:fldCharType="begin"/>
        </w:r>
        <w:r>
          <w:instrText xml:space="preserve"> PAGEREF _Toc21295 \h </w:instrText>
        </w:r>
        <w:r>
          <w:fldChar w:fldCharType="separate"/>
        </w:r>
        <w:r>
          <w:t>12</w:t>
        </w:r>
        <w:r>
          <w:fldChar w:fldCharType="end"/>
        </w:r>
      </w:hyperlink>
    </w:p>
    <w:p>
      <w:pPr>
        <w:pStyle w:val="TOC2"/>
        <w:tabs>
          <w:tab w:val="right" w:leader="dot" w:pos="8306"/>
        </w:tabs>
      </w:pPr>
      <w:hyperlink w:anchor="_Toc23929" w:history="1">
        <w:r>
          <w:rPr>
            <w:rFonts w:ascii="仿宋" w:eastAsia="仿宋" w:hAnsi="仿宋" w:cs="仿宋" w:hint="eastAsia"/>
            <w:lang w:eastAsia="zh-CN"/>
          </w:rPr>
          <w:t>(七)、管理风险分析</w:t>
        </w:r>
        <w:r>
          <w:tab/>
        </w:r>
        <w:r>
          <w:fldChar w:fldCharType="begin"/>
        </w:r>
        <w:r>
          <w:instrText xml:space="preserve"> PAGEREF _Toc23929 \h </w:instrText>
        </w:r>
        <w:r>
          <w:fldChar w:fldCharType="separate"/>
        </w:r>
        <w:r>
          <w:t>13</w:t>
        </w:r>
        <w:r>
          <w:fldChar w:fldCharType="end"/>
        </w:r>
      </w:hyperlink>
    </w:p>
    <w:p>
      <w:pPr>
        <w:pStyle w:val="TOC2"/>
        <w:tabs>
          <w:tab w:val="right" w:leader="dot" w:pos="8306"/>
        </w:tabs>
      </w:pPr>
      <w:hyperlink w:anchor="_Toc9787" w:history="1">
        <w:r>
          <w:rPr>
            <w:rFonts w:ascii="仿宋" w:eastAsia="仿宋" w:hAnsi="仿宋" w:cs="仿宋" w:hint="eastAsia"/>
            <w:lang w:eastAsia="zh-CN"/>
          </w:rPr>
          <w:t>(八)、其它风险分析</w:t>
        </w:r>
        <w:r>
          <w:tab/>
        </w:r>
        <w:r>
          <w:fldChar w:fldCharType="begin"/>
        </w:r>
        <w:r>
          <w:instrText xml:space="preserve"> PAGEREF _Toc9787 \h </w:instrText>
        </w:r>
        <w:r>
          <w:fldChar w:fldCharType="separate"/>
        </w:r>
        <w:r>
          <w:t>13</w:t>
        </w:r>
        <w:r>
          <w:fldChar w:fldCharType="end"/>
        </w:r>
      </w:hyperlink>
    </w:p>
    <w:p>
      <w:pPr>
        <w:pStyle w:val="TOC1"/>
        <w:tabs>
          <w:tab w:val="right" w:leader="dot" w:pos="8306"/>
        </w:tabs>
      </w:pPr>
      <w:hyperlink w:anchor="_Toc11400" w:history="1">
        <w:r>
          <w:rPr>
            <w:rFonts w:ascii="仿宋" w:eastAsia="仿宋" w:hAnsi="仿宋" w:cs="仿宋" w:hint="eastAsia"/>
            <w:lang w:eastAsia="zh-CN"/>
          </w:rPr>
          <w:t>四、工程设计说明</w:t>
        </w:r>
        <w:r>
          <w:tab/>
        </w:r>
        <w:r>
          <w:fldChar w:fldCharType="begin"/>
        </w:r>
        <w:r>
          <w:instrText xml:space="preserve"> PAGEREF _Toc11400 \h </w:instrText>
        </w:r>
        <w:r>
          <w:fldChar w:fldCharType="separate"/>
        </w:r>
        <w:r>
          <w:t>13</w:t>
        </w:r>
        <w:r>
          <w:fldChar w:fldCharType="end"/>
        </w:r>
      </w:hyperlink>
    </w:p>
    <w:p>
      <w:pPr>
        <w:pStyle w:val="TOC2"/>
        <w:tabs>
          <w:tab w:val="right" w:leader="dot" w:pos="8306"/>
        </w:tabs>
      </w:pPr>
      <w:hyperlink w:anchor="_Toc29080" w:history="1">
        <w:r>
          <w:rPr>
            <w:rFonts w:ascii="仿宋" w:eastAsia="仿宋" w:hAnsi="仿宋" w:cs="仿宋" w:hint="eastAsia"/>
            <w:lang w:eastAsia="zh-CN"/>
          </w:rPr>
          <w:t>(一)、建筑工程设计原则</w:t>
        </w:r>
        <w:r>
          <w:tab/>
        </w:r>
        <w:r>
          <w:fldChar w:fldCharType="begin"/>
        </w:r>
        <w:r>
          <w:instrText xml:space="preserve"> PAGEREF _Toc29080 \h </w:instrText>
        </w:r>
        <w:r>
          <w:fldChar w:fldCharType="separate"/>
        </w:r>
        <w:r>
          <w:t>13</w:t>
        </w:r>
        <w:r>
          <w:fldChar w:fldCharType="end"/>
        </w:r>
      </w:hyperlink>
    </w:p>
    <w:p>
      <w:pPr>
        <w:pStyle w:val="TOC2"/>
        <w:tabs>
          <w:tab w:val="right" w:leader="dot" w:pos="8306"/>
        </w:tabs>
      </w:pPr>
      <w:hyperlink w:anchor="_Toc28016" w:history="1">
        <w:r>
          <w:rPr>
            <w:rFonts w:ascii="仿宋" w:eastAsia="仿宋" w:hAnsi="仿宋" w:cs="仿宋" w:hint="eastAsia"/>
            <w:lang w:eastAsia="zh-CN"/>
          </w:rPr>
          <w:t>(二)、国家免疫规划用疫苗项目工程建设标准规范</w:t>
        </w:r>
        <w:r>
          <w:tab/>
        </w:r>
        <w:r>
          <w:fldChar w:fldCharType="begin"/>
        </w:r>
        <w:r>
          <w:instrText xml:space="preserve"> PAGEREF _Toc28016 \h </w:instrText>
        </w:r>
        <w:r>
          <w:fldChar w:fldCharType="separate"/>
        </w:r>
        <w:r>
          <w:t>14</w:t>
        </w:r>
        <w:r>
          <w:fldChar w:fldCharType="end"/>
        </w:r>
      </w:hyperlink>
    </w:p>
    <w:p>
      <w:pPr>
        <w:pStyle w:val="TOC2"/>
        <w:tabs>
          <w:tab w:val="right" w:leader="dot" w:pos="8306"/>
        </w:tabs>
      </w:pPr>
      <w:hyperlink w:anchor="_Toc24577" w:history="1">
        <w:r>
          <w:rPr>
            <w:rFonts w:ascii="仿宋" w:eastAsia="仿宋" w:hAnsi="仿宋" w:cs="仿宋" w:hint="eastAsia"/>
            <w:lang w:eastAsia="zh-CN"/>
          </w:rPr>
          <w:t>(三)、国家免疫规划用疫苗项目总平面设计要求</w:t>
        </w:r>
        <w:r>
          <w:tab/>
        </w:r>
        <w:r>
          <w:fldChar w:fldCharType="begin"/>
        </w:r>
        <w:r>
          <w:instrText xml:space="preserve"> PAGEREF _Toc24577 \h </w:instrText>
        </w:r>
        <w:r>
          <w:fldChar w:fldCharType="separate"/>
        </w:r>
        <w:r>
          <w:t>14</w:t>
        </w:r>
        <w:r>
          <w:fldChar w:fldCharType="end"/>
        </w:r>
      </w:hyperlink>
    </w:p>
    <w:p>
      <w:pPr>
        <w:pStyle w:val="TOC2"/>
        <w:tabs>
          <w:tab w:val="right" w:leader="dot" w:pos="8306"/>
        </w:tabs>
      </w:pPr>
      <w:hyperlink w:anchor="_Toc16502" w:history="1">
        <w:r>
          <w:rPr>
            <w:rFonts w:ascii="仿宋" w:eastAsia="仿宋" w:hAnsi="仿宋" w:cs="仿宋" w:hint="eastAsia"/>
            <w:lang w:eastAsia="zh-CN"/>
          </w:rPr>
          <w:t>(四)、建筑设计规范和标准</w:t>
        </w:r>
        <w:r>
          <w:tab/>
        </w:r>
        <w:r>
          <w:fldChar w:fldCharType="begin"/>
        </w:r>
        <w:r>
          <w:instrText xml:space="preserve"> PAGEREF _Toc16502 \h </w:instrText>
        </w:r>
        <w:r>
          <w:fldChar w:fldCharType="separate"/>
        </w:r>
        <w:r>
          <w:t>14</w:t>
        </w:r>
        <w:r>
          <w:fldChar w:fldCharType="end"/>
        </w:r>
      </w:hyperlink>
    </w:p>
    <w:p>
      <w:pPr>
        <w:pStyle w:val="TOC2"/>
        <w:tabs>
          <w:tab w:val="right" w:leader="dot" w:pos="8306"/>
        </w:tabs>
      </w:pPr>
      <w:hyperlink w:anchor="_Toc30542" w:history="1">
        <w:r>
          <w:rPr>
            <w:rFonts w:ascii="仿宋" w:eastAsia="仿宋" w:hAnsi="仿宋" w:cs="仿宋" w:hint="eastAsia"/>
            <w:lang w:eastAsia="zh-CN"/>
          </w:rPr>
          <w:t>(五)、土建工程设计年限及安全等级</w:t>
        </w:r>
        <w:r>
          <w:tab/>
        </w:r>
        <w:r>
          <w:fldChar w:fldCharType="begin"/>
        </w:r>
        <w:r>
          <w:instrText xml:space="preserve"> PAGEREF _Toc30542 \h </w:instrText>
        </w:r>
        <w:r>
          <w:fldChar w:fldCharType="separate"/>
        </w:r>
        <w:r>
          <w:t>14</w:t>
        </w:r>
        <w:r>
          <w:fldChar w:fldCharType="end"/>
        </w:r>
      </w:hyperlink>
    </w:p>
    <w:p>
      <w:pPr>
        <w:pStyle w:val="TOC2"/>
        <w:tabs>
          <w:tab w:val="right" w:leader="dot" w:pos="8306"/>
        </w:tabs>
      </w:pPr>
      <w:hyperlink w:anchor="_Toc2065" w:history="1">
        <w:r>
          <w:rPr>
            <w:rFonts w:ascii="仿宋" w:eastAsia="仿宋" w:hAnsi="仿宋" w:cs="仿宋" w:hint="eastAsia"/>
            <w:lang w:eastAsia="zh-CN"/>
          </w:rPr>
          <w:t>(六)、建筑工程设计总体要求</w:t>
        </w:r>
        <w:r>
          <w:tab/>
        </w:r>
        <w:r>
          <w:fldChar w:fldCharType="begin"/>
        </w:r>
        <w:r>
          <w:instrText xml:space="preserve"> PAGEREF _Toc2065 \h </w:instrText>
        </w:r>
        <w:r>
          <w:fldChar w:fldCharType="separate"/>
        </w:r>
        <w:r>
          <w:t>15</w:t>
        </w:r>
        <w:r>
          <w:fldChar w:fldCharType="end"/>
        </w:r>
      </w:hyperlink>
    </w:p>
    <w:p>
      <w:pPr>
        <w:pStyle w:val="TOC1"/>
        <w:tabs>
          <w:tab w:val="right" w:leader="dot" w:pos="8306"/>
        </w:tabs>
      </w:pPr>
      <w:hyperlink w:anchor="_Toc15381" w:history="1">
        <w:r>
          <w:rPr>
            <w:rFonts w:ascii="仿宋" w:eastAsia="仿宋" w:hAnsi="仿宋" w:cs="仿宋" w:hint="eastAsia"/>
            <w:lang w:eastAsia="zh-CN"/>
          </w:rPr>
          <w:t>五、合作伙伴关系管理</w:t>
        </w:r>
        <w:r>
          <w:tab/>
        </w:r>
        <w:r>
          <w:fldChar w:fldCharType="begin"/>
        </w:r>
        <w:r>
          <w:instrText xml:space="preserve"> PAGEREF _Toc15381 \h </w:instrText>
        </w:r>
        <w:r>
          <w:fldChar w:fldCharType="separate"/>
        </w:r>
        <w:r>
          <w:t>15</w:t>
        </w:r>
        <w:r>
          <w:fldChar w:fldCharType="end"/>
        </w:r>
      </w:hyperlink>
    </w:p>
    <w:p>
      <w:pPr>
        <w:pStyle w:val="TOC2"/>
        <w:tabs>
          <w:tab w:val="right" w:leader="dot" w:pos="8306"/>
        </w:tabs>
      </w:pPr>
      <w:hyperlink w:anchor="_Toc6801" w:history="1">
        <w:r>
          <w:rPr>
            <w:rFonts w:ascii="仿宋" w:eastAsia="仿宋" w:hAnsi="仿宋" w:cs="仿宋" w:hint="eastAsia"/>
            <w:lang w:eastAsia="zh-CN"/>
          </w:rPr>
          <w:t>(一)、合作伙伴选择与评估</w:t>
        </w:r>
        <w:r>
          <w:tab/>
        </w:r>
        <w:r>
          <w:fldChar w:fldCharType="begin"/>
        </w:r>
        <w:r>
          <w:instrText xml:space="preserve"> PAGEREF _Toc6801 \h </w:instrText>
        </w:r>
        <w:r>
          <w:fldChar w:fldCharType="separate"/>
        </w:r>
        <w:r>
          <w:t>15</w:t>
        </w:r>
        <w:r>
          <w:fldChar w:fldCharType="end"/>
        </w:r>
      </w:hyperlink>
    </w:p>
    <w:p>
      <w:pPr>
        <w:pStyle w:val="TOC2"/>
        <w:tabs>
          <w:tab w:val="right" w:leader="dot" w:pos="8306"/>
        </w:tabs>
      </w:pPr>
      <w:hyperlink w:anchor="_Toc18224" w:history="1">
        <w:r>
          <w:rPr>
            <w:rFonts w:ascii="仿宋" w:eastAsia="仿宋" w:hAnsi="仿宋" w:cs="仿宋" w:hint="eastAsia"/>
            <w:lang w:eastAsia="zh-CN"/>
          </w:rPr>
          <w:t>(二)、合作伙伴协议与合同管理</w:t>
        </w:r>
        <w:r>
          <w:tab/>
        </w:r>
        <w:r>
          <w:fldChar w:fldCharType="begin"/>
        </w:r>
        <w:r>
          <w:instrText xml:space="preserve"> PAGEREF _Toc18224 \h </w:instrText>
        </w:r>
        <w:r>
          <w:fldChar w:fldCharType="separate"/>
        </w:r>
        <w:r>
          <w:t>16</w:t>
        </w:r>
        <w:r>
          <w:fldChar w:fldCharType="end"/>
        </w:r>
      </w:hyperlink>
    </w:p>
    <w:p>
      <w:pPr>
        <w:pStyle w:val="TOC2"/>
        <w:tabs>
          <w:tab w:val="right" w:leader="dot" w:pos="8306"/>
        </w:tabs>
      </w:pPr>
      <w:hyperlink w:anchor="_Toc527" w:history="1">
        <w:r>
          <w:rPr>
            <w:rFonts w:ascii="仿宋" w:eastAsia="仿宋" w:hAnsi="仿宋" w:cs="仿宋" w:hint="eastAsia"/>
            <w:lang w:eastAsia="zh-CN"/>
          </w:rPr>
          <w:t>(三)、风险共担与利益共享机制</w:t>
        </w:r>
        <w:r>
          <w:tab/>
        </w:r>
        <w:r>
          <w:fldChar w:fldCharType="begin"/>
        </w:r>
        <w:r>
          <w:instrText xml:space="preserve"> PAGEREF _Toc527 \h </w:instrText>
        </w:r>
        <w:r>
          <w:fldChar w:fldCharType="separate"/>
        </w:r>
        <w:r>
          <w:t>17</w:t>
        </w:r>
        <w:r>
          <w:fldChar w:fldCharType="end"/>
        </w:r>
      </w:hyperlink>
    </w:p>
    <w:p>
      <w:pPr>
        <w:pStyle w:val="TOC2"/>
        <w:tabs>
          <w:tab w:val="right" w:leader="dot" w:pos="8306"/>
        </w:tabs>
      </w:pPr>
      <w:hyperlink w:anchor="_Toc1136" w:history="1">
        <w:r>
          <w:rPr>
            <w:rFonts w:ascii="仿宋" w:eastAsia="仿宋" w:hAnsi="仿宋" w:cs="仿宋" w:hint="eastAsia"/>
            <w:lang w:eastAsia="zh-CN"/>
          </w:rPr>
          <w:t>(四)、定期合作评估与调整</w:t>
        </w:r>
        <w:r>
          <w:tab/>
        </w:r>
        <w:r>
          <w:fldChar w:fldCharType="begin"/>
        </w:r>
        <w:r>
          <w:instrText xml:space="preserve"> PAGEREF _Toc1136 \h </w:instrText>
        </w:r>
        <w:r>
          <w:fldChar w:fldCharType="separate"/>
        </w:r>
        <w:r>
          <w:t>18</w:t>
        </w:r>
        <w:r>
          <w:fldChar w:fldCharType="end"/>
        </w:r>
      </w:hyperlink>
    </w:p>
    <w:p>
      <w:pPr>
        <w:pStyle w:val="TOC1"/>
        <w:tabs>
          <w:tab w:val="right" w:leader="dot" w:pos="8306"/>
        </w:tabs>
      </w:pPr>
      <w:hyperlink w:anchor="_Toc17603" w:history="1">
        <w:r>
          <w:rPr>
            <w:rFonts w:ascii="仿宋" w:eastAsia="仿宋" w:hAnsi="仿宋" w:cs="仿宋" w:hint="eastAsia"/>
            <w:lang w:eastAsia="zh-CN"/>
          </w:rPr>
          <w:t>六、国家免疫规划用疫苗项目收尾与总结</w:t>
        </w:r>
        <w:r>
          <w:tab/>
        </w:r>
        <w:r>
          <w:fldChar w:fldCharType="begin"/>
        </w:r>
        <w:r>
          <w:instrText xml:space="preserve"> PAGEREF _Toc17603 \h </w:instrText>
        </w:r>
        <w:r>
          <w:fldChar w:fldCharType="separate"/>
        </w:r>
        <w:r>
          <w:t>19</w:t>
        </w:r>
        <w:r>
          <w:fldChar w:fldCharType="end"/>
        </w:r>
      </w:hyperlink>
    </w:p>
    <w:p>
      <w:pPr>
        <w:pStyle w:val="TOC2"/>
        <w:tabs>
          <w:tab w:val="right" w:leader="dot" w:pos="8306"/>
        </w:tabs>
      </w:pPr>
      <w:hyperlink w:anchor="_Toc19475" w:history="1">
        <w:r>
          <w:rPr>
            <w:rFonts w:ascii="仿宋" w:eastAsia="仿宋" w:hAnsi="仿宋" w:cs="仿宋" w:hint="eastAsia"/>
            <w:lang w:eastAsia="zh-CN"/>
          </w:rPr>
          <w:t>(一)、国家免疫规划用疫苗项目总结与经验分享</w:t>
        </w:r>
        <w:r>
          <w:tab/>
        </w:r>
        <w:r>
          <w:fldChar w:fldCharType="begin"/>
        </w:r>
        <w:r>
          <w:instrText xml:space="preserve"> PAGEREF _Toc19475 \h </w:instrText>
        </w:r>
        <w:r>
          <w:fldChar w:fldCharType="separate"/>
        </w:r>
        <w:r>
          <w:t>19</w:t>
        </w:r>
        <w:r>
          <w:fldChar w:fldCharType="end"/>
        </w:r>
      </w:hyperlink>
    </w:p>
    <w:p>
      <w:pPr>
        <w:pStyle w:val="TOC2"/>
        <w:tabs>
          <w:tab w:val="right" w:leader="dot" w:pos="8306"/>
        </w:tabs>
      </w:pPr>
      <w:hyperlink w:anchor="_Toc16697" w:history="1">
        <w:r>
          <w:rPr>
            <w:rFonts w:ascii="仿宋" w:eastAsia="仿宋" w:hAnsi="仿宋" w:cs="仿宋" w:hint="eastAsia"/>
            <w:lang w:eastAsia="zh-CN"/>
          </w:rPr>
          <w:t>(二)、国家免疫规划用疫苗项目报告与归档</w:t>
        </w:r>
        <w:r>
          <w:tab/>
        </w:r>
        <w:r>
          <w:fldChar w:fldCharType="begin"/>
        </w:r>
        <w:r>
          <w:instrText xml:space="preserve"> PAGEREF _Toc16697 \h </w:instrText>
        </w:r>
        <w:r>
          <w:fldChar w:fldCharType="separate"/>
        </w:r>
        <w:r>
          <w:t>22</w:t>
        </w:r>
        <w:r>
          <w:fldChar w:fldCharType="end"/>
        </w:r>
      </w:hyperlink>
    </w:p>
    <w:p>
      <w:pPr>
        <w:pStyle w:val="TOC2"/>
        <w:tabs>
          <w:tab w:val="right" w:leader="dot" w:pos="8306"/>
        </w:tabs>
      </w:pPr>
      <w:hyperlink w:anchor="_Toc21681" w:history="1">
        <w:r>
          <w:rPr>
            <w:rFonts w:ascii="仿宋" w:eastAsia="仿宋" w:hAnsi="仿宋" w:cs="仿宋" w:hint="eastAsia"/>
            <w:lang w:eastAsia="zh-CN"/>
          </w:rPr>
          <w:t>(三)、国家免疫规划用疫苗项目收尾与结算</w:t>
        </w:r>
        <w:r>
          <w:tab/>
        </w:r>
        <w:r>
          <w:fldChar w:fldCharType="begin"/>
        </w:r>
        <w:r>
          <w:instrText xml:space="preserve"> PAGEREF _Toc21681 \h </w:instrText>
        </w:r>
        <w:r>
          <w:fldChar w:fldCharType="separate"/>
        </w:r>
        <w:r>
          <w:t>24</w:t>
        </w:r>
        <w:r>
          <w:fldChar w:fldCharType="end"/>
        </w:r>
      </w:hyperlink>
    </w:p>
    <w:p>
      <w:pPr>
        <w:pStyle w:val="TOC2"/>
        <w:tabs>
          <w:tab w:val="right" w:leader="dot" w:pos="8306"/>
        </w:tabs>
      </w:pPr>
      <w:hyperlink w:anchor="_Toc17660" w:history="1">
        <w:r>
          <w:rPr>
            <w:rFonts w:ascii="仿宋" w:eastAsia="仿宋" w:hAnsi="仿宋" w:cs="仿宋" w:hint="eastAsia"/>
            <w:lang w:eastAsia="zh-CN"/>
          </w:rPr>
          <w:t>(四)、团队人员调整与反馈</w:t>
        </w:r>
        <w:r>
          <w:tab/>
        </w:r>
        <w:r>
          <w:fldChar w:fldCharType="begin"/>
        </w:r>
        <w:r>
          <w:instrText xml:space="preserve"> PAGEREF _Toc17660 \h </w:instrText>
        </w:r>
        <w:r>
          <w:fldChar w:fldCharType="separate"/>
        </w:r>
        <w:r>
          <w:t>25</w:t>
        </w:r>
        <w:r>
          <w:fldChar w:fldCharType="end"/>
        </w:r>
      </w:hyperlink>
    </w:p>
    <w:p>
      <w:pPr>
        <w:pStyle w:val="TOC1"/>
        <w:tabs>
          <w:tab w:val="right" w:leader="dot" w:pos="8306"/>
        </w:tabs>
      </w:pPr>
      <w:hyperlink w:anchor="_Toc10680" w:history="1">
        <w:r>
          <w:rPr>
            <w:rFonts w:ascii="仿宋" w:eastAsia="仿宋" w:hAnsi="仿宋" w:cs="仿宋" w:hint="eastAsia"/>
            <w:lang w:eastAsia="zh-CN"/>
          </w:rPr>
          <w:t>七、质量管理与监督</w:t>
        </w:r>
        <w:r>
          <w:tab/>
        </w:r>
        <w:r>
          <w:fldChar w:fldCharType="begin"/>
        </w:r>
        <w:r>
          <w:instrText xml:space="preserve"> PAGEREF _Toc10680 \h </w:instrText>
        </w:r>
        <w:r>
          <w:fldChar w:fldCharType="separate"/>
        </w:r>
        <w:r>
          <w:t>26</w:t>
        </w:r>
        <w:r>
          <w:fldChar w:fldCharType="end"/>
        </w:r>
      </w:hyperlink>
    </w:p>
    <w:p>
      <w:pPr>
        <w:pStyle w:val="TOC2"/>
        <w:tabs>
          <w:tab w:val="right" w:leader="dot" w:pos="8306"/>
        </w:tabs>
      </w:pPr>
      <w:hyperlink w:anchor="_Toc31139" w:history="1">
        <w:r>
          <w:rPr>
            <w:rFonts w:ascii="仿宋" w:eastAsia="仿宋" w:hAnsi="仿宋" w:cs="仿宋" w:hint="eastAsia"/>
            <w:lang w:eastAsia="zh-CN"/>
          </w:rPr>
          <w:t>(一)、质量管理原则</w:t>
        </w:r>
        <w:r>
          <w:tab/>
        </w:r>
        <w:r>
          <w:fldChar w:fldCharType="begin"/>
        </w:r>
        <w:r>
          <w:instrText xml:space="preserve"> PAGEREF _Toc31139 \h </w:instrText>
        </w:r>
        <w:r>
          <w:fldChar w:fldCharType="separate"/>
        </w:r>
        <w:r>
          <w:t>26</w:t>
        </w:r>
        <w:r>
          <w:fldChar w:fldCharType="end"/>
        </w:r>
      </w:hyperlink>
    </w:p>
    <w:p>
      <w:pPr>
        <w:pStyle w:val="TOC2"/>
        <w:tabs>
          <w:tab w:val="right" w:leader="dot" w:pos="8306"/>
        </w:tabs>
      </w:pPr>
      <w:hyperlink w:anchor="_Toc29364" w:history="1">
        <w:r>
          <w:rPr>
            <w:rFonts w:ascii="仿宋" w:eastAsia="仿宋" w:hAnsi="仿宋" w:cs="仿宋" w:hint="eastAsia"/>
            <w:lang w:eastAsia="zh-CN"/>
          </w:rPr>
          <w:t>(二)、质量控制措施</w:t>
        </w:r>
        <w:r>
          <w:tab/>
        </w:r>
        <w:r>
          <w:fldChar w:fldCharType="begin"/>
        </w:r>
        <w:r>
          <w:instrText xml:space="preserve"> PAGEREF _Toc29364 \h </w:instrText>
        </w:r>
        <w:r>
          <w:fldChar w:fldCharType="separate"/>
        </w:r>
        <w:r>
          <w:t>28</w:t>
        </w:r>
        <w:r>
          <w:fldChar w:fldCharType="end"/>
        </w:r>
      </w:hyperlink>
    </w:p>
    <w:p>
      <w:pPr>
        <w:pStyle w:val="TOC2"/>
        <w:tabs>
          <w:tab w:val="right" w:leader="dot" w:pos="8306"/>
        </w:tabs>
      </w:pPr>
      <w:hyperlink w:anchor="_Toc25462" w:history="1">
        <w:r>
          <w:rPr>
            <w:rFonts w:ascii="仿宋" w:eastAsia="仿宋" w:hAnsi="仿宋" w:cs="仿宋" w:hint="eastAsia"/>
            <w:lang w:eastAsia="zh-CN"/>
          </w:rPr>
          <w:t>(三)、监督与评估机制</w:t>
        </w:r>
        <w:r>
          <w:tab/>
        </w:r>
        <w:r>
          <w:fldChar w:fldCharType="begin"/>
        </w:r>
        <w:r>
          <w:instrText xml:space="preserve"> PAGEREF _Toc25462 \h </w:instrText>
        </w:r>
        <w:r>
          <w:fldChar w:fldCharType="separate"/>
        </w:r>
        <w:r>
          <w:t>29</w:t>
        </w:r>
        <w:r>
          <w:fldChar w:fldCharType="end"/>
        </w:r>
      </w:hyperlink>
    </w:p>
    <w:p>
      <w:pPr>
        <w:pStyle w:val="TOC2"/>
        <w:tabs>
          <w:tab w:val="right" w:leader="dot" w:pos="8306"/>
        </w:tabs>
      </w:pPr>
      <w:hyperlink w:anchor="_Toc31227" w:history="1">
        <w:r>
          <w:rPr>
            <w:rFonts w:ascii="仿宋" w:eastAsia="仿宋" w:hAnsi="仿宋" w:cs="仿宋" w:hint="eastAsia"/>
            <w:lang w:eastAsia="zh-CN"/>
          </w:rPr>
          <w:t>(四)、持续改进与反馈</w:t>
        </w:r>
        <w:r>
          <w:tab/>
        </w:r>
        <w:r>
          <w:fldChar w:fldCharType="begin"/>
        </w:r>
        <w:r>
          <w:instrText xml:space="preserve"> PAGEREF _Toc31227 \h </w:instrText>
        </w:r>
        <w:r>
          <w:fldChar w:fldCharType="separate"/>
        </w:r>
        <w:r>
          <w:t>31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920" w:history="1">
        <w:r>
          <w:rPr>
            <w:rFonts w:ascii="仿宋" w:eastAsia="仿宋" w:hAnsi="仿宋" w:cs="仿宋" w:hint="eastAsia"/>
            <w:lang w:eastAsia="zh-CN"/>
          </w:rPr>
          <w:t>八、人员培训与发展</w:t>
        </w:r>
        <w:r>
          <w:tab/>
        </w:r>
        <w:r>
          <w:fldChar w:fldCharType="begin"/>
        </w:r>
        <w:r>
          <w:instrText xml:space="preserve"> PAGEREF _Toc17920 \h </w:instrText>
        </w:r>
        <w:r>
          <w:fldChar w:fldCharType="separate"/>
        </w:r>
        <w:r>
          <w:t>34</w:t>
        </w:r>
        <w:r>
          <w:fldChar w:fldCharType="end"/>
        </w:r>
      </w:hyperlink>
    </w:p>
    <w:p>
      <w:pPr>
        <w:pStyle w:val="TOC2"/>
        <w:tabs>
          <w:tab w:val="right" w:leader="dot" w:pos="8306"/>
        </w:tabs>
      </w:pPr>
      <w:hyperlink w:anchor="_Toc5478" w:history="1">
        <w:r>
          <w:rPr>
            <w:rFonts w:ascii="仿宋" w:eastAsia="仿宋" w:hAnsi="仿宋" w:cs="仿宋" w:hint="eastAsia"/>
            <w:lang w:eastAsia="zh-CN"/>
          </w:rPr>
          <w:t>(一)、培训需求分析</w:t>
        </w:r>
        <w:r>
          <w:tab/>
        </w:r>
        <w:r>
          <w:fldChar w:fldCharType="begin"/>
        </w:r>
        <w:r>
          <w:instrText xml:space="preserve"> PAGEREF _Toc5478 \h </w:instrText>
        </w:r>
        <w:r>
          <w:fldChar w:fldCharType="separate"/>
        </w:r>
        <w:r>
          <w:t>34</w:t>
        </w:r>
        <w:r>
          <w:fldChar w:fldCharType="end"/>
        </w:r>
      </w:hyperlink>
    </w:p>
    <w:p>
      <w:pPr>
        <w:pStyle w:val="TOC2"/>
        <w:tabs>
          <w:tab w:val="right" w:leader="dot" w:pos="8306"/>
        </w:tabs>
      </w:pPr>
      <w:hyperlink w:anchor="_Toc9790" w:history="1">
        <w:r>
          <w:rPr>
            <w:rFonts w:ascii="仿宋" w:eastAsia="仿宋" w:hAnsi="仿宋" w:cs="仿宋" w:hint="eastAsia"/>
            <w:lang w:eastAsia="zh-CN"/>
          </w:rPr>
          <w:t>(二)、培训计划制定</w:t>
        </w:r>
        <w:r>
          <w:tab/>
        </w:r>
        <w:r>
          <w:fldChar w:fldCharType="begin"/>
        </w:r>
        <w:r>
          <w:instrText xml:space="preserve"> PAGEREF _Toc9790 \h </w:instrText>
        </w:r>
        <w:r>
          <w:fldChar w:fldCharType="separate"/>
        </w:r>
        <w:r>
          <w:t>35</w:t>
        </w:r>
        <w:r>
          <w:fldChar w:fldCharType="end"/>
        </w:r>
      </w:hyperlink>
    </w:p>
    <w:p>
      <w:pPr>
        <w:pStyle w:val="TOC2"/>
        <w:tabs>
          <w:tab w:val="right" w:leader="dot" w:pos="8306"/>
        </w:tabs>
      </w:pPr>
      <w:hyperlink w:anchor="_Toc27212" w:history="1">
        <w:r>
          <w:rPr>
            <w:rFonts w:ascii="仿宋" w:eastAsia="仿宋" w:hAnsi="仿宋" w:cs="仿宋" w:hint="eastAsia"/>
            <w:lang w:eastAsia="zh-CN"/>
          </w:rPr>
          <w:t>(三)、培训执行与评估</w:t>
        </w:r>
        <w:r>
          <w:tab/>
        </w:r>
        <w:r>
          <w:fldChar w:fldCharType="begin"/>
        </w:r>
        <w:r>
          <w:instrText xml:space="preserve"> PAGEREF _Toc27212 \h </w:instrText>
        </w:r>
        <w:r>
          <w:fldChar w:fldCharType="separate"/>
        </w:r>
        <w:r>
          <w:t>36</w:t>
        </w:r>
        <w:r>
          <w:fldChar w:fldCharType="end"/>
        </w:r>
      </w:hyperlink>
    </w:p>
    <w:p>
      <w:pPr>
        <w:pStyle w:val="TOC2"/>
        <w:tabs>
          <w:tab w:val="right" w:leader="dot" w:pos="8306"/>
        </w:tabs>
      </w:pPr>
      <w:hyperlink w:anchor="_Toc8019" w:history="1">
        <w:r>
          <w:rPr>
            <w:rFonts w:ascii="仿宋" w:eastAsia="仿宋" w:hAnsi="仿宋" w:cs="仿宋" w:hint="eastAsia"/>
            <w:lang w:eastAsia="zh-CN"/>
          </w:rPr>
          <w:t>(四)、员工职业发展规划</w:t>
        </w:r>
        <w:r>
          <w:tab/>
        </w:r>
        <w:r>
          <w:fldChar w:fldCharType="begin"/>
        </w:r>
        <w:r>
          <w:instrText xml:space="preserve"> PAGEREF _Toc8019 \h </w:instrText>
        </w:r>
        <w:r>
          <w:fldChar w:fldCharType="separate"/>
        </w:r>
        <w:r>
          <w:t>37</w:t>
        </w:r>
        <w:r>
          <w:fldChar w:fldCharType="end"/>
        </w:r>
      </w:hyperlink>
    </w:p>
    <w:p>
      <w:pPr>
        <w:pStyle w:val="TOC1"/>
        <w:tabs>
          <w:tab w:val="right" w:leader="dot" w:pos="8306"/>
        </w:tabs>
      </w:pPr>
      <w:hyperlink w:anchor="_Toc3544" w:history="1">
        <w:r>
          <w:rPr>
            <w:rFonts w:ascii="仿宋" w:eastAsia="仿宋" w:hAnsi="仿宋" w:cs="仿宋" w:hint="eastAsia"/>
            <w:lang w:eastAsia="zh-CN"/>
          </w:rPr>
          <w:t>九、危机管理与应急响应</w:t>
        </w:r>
        <w:r>
          <w:tab/>
        </w:r>
        <w:r>
          <w:fldChar w:fldCharType="begin"/>
        </w:r>
        <w:r>
          <w:instrText xml:space="preserve"> PAGEREF _Toc3544 \h </w:instrText>
        </w:r>
        <w:r>
          <w:fldChar w:fldCharType="separate"/>
        </w:r>
        <w:r>
          <w:t>39</w:t>
        </w:r>
        <w:r>
          <w:fldChar w:fldCharType="end"/>
        </w:r>
      </w:hyperlink>
    </w:p>
    <w:p>
      <w:pPr>
        <w:pStyle w:val="TOC2"/>
        <w:tabs>
          <w:tab w:val="right" w:leader="dot" w:pos="8306"/>
        </w:tabs>
      </w:pPr>
      <w:hyperlink w:anchor="_Toc9712" w:history="1">
        <w:r>
          <w:rPr>
            <w:rFonts w:ascii="仿宋" w:eastAsia="仿宋" w:hAnsi="仿宋" w:cs="仿宋" w:hint="eastAsia"/>
            <w:lang w:eastAsia="zh-CN"/>
          </w:rPr>
          <w:t>(一)、危机预警机制</w:t>
        </w:r>
        <w:r>
          <w:tab/>
        </w:r>
        <w:r>
          <w:fldChar w:fldCharType="begin"/>
        </w:r>
        <w:r>
          <w:instrText xml:space="preserve"> PAGEREF _Toc9712 \h </w:instrText>
        </w:r>
        <w:r>
          <w:fldChar w:fldCharType="separate"/>
        </w:r>
        <w:r>
          <w:t>39</w:t>
        </w:r>
        <w:r>
          <w:fldChar w:fldCharType="end"/>
        </w:r>
      </w:hyperlink>
    </w:p>
    <w:p>
      <w:pPr>
        <w:pStyle w:val="TOC2"/>
        <w:tabs>
          <w:tab w:val="right" w:leader="dot" w:pos="8306"/>
        </w:tabs>
      </w:pPr>
      <w:hyperlink w:anchor="_Toc19811" w:history="1">
        <w:r>
          <w:rPr>
            <w:rFonts w:ascii="仿宋" w:eastAsia="仿宋" w:hAnsi="仿宋" w:cs="仿宋" w:hint="eastAsia"/>
            <w:lang w:eastAsia="zh-CN"/>
          </w:rPr>
          <w:t>(二)、应急预案与演练</w:t>
        </w:r>
        <w:r>
          <w:tab/>
        </w:r>
        <w:r>
          <w:fldChar w:fldCharType="begin"/>
        </w:r>
        <w:r>
          <w:instrText xml:space="preserve"> PAGEREF _Toc19811 \h </w:instrText>
        </w:r>
        <w:r>
          <w:fldChar w:fldCharType="separate"/>
        </w:r>
        <w:r>
          <w:t>40</w:t>
        </w:r>
        <w:r>
          <w:fldChar w:fldCharType="end"/>
        </w:r>
      </w:hyperlink>
    </w:p>
    <w:p>
      <w:pPr>
        <w:pStyle w:val="TOC2"/>
        <w:tabs>
          <w:tab w:val="right" w:leader="dot" w:pos="8306"/>
        </w:tabs>
      </w:pPr>
      <w:hyperlink w:anchor="_Toc30663" w:history="1">
        <w:r>
          <w:rPr>
            <w:rFonts w:ascii="仿宋" w:eastAsia="仿宋" w:hAnsi="仿宋" w:cs="仿宋" w:hint="eastAsia"/>
            <w:lang w:eastAsia="zh-CN"/>
          </w:rPr>
          <w:t>(三)、公关与舆情管理</w:t>
        </w:r>
        <w:r>
          <w:tab/>
        </w:r>
        <w:r>
          <w:fldChar w:fldCharType="begin"/>
        </w:r>
        <w:r>
          <w:instrText xml:space="preserve"> PAGEREF _Toc30663 \h </w:instrText>
        </w:r>
        <w:r>
          <w:fldChar w:fldCharType="separate"/>
        </w:r>
        <w:r>
          <w:t>42</w:t>
        </w:r>
        <w:r>
          <w:fldChar w:fldCharType="end"/>
        </w:r>
      </w:hyperlink>
    </w:p>
    <w:p>
      <w:pPr>
        <w:pStyle w:val="TOC2"/>
        <w:tabs>
          <w:tab w:val="right" w:leader="dot" w:pos="8306"/>
        </w:tabs>
      </w:pPr>
      <w:hyperlink w:anchor="_Toc1682" w:history="1">
        <w:r>
          <w:rPr>
            <w:rFonts w:ascii="仿宋" w:eastAsia="仿宋" w:hAnsi="仿宋" w:cs="仿宋" w:hint="eastAsia"/>
            <w:lang w:eastAsia="zh-CN"/>
          </w:rPr>
          <w:t>(四)、危机后期修复与改进</w:t>
        </w:r>
        <w:r>
          <w:tab/>
        </w:r>
        <w:r>
          <w:fldChar w:fldCharType="begin"/>
        </w:r>
        <w:r>
          <w:instrText xml:space="preserve"> PAGEREF _Toc1682 \h </w:instrText>
        </w:r>
        <w:r>
          <w:fldChar w:fldCharType="separate"/>
        </w:r>
        <w:r>
          <w:t>43</w:t>
        </w:r>
        <w:r>
          <w:fldChar w:fldCharType="end"/>
        </w:r>
      </w:hyperlink>
    </w:p>
    <w:p>
      <w:pPr>
        <w:pStyle w:val="TOC1"/>
        <w:tabs>
          <w:tab w:val="right" w:leader="dot" w:pos="8306"/>
        </w:tabs>
      </w:pPr>
      <w:hyperlink w:anchor="_Toc8129" w:history="1">
        <w:r>
          <w:rPr>
            <w:rFonts w:ascii="仿宋" w:eastAsia="仿宋" w:hAnsi="仿宋" w:cs="仿宋" w:hint="eastAsia"/>
            <w:lang w:eastAsia="zh-CN"/>
          </w:rPr>
          <w:t>十、合规与风险管理</w:t>
        </w:r>
        <w:r>
          <w:tab/>
        </w:r>
        <w:r>
          <w:fldChar w:fldCharType="begin"/>
        </w:r>
        <w:r>
          <w:instrText xml:space="preserve"> PAGEREF _Toc8129 \h </w:instrText>
        </w:r>
        <w:r>
          <w:fldChar w:fldCharType="separate"/>
        </w:r>
        <w:r>
          <w:t>45</w:t>
        </w:r>
        <w:r>
          <w:fldChar w:fldCharType="end"/>
        </w:r>
      </w:hyperlink>
    </w:p>
    <w:p>
      <w:pPr>
        <w:pStyle w:val="TOC2"/>
        <w:tabs>
          <w:tab w:val="right" w:leader="dot" w:pos="8306"/>
        </w:tabs>
      </w:pPr>
      <w:hyperlink w:anchor="_Toc30000" w:history="1">
        <w:r>
          <w:rPr>
            <w:rFonts w:ascii="仿宋" w:eastAsia="仿宋" w:hAnsi="仿宋" w:cs="仿宋" w:hint="eastAsia"/>
            <w:lang w:eastAsia="zh-CN"/>
          </w:rPr>
          <w:t>(一)、法律法规合规体系</w:t>
        </w:r>
        <w:r>
          <w:tab/>
        </w:r>
        <w:r>
          <w:fldChar w:fldCharType="begin"/>
        </w:r>
        <w:r>
          <w:instrText xml:space="preserve"> PAGEREF _Toc30000 \h </w:instrText>
        </w:r>
        <w:r>
          <w:fldChar w:fldCharType="separate"/>
        </w:r>
        <w:r>
          <w:t>45</w:t>
        </w:r>
        <w:r>
          <w:fldChar w:fldCharType="end"/>
        </w:r>
      </w:hyperlink>
    </w:p>
    <w:p>
      <w:pPr>
        <w:pStyle w:val="TOC2"/>
        <w:tabs>
          <w:tab w:val="right" w:leader="dot" w:pos="8306"/>
        </w:tabs>
      </w:pPr>
      <w:hyperlink w:anchor="_Toc31962" w:history="1">
        <w:r>
          <w:rPr>
            <w:rFonts w:ascii="仿宋" w:eastAsia="仿宋" w:hAnsi="仿宋" w:cs="仿宋" w:hint="eastAsia"/>
            <w:lang w:eastAsia="zh-CN"/>
          </w:rPr>
          <w:t>(二)、内部控制与风险评估</w:t>
        </w:r>
        <w:r>
          <w:tab/>
        </w:r>
        <w:r>
          <w:fldChar w:fldCharType="begin"/>
        </w:r>
        <w:r>
          <w:instrText xml:space="preserve"> PAGEREF _Toc31962 \h </w:instrText>
        </w:r>
        <w:r>
          <w:fldChar w:fldCharType="separate"/>
        </w:r>
        <w:r>
          <w:t>46</w:t>
        </w:r>
        <w:r>
          <w:fldChar w:fldCharType="end"/>
        </w:r>
      </w:hyperlink>
    </w:p>
    <w:p>
      <w:pPr>
        <w:pStyle w:val="TOC2"/>
        <w:tabs>
          <w:tab w:val="right" w:leader="dot" w:pos="8306"/>
        </w:tabs>
      </w:pPr>
      <w:hyperlink w:anchor="_Toc19753" w:history="1">
        <w:r>
          <w:rPr>
            <w:rFonts w:ascii="仿宋" w:eastAsia="仿宋" w:hAnsi="仿宋" w:cs="仿宋" w:hint="eastAsia"/>
            <w:lang w:eastAsia="zh-CN"/>
          </w:rPr>
          <w:t>(三)、合规培训与执行</w:t>
        </w:r>
        <w:r>
          <w:tab/>
        </w:r>
        <w:r>
          <w:fldChar w:fldCharType="begin"/>
        </w:r>
        <w:r>
          <w:instrText xml:space="preserve"> PAGEREF _Toc19753 \h </w:instrText>
        </w:r>
        <w:r>
          <w:fldChar w:fldCharType="separate"/>
        </w:r>
        <w:r>
          <w:t>47</w:t>
        </w:r>
        <w:r>
          <w:fldChar w:fldCharType="end"/>
        </w:r>
      </w:hyperlink>
    </w:p>
    <w:p>
      <w:pPr>
        <w:pStyle w:val="TOC2"/>
        <w:tabs>
          <w:tab w:val="right" w:leader="dot" w:pos="8306"/>
        </w:tabs>
      </w:pPr>
      <w:hyperlink w:anchor="_Toc26819" w:history="1">
        <w:r>
          <w:rPr>
            <w:rFonts w:ascii="仿宋" w:eastAsia="仿宋" w:hAnsi="仿宋" w:cs="仿宋" w:hint="eastAsia"/>
            <w:lang w:eastAsia="zh-CN"/>
          </w:rPr>
          <w:t>(四)、合规监测与修正机制</w:t>
        </w:r>
        <w:r>
          <w:tab/>
        </w:r>
        <w:r>
          <w:fldChar w:fldCharType="begin"/>
        </w:r>
        <w:r>
          <w:instrText xml:space="preserve"> PAGEREF _Toc26819 \h </w:instrText>
        </w:r>
        <w:r>
          <w:fldChar w:fldCharType="separate"/>
        </w:r>
        <w:r>
          <w:t>49</w:t>
        </w:r>
        <w:r>
          <w:fldChar w:fldCharType="end"/>
        </w:r>
      </w:hyperlink>
    </w:p>
    <w:p>
      <w:pPr>
        <w:pStyle w:val="TOC1"/>
        <w:tabs>
          <w:tab w:val="right" w:leader="dot" w:pos="8306"/>
        </w:tabs>
      </w:pPr>
      <w:hyperlink w:anchor="_Toc26897" w:history="1">
        <w:r>
          <w:rPr>
            <w:rFonts w:ascii="仿宋" w:eastAsia="仿宋" w:hAnsi="仿宋" w:cs="仿宋" w:hint="eastAsia"/>
            <w:lang w:eastAsia="zh-CN"/>
          </w:rPr>
          <w:t>十一、员工福利与团队建设</w:t>
        </w:r>
        <w:r>
          <w:tab/>
        </w:r>
        <w:r>
          <w:fldChar w:fldCharType="begin"/>
        </w:r>
        <w:r>
          <w:instrText xml:space="preserve"> PAGEREF _Toc26897 \h </w:instrText>
        </w:r>
        <w:r>
          <w:fldChar w:fldCharType="separate"/>
        </w:r>
        <w:r>
          <w:t>51</w:t>
        </w:r>
        <w:r>
          <w:fldChar w:fldCharType="end"/>
        </w:r>
      </w:hyperlink>
    </w:p>
    <w:p>
      <w:pPr>
        <w:pStyle w:val="TOC2"/>
        <w:tabs>
          <w:tab w:val="right" w:leader="dot" w:pos="8306"/>
        </w:tabs>
      </w:pPr>
      <w:hyperlink w:anchor="_Toc17601" w:history="1">
        <w:r>
          <w:rPr>
            <w:rFonts w:ascii="仿宋" w:eastAsia="仿宋" w:hAnsi="仿宋" w:cs="仿宋" w:hint="eastAsia"/>
            <w:lang w:eastAsia="zh-CN"/>
          </w:rPr>
          <w:t>(一)、员工福利政策制定</w:t>
        </w:r>
        <w:r>
          <w:tab/>
        </w:r>
        <w:r>
          <w:fldChar w:fldCharType="begin"/>
        </w:r>
        <w:r>
          <w:instrText xml:space="preserve"> PAGEREF _Toc17601 \h </w:instrText>
        </w:r>
        <w:r>
          <w:fldChar w:fldCharType="separate"/>
        </w:r>
        <w:r>
          <w:t>51</w:t>
        </w:r>
        <w:r>
          <w:fldChar w:fldCharType="end"/>
        </w:r>
      </w:hyperlink>
    </w:p>
    <w:p>
      <w:pPr>
        <w:pStyle w:val="TOC2"/>
        <w:tabs>
          <w:tab w:val="right" w:leader="dot" w:pos="8306"/>
        </w:tabs>
      </w:pPr>
      <w:hyperlink w:anchor="_Toc23060" w:history="1">
        <w:r>
          <w:rPr>
            <w:rFonts w:ascii="仿宋" w:eastAsia="仿宋" w:hAnsi="仿宋" w:cs="仿宋" w:hint="eastAsia"/>
            <w:lang w:eastAsia="zh-CN"/>
          </w:rPr>
          <w:t>(二)、团队建设活动规划</w:t>
        </w:r>
        <w:r>
          <w:tab/>
        </w:r>
        <w:r>
          <w:fldChar w:fldCharType="begin"/>
        </w:r>
        <w:r>
          <w:instrText xml:space="preserve"> PAGEREF _Toc23060 \h </w:instrText>
        </w:r>
        <w:r>
          <w:fldChar w:fldCharType="separate"/>
        </w:r>
        <w:r>
          <w:t>52</w:t>
        </w:r>
        <w:r>
          <w:fldChar w:fldCharType="end"/>
        </w:r>
      </w:hyperlink>
    </w:p>
    <w:p>
      <w:pPr>
        <w:pStyle w:val="TOC2"/>
        <w:tabs>
          <w:tab w:val="right" w:leader="dot" w:pos="8306"/>
        </w:tabs>
      </w:pPr>
      <w:hyperlink w:anchor="_Toc9829" w:history="1">
        <w:r>
          <w:rPr>
            <w:rFonts w:ascii="仿宋" w:eastAsia="仿宋" w:hAnsi="仿宋" w:cs="仿宋" w:hint="eastAsia"/>
            <w:lang w:eastAsia="zh-CN"/>
          </w:rPr>
          <w:t>(三)、员工关怀与激励措施</w:t>
        </w:r>
        <w:r>
          <w:tab/>
        </w:r>
        <w:r>
          <w:fldChar w:fldCharType="begin"/>
        </w:r>
        <w:r>
          <w:instrText xml:space="preserve"> PAGEREF _Toc9829 \h </w:instrText>
        </w:r>
        <w:r>
          <w:fldChar w:fldCharType="separate"/>
        </w:r>
        <w:r>
          <w:t>52</w:t>
        </w:r>
        <w:r>
          <w:fldChar w:fldCharType="end"/>
        </w:r>
      </w:hyperlink>
    </w:p>
    <w:p>
      <w:pPr>
        <w:pStyle w:val="TOC2"/>
        <w:tabs>
          <w:tab w:val="right" w:leader="dot" w:pos="8306"/>
        </w:tabs>
      </w:pPr>
      <w:hyperlink w:anchor="_Toc19528" w:history="1">
        <w:r>
          <w:rPr>
            <w:rFonts w:ascii="仿宋" w:eastAsia="仿宋" w:hAnsi="仿宋" w:cs="仿宋" w:hint="eastAsia"/>
            <w:lang w:eastAsia="zh-CN"/>
          </w:rPr>
          <w:t>(四)、团队文化与价值观塑造</w:t>
        </w:r>
        <w:r>
          <w:tab/>
        </w:r>
        <w:r>
          <w:fldChar w:fldCharType="begin"/>
        </w:r>
        <w:r>
          <w:instrText xml:space="preserve"> PAGEREF _Toc19528 \h </w:instrText>
        </w:r>
        <w:r>
          <w:fldChar w:fldCharType="separate"/>
        </w:r>
        <w:r>
          <w:t>54</w:t>
        </w:r>
        <w:r>
          <w:fldChar w:fldCharType="end"/>
        </w:r>
      </w:hyperlink>
    </w:p>
    <w:p>
      <w:pPr>
        <w:pStyle w:val="TOC1"/>
        <w:tabs>
          <w:tab w:val="right" w:leader="dot" w:pos="8306"/>
        </w:tabs>
      </w:pPr>
      <w:hyperlink w:anchor="_Toc27400" w:history="1">
        <w:r>
          <w:rPr>
            <w:rFonts w:ascii="仿宋" w:eastAsia="仿宋" w:hAnsi="仿宋" w:cs="仿宋" w:hint="eastAsia"/>
            <w:lang w:eastAsia="zh-CN"/>
          </w:rPr>
          <w:t>十二、资源有效利用与节能减排</w:t>
        </w:r>
        <w:r>
          <w:tab/>
        </w:r>
        <w:r>
          <w:fldChar w:fldCharType="begin"/>
        </w:r>
        <w:r>
          <w:instrText xml:space="preserve"> PAGEREF _Toc27400 \h </w:instrText>
        </w:r>
        <w:r>
          <w:fldChar w:fldCharType="separate"/>
        </w:r>
        <w:r>
          <w:t>55</w:t>
        </w:r>
        <w:r>
          <w:fldChar w:fldCharType="end"/>
        </w:r>
      </w:hyperlink>
    </w:p>
    <w:p>
      <w:pPr>
        <w:pStyle w:val="TOC2"/>
        <w:tabs>
          <w:tab w:val="right" w:leader="dot" w:pos="8306"/>
        </w:tabs>
      </w:pPr>
      <w:hyperlink w:anchor="_Toc2747" w:history="1">
        <w:r>
          <w:rPr>
            <w:rFonts w:ascii="仿宋" w:eastAsia="仿宋" w:hAnsi="仿宋" w:cs="仿宋" w:hint="eastAsia"/>
            <w:lang w:eastAsia="zh-CN"/>
          </w:rPr>
          <w:t>(一)、资源有效利用策略</w:t>
        </w:r>
        <w:r>
          <w:tab/>
        </w:r>
        <w:r>
          <w:fldChar w:fldCharType="begin"/>
        </w:r>
        <w:r>
          <w:instrText xml:space="preserve"> PAGEREF _Toc2747 \h </w:instrText>
        </w:r>
        <w:r>
          <w:fldChar w:fldCharType="separate"/>
        </w:r>
        <w:r>
          <w:t>55</w:t>
        </w:r>
        <w:r>
          <w:fldChar w:fldCharType="end"/>
        </w:r>
      </w:hyperlink>
    </w:p>
    <w:p>
      <w:pPr>
        <w:pStyle w:val="TOC2"/>
        <w:tabs>
          <w:tab w:val="right" w:leader="dot" w:pos="8306"/>
        </w:tabs>
      </w:pPr>
      <w:hyperlink w:anchor="_Toc28729" w:history="1">
        <w:r>
          <w:rPr>
            <w:rFonts w:ascii="仿宋" w:eastAsia="仿宋" w:hAnsi="仿宋" w:cs="仿宋" w:hint="eastAsia"/>
            <w:lang w:eastAsia="zh-CN"/>
          </w:rPr>
          <w:t>(二)、节能措施与技术应用</w:t>
        </w:r>
        <w:r>
          <w:tab/>
        </w:r>
        <w:r>
          <w:fldChar w:fldCharType="begin"/>
        </w:r>
        <w:r>
          <w:instrText xml:space="preserve"> PAGEREF _Toc28729 \h </w:instrText>
        </w:r>
        <w:r>
          <w:fldChar w:fldCharType="separate"/>
        </w:r>
        <w:r>
          <w:t>56</w:t>
        </w:r>
        <w:r>
          <w:fldChar w:fldCharType="end"/>
        </w:r>
      </w:hyperlink>
    </w:p>
    <w:p>
      <w:pPr>
        <w:pStyle w:val="TOC2"/>
        <w:tabs>
          <w:tab w:val="right" w:leader="dot" w:pos="8306"/>
        </w:tabs>
      </w:pPr>
      <w:hyperlink w:anchor="_Toc2220" w:history="1">
        <w:r>
          <w:rPr>
            <w:rFonts w:ascii="仿宋" w:eastAsia="仿宋" w:hAnsi="仿宋" w:cs="仿宋" w:hint="eastAsia"/>
            <w:lang w:eastAsia="zh-CN"/>
          </w:rPr>
          <w:t>(三)、减少排放与废弃物管理</w:t>
        </w:r>
        <w:r>
          <w:tab/>
        </w:r>
        <w:r>
          <w:fldChar w:fldCharType="begin"/>
        </w:r>
        <w:r>
          <w:instrText xml:space="preserve"> PAGEREF _Toc2220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52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随着全球市场一体化步伐的加快，跨界合作已经成为推动企业发展新趋势。本文档编制之初，即依据双方各自的市场定位、资源能力及未来发展规划，以期达成共识，并深入分析项目的可行性及潜在增值空间。本文档将详细论述合作双方的职责分工、合作流程以及期望成果，其内容和数据均不得用于商业目的，仅供学习和交流之用。我们期待以本计划书为基础，搭建一个稳定可靠的项目合作平台，共创双方利益的最大化。</w:t>
      </w:r>
    </w:p>
    <w:p>
      <w:pPr>
        <w:pStyle w:val="Heading1"/>
        <w:ind w:firstLine="560" w:firstLineChars="200"/>
        <w:rPr>
          <w:rFonts w:ascii="仿宋" w:eastAsia="仿宋" w:hAnsi="仿宋" w:cs="仿宋" w:hint="eastAsia"/>
          <w:sz w:val="28"/>
          <w:lang w:eastAsia="zh-CN"/>
        </w:rPr>
      </w:pPr>
      <w:bookmarkStart w:id="2" w:name="_Toc12908"/>
      <w:r>
        <w:rPr>
          <w:rFonts w:ascii="仿宋" w:eastAsia="仿宋" w:hAnsi="仿宋" w:cs="仿宋" w:hint="eastAsia"/>
          <w:sz w:val="28"/>
          <w:lang w:eastAsia="zh-CN"/>
        </w:rPr>
        <w:t>一、背景和必要性研究</w:t>
      </w:r>
      <w:bookmarkEnd w:id="2"/>
    </w:p>
    <w:p>
      <w:pPr>
        <w:pStyle w:val="Heading2"/>
        <w:rPr>
          <w:rFonts w:ascii="仿宋" w:eastAsia="仿宋" w:hAnsi="仿宋" w:cs="仿宋" w:hint="eastAsia"/>
          <w:lang w:eastAsia="zh-CN"/>
        </w:rPr>
      </w:pPr>
      <w:bookmarkStart w:id="3" w:name="_Toc9593"/>
      <w:r>
        <w:rPr>
          <w:rFonts w:ascii="仿宋" w:eastAsia="仿宋" w:hAnsi="仿宋" w:cs="仿宋" w:hint="eastAsia"/>
          <w:lang w:eastAsia="zh-CN"/>
        </w:rPr>
        <w:t>(一)、国家免疫规划用疫苗项目承办单位背景分析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本公司秉持以人为本的企业管理理念，核心文化理念强调正直、负责、关心他人，并以此为指引，谋求新的突破，创造新的辉煌。我们热烈欢迎社会各界人士垂询合作。公司以科技创新为引擎，设立了先进的技术中心，搭建了完备的科技创新框架。通过自主研发、技术合作和引进消化吸收等途径，不断推动产品技术水平的提升。公司在国内处于主导产品质量和生产工艺的领先地位，拥有显著的竞争优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一直致力于创新发展，近年来持续增加研发投入，成立了企业技术研发中心，与国内多家高校和科研机构建立了长期合作关系，实现了产学研的有机结合。在新产品开发和生产技术水平方面，公司已经达到了国内同行业的领先水平。公司管理团队优秀高效，员工素质较高，目前在职员工约有XXX人，其中XXX%以上为技术和管理人员，XX%以上的员工具备本科以上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公司近年来的快速发展，业务规模和人员规模迅速扩大，企业规模将会进一步提升。自动化产线和信息化水平也将有望迎来更大的提升，这将要求公司的管理流程不断调整和改进，同时也需要公司的管理团队不断提升管理水平。为了保障研发团队的稳定性并提升技术创新能力，公司在研发投入、技术人员激励等方面采取了多项行之有效的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自成立以来一直秉持“诚信创新、科学高效、持续改进、顾客满意”的质量方针，将产品质量控制贯穿研发、采购、生产、仓储、销售、服务等整个流程。公司依靠先进的生产、检测设备和品质管理系统，确保了品质的稳定性，赢得了客户的好评。</w:t>
      </w:r>
    </w:p>
    <w:p>
      <w:pPr>
        <w:pStyle w:val="Heading2"/>
        <w:ind w:firstLine="560" w:firstLineChars="200"/>
        <w:rPr>
          <w:rFonts w:ascii="仿宋" w:eastAsia="仿宋" w:hAnsi="仿宋" w:cs="仿宋" w:hint="eastAsia"/>
          <w:sz w:val="28"/>
          <w:lang w:eastAsia="zh-CN"/>
        </w:rPr>
      </w:pPr>
      <w:bookmarkStart w:id="4" w:name="_Toc17286"/>
      <w:r>
        <w:rPr>
          <w:rFonts w:ascii="仿宋" w:eastAsia="仿宋" w:hAnsi="仿宋" w:cs="仿宋" w:hint="eastAsia"/>
          <w:sz w:val="28"/>
          <w:lang w:eastAsia="zh-CN"/>
        </w:rPr>
        <w:t>(二)、国家免疫规划用疫苗项目背景分析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公司所处的背景中，市场竞争愈发激烈，行业发展动态日新月异。在这样的大环境下，我们秉持着以人为本的管理理念，致力于提升技术水平，强化产品创新力，以迎接市场的变革和挑战。通过不断加大研发投入，我们已经建立了一支高效稳定的技术团队，使公司在行业中处于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公司在业务规模和人员规模的扩张过程中，不仅将企业规模推向一个新的高度，更为自动化和信息化的产线奠定了坚实基础。这也促使了公司在管理流程和团队管理方面进行不断的调整和提升。我们坚信，一个高效透明的管理体系和更为专业的管理团队将是公司持续健康发展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业结构、技术水平和组织结构的不断调整优化中，公司在国内市场赢得了良好的声誉，为进一步推动示范园区的经济发展贡献了力量。国家免疫规划用疫苗项目的启动和实施将为公司带来更多的发展机遇，同时也将对示范园区产业的升级和结构的调整起到积极的推动作用。在市场风云变幻的大背景下，公司正以饱满的热情和务实的态度，迎接新一轮的挑战。</w:t>
      </w:r>
    </w:p>
    <w:p>
      <w:pPr>
        <w:pStyle w:val="Heading1"/>
        <w:ind w:firstLine="560" w:firstLineChars="200"/>
        <w:rPr>
          <w:rFonts w:ascii="仿宋" w:eastAsia="仿宋" w:hAnsi="仿宋" w:cs="仿宋" w:hint="eastAsia"/>
          <w:sz w:val="28"/>
          <w:lang w:eastAsia="zh-CN"/>
        </w:rPr>
      </w:pPr>
      <w:bookmarkStart w:id="5" w:name="_Toc16757"/>
      <w:r>
        <w:rPr>
          <w:rFonts w:ascii="仿宋" w:eastAsia="仿宋" w:hAnsi="仿宋" w:cs="仿宋" w:hint="eastAsia"/>
          <w:sz w:val="28"/>
          <w:lang w:eastAsia="zh-CN"/>
        </w:rPr>
        <w:t>二、工艺先进性</w:t>
      </w:r>
      <w:bookmarkEnd w:id="5"/>
    </w:p>
    <w:p>
      <w:pPr>
        <w:pStyle w:val="Heading2"/>
        <w:rPr>
          <w:rFonts w:ascii="仿宋" w:eastAsia="仿宋" w:hAnsi="仿宋" w:cs="仿宋" w:hint="eastAsia"/>
          <w:lang w:eastAsia="zh-CN"/>
        </w:rPr>
      </w:pPr>
      <w:bookmarkStart w:id="6" w:name="_Toc18009"/>
      <w:r>
        <w:rPr>
          <w:rFonts w:ascii="仿宋" w:eastAsia="仿宋" w:hAnsi="仿宋" w:cs="仿宋" w:hint="eastAsia"/>
          <w:lang w:eastAsia="zh-CN"/>
        </w:rPr>
        <w:t>(一)、国家免疫规划用疫苗项目建设期的原辅材料保障</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XX国家免疫规划用疫苗项目在施工期间的原辅材料采购主要涵盖以下几个方面：钢材、木材、水泥以及各种建筑和装饰材料。国家免疫规划用疫苗项目所在地周边市场拥有丰富的供应资源，有多家供货厂家和商户，能够满足国家免疫规划用疫苗项目建设期间的原辅材料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其中，钢材是国家免疫规划用疫苗项目施工不可或缺的主要材料之一，涵盖结构钢、型钢等多个种类，市场上存在多家专业生产厂家，提供了多样化的选择。木材作为建筑和装饰的重要原材料，周边供应商可提供各类木材品种，以满足国家免疫规划用疫苗项目的具体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水泥是建筑施工中的基础材料，国家免疫规划用疫苗项目所在地区有多家水泥生产厂家，保障了国家免疫规划用疫苗项目对水泥的供应。此外，各种建筑及装饰材料，如砖瓦、涂料、地板等，也能在周边市场找到丰富的品种和供应商，确保国家免疫规划用疫苗项目在施工过程中有足够的选择空间。</w:t>
      </w:r>
    </w:p>
    <w:p>
      <w:pPr>
        <w:pStyle w:val="Heading2"/>
        <w:ind w:firstLine="560" w:firstLineChars="200"/>
        <w:rPr>
          <w:rFonts w:ascii="仿宋" w:eastAsia="仿宋" w:hAnsi="仿宋" w:cs="仿宋" w:hint="eastAsia"/>
          <w:sz w:val="28"/>
          <w:lang w:eastAsia="zh-CN"/>
        </w:rPr>
      </w:pPr>
      <w:bookmarkStart w:id="7" w:name="_Toc26313"/>
      <w:r>
        <w:rPr>
          <w:rFonts w:ascii="仿宋" w:eastAsia="仿宋" w:hAnsi="仿宋" w:cs="仿宋" w:hint="eastAsia"/>
          <w:sz w:val="28"/>
          <w:lang w:eastAsia="zh-CN"/>
        </w:rPr>
        <w:t>(二)、国家免疫规划用疫苗项目运营期的原辅材料采购与管理</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在国家免疫规划用疫苗项目运营期，原辅材料的采购及管理是确保生产顺利进行和产品质量稳定的关键环节。以下是对该方面的运营策略：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分类仓库贮存：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成品及包装材料将分别储存在各分类仓库内，实现合理分区，便于物料管理和快速取料。</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仓库的设计应考虑不同物品的存储条件，如温湿度要求，确保物料贮存环境符合标准。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建立责任体系：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设立明确的责任体系，明确各仓库管理人员的职责和权限，确保每位管理人员能够有效地负责所管辖仓库的物料管理。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实施定期培训，提升管理人员对物料存储、保管和出入库流程的专业水平。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3. 保障存放安全：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引入现代化安防系统，确保仓库存放安全，包括视频监控、入侵报警系统等。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建立定期巡检和维护机制，确保仓库设施设备的正常运行，提高存放安全性。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IS09000 质量管理体系：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国家免疫规划用疫苗项目承办单位将建立健全IS09000质量管理和质量保证体系，确保物料的质量控制和管理符合国际标准。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引入先进的检验手段，包括质检设备和检测技术，以保障原辅材料的质量和符合产品生产的要求。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稳定可靠的原料来源：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国家免疫规划用疫苗项目在建设时应确保原料来源的稳定可靠，建立长期合作关系，确保建成后原料的质量和连续供应。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开展供应商评估和管理，以确保供应商的质量体系和交货准时性。</w:t>
      </w:r>
    </w:p>
    <w:p>
      <w:pPr>
        <w:pStyle w:val="Heading2"/>
        <w:ind w:firstLine="560" w:firstLineChars="200"/>
        <w:rPr>
          <w:rFonts w:ascii="仿宋" w:eastAsia="仿宋" w:hAnsi="仿宋" w:cs="仿宋" w:hint="eastAsia"/>
          <w:sz w:val="28"/>
          <w:lang w:eastAsia="zh-CN"/>
        </w:rPr>
      </w:pPr>
      <w:bookmarkStart w:id="8" w:name="_Toc13969"/>
      <w:r>
        <w:rPr>
          <w:rFonts w:ascii="仿宋" w:eastAsia="仿宋" w:hAnsi="仿宋" w:cs="仿宋" w:hint="eastAsia"/>
          <w:sz w:val="28"/>
          <w:lang w:eastAsia="zh-CN"/>
        </w:rPr>
        <w:t>(三)、技术管理的独特特色</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在国家免疫规划用疫苗项目建设和实施阶段，我们将严格遵循环境保护和安全生产的“三同时”原则，全面贯彻环境保护、职业安全卫生、消防及节能等法律法规和相关措施。关键要求如下：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环境保护要求：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制定并执行符合环保法规的排放标准，确保国家免疫规划用疫苗项目不对周边环境造成污染。</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引入清洁生产工艺，降低排放物和废弃物的产生，最大程度减轻对生态环境的压力。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职业安全卫生：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设立职业安全卫生管理体系，确保工作场所符合卫生标准，员工的职业健康得到保障。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提供必要的职业安全培训，确保员工熟悉并遵守安全操作规程，预防职业伤害。</w:t>
      </w:r>
    </w:p>
    <w:p>
      <w:pPr>
        <w:ind w:firstLine="560" w:firstLineChars="200"/>
        <w:rPr>
          <w:rFonts w:ascii="仿宋" w:eastAsia="仿宋" w:hAnsi="仿宋" w:cs="仿宋" w:hint="eastAsia"/>
          <w:sz w:val="28"/>
        </w:rPr>
      </w:pPr>
      <w:r>
        <w:rPr>
          <w:rFonts w:ascii="仿宋" w:eastAsia="仿宋" w:hAnsi="仿宋" w:cs="仿宋" w:hint="eastAsia"/>
          <w:sz w:val="28"/>
          <w:lang w:eastAsia="zh-CN"/>
        </w:rPr>
        <w:t>3. 消防安全：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采用先进的消防设备，建立健全的消防安全系统，确保一旦发生火灾能够迅速控制和扑灭。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定期进行消防演练，提高员工的火灾应急处理能力，确保人员安全撤离。</w:t>
      </w:r>
    </w:p>
    <w:p>
      <w:pPr>
        <w:ind w:firstLine="560" w:firstLineChars="200"/>
        <w:rPr>
          <w:rFonts w:ascii="仿宋" w:eastAsia="仿宋" w:hAnsi="仿宋" w:cs="仿宋" w:hint="eastAsia"/>
          <w:sz w:val="28"/>
        </w:rPr>
      </w:pPr>
      <w:r>
        <w:rPr>
          <w:rFonts w:ascii="仿宋" w:eastAsia="仿宋" w:hAnsi="仿宋" w:cs="仿宋" w:hint="eastAsia"/>
          <w:sz w:val="28"/>
          <w:lang w:eastAsia="zh-CN"/>
        </w:rPr>
        <w:t>4. 节能措施：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采用先进的节能设施，降低能源消耗，提高生产效益。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实施定期的能耗评估，优化生产流程，确保国家免疫规划用疫苗项目运行成本最低化。</w:t>
      </w:r>
    </w:p>
    <w:p>
      <w:pPr>
        <w:ind w:firstLine="560" w:firstLineChars="200"/>
        <w:rPr>
          <w:rFonts w:ascii="仿宋" w:eastAsia="仿宋" w:hAnsi="仿宋" w:cs="仿宋" w:hint="eastAsia"/>
          <w:sz w:val="28"/>
        </w:rPr>
      </w:pPr>
      <w:r>
        <w:rPr>
          <w:rFonts w:ascii="仿宋" w:eastAsia="仿宋" w:hAnsi="仿宋" w:cs="仿宋" w:hint="eastAsia"/>
          <w:sz w:val="28"/>
          <w:lang w:eastAsia="zh-CN"/>
        </w:rPr>
        <w:t>二、国家免疫规划用疫苗项目技术优势分析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投资国家免疫规划用疫苗项目具备明显的技术优势，主要体现在以下方面：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先进的节能设施：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国家免疫规划用疫苗项目采用先进的节能设施，具备多规格产品转换能力，灵活适应市场需求，运行成本相对较低。</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良好的技术适应性：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投资国家免疫规划用疫苗项目所采用的技术与国内资源条件相适应，具有良好的技术适应性。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技术工艺路线简洁，能够适应国内主要原材料的特性，有利于流程控制和设备操作。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技术成熟和可靠性：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国家免疫规划用疫苗项目采用的技术工艺路线在国内生产实践中已经得到验证，证明技术成熟可行。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技术支援条件良好，具备较强的可靠性，有助于确保国家免疫规划用疫苗项目的平稳运行和高效生产。</w:t>
      </w:r>
    </w:p>
    <w:p>
      <w:pPr>
        <w:pStyle w:val="Heading2"/>
        <w:ind w:firstLine="560" w:firstLineChars="200"/>
        <w:rPr>
          <w:rFonts w:ascii="仿宋" w:eastAsia="仿宋" w:hAnsi="仿宋" w:cs="仿宋" w:hint="eastAsia"/>
          <w:sz w:val="28"/>
          <w:lang w:eastAsia="zh-CN"/>
        </w:rPr>
      </w:pPr>
      <w:bookmarkStart w:id="9" w:name="_Toc14495"/>
      <w:r>
        <w:rPr>
          <w:rFonts w:ascii="仿宋" w:eastAsia="仿宋" w:hAnsi="仿宋" w:cs="仿宋" w:hint="eastAsia"/>
          <w:sz w:val="28"/>
          <w:lang w:eastAsia="zh-CN"/>
        </w:rPr>
        <w:t>(四)、国家免疫规划用疫苗项目工艺技术设计方案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工艺技术方案要求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在国家免疫规划用疫苗项目的建设和实施过程中，我们坚定贯彻执行“三同时”原则，即环境保护、职业安全卫生、消防及节能的原则。我们注重遵循与环境保护、职业安全卫生、消防及节能相关的法律法规，并全面贯彻各项措施，确保国家免疫规划用疫苗项目建设和运营过程中的环境友好、安全可控。</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国家免疫规划用疫苗项目技术优势分析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国家免疫规划用疫苗项目在技术方面拥有独特的优势。首先，我们的节能设施是先进的，并具备多规格产品转换的能力，从而确保国家免疫规划用疫苗项目在运行过程中能够适应市场需求的变化，具备较低的运行成本。其次，投资国家免疫规划用疫苗项目采用的技术与国内资源条件相适应，具有出色的技术适应性。我们的技术工艺路线不仅可以适应国内主要原材料的特性，而且简洁明了，有利于流程控制和设备操作。这一技术路线已在国内生产实践中得到验证，证明技术成熟可靠。同时，我们拥有良好的技术支援条件，为国家免疫规划用疫苗项目提供了强大的技术支持，使其具备了较强的可靠性。在技术方面，国家免疫规划用疫苗项目具备适应市场变化、降低运营成本、提高生产效率的竞争优势。</w:t>
      </w:r>
    </w:p>
    <w:p>
      <w:pPr>
        <w:pStyle w:val="Heading2"/>
        <w:ind w:firstLine="560" w:firstLineChars="200"/>
        <w:rPr>
          <w:rFonts w:ascii="仿宋" w:eastAsia="仿宋" w:hAnsi="仿宋" w:cs="仿宋" w:hint="eastAsia"/>
          <w:sz w:val="28"/>
          <w:lang w:eastAsia="zh-CN"/>
        </w:rPr>
      </w:pPr>
      <w:bookmarkStart w:id="10" w:name="_Toc4153"/>
      <w:r>
        <w:rPr>
          <w:rFonts w:ascii="仿宋" w:eastAsia="仿宋" w:hAnsi="仿宋" w:cs="仿宋" w:hint="eastAsia"/>
          <w:sz w:val="28"/>
          <w:lang w:eastAsia="zh-CN"/>
        </w:rPr>
        <w:t>(五)、设备选型的智能化方案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国家免疫规划用疫苗项目设备的采购方面，我们坚持以甄选优质供应商为原则。在选择设备供应商时，我们将充分考虑各方面因素，包括供应商的信誉、生产能力、质量管理水平以及售后服务水平等。我们将确保所选设备供应商能够满足工程进度的需要，保证设备的及时交货，提供良好的售后服务，并能够及时提供备品备件，以确保国家免疫规划用疫苗项目的正常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为降低国家免疫规划用疫苗项目投资风险，我们将力求选择设备生产厂家，其设备交货期、售后服务、安装调试等方面表现优越，以确保国家免疫规划用疫苗项目的顺利进行。我们主要选用国产设备，以减少国家免疫规划用疫苗项目投资，最大限度地降低投资风险。我们将选择那些生产设备厂家，其技术装备达到国内一流水平，企业管理科学，符合国际认证标准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设备和仪器的选型方面，我们主要采用国内一流技术装备。这些设备以专用设备为主，必须满足技术先进、性能可靠、性能价格比合理的要求，以确保我们能够以合理的投资获取高质量的生产设备。我们将合理配置各类设备，充分发挥它们的最佳技术水平，并在满足生产工艺要求的前提下，力求经济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此外，我们还将充分考虑设备的正常运转费用，以确保在生产相同产品的情况下，能够保持最低的生产成本。预计我们将购置安装主要设备共计XXX 台(套)，设备购置费XXX 万元。通过以上措施，我们将确保国家免疫规划用疫苗项目在设备采购方面达到最佳性能和效益。</w:t>
      </w:r>
    </w:p>
    <w:p>
      <w:pPr>
        <w:pStyle w:val="Heading1"/>
        <w:ind w:firstLine="560" w:firstLineChars="200"/>
        <w:rPr>
          <w:rFonts w:ascii="仿宋" w:eastAsia="仿宋" w:hAnsi="仿宋" w:cs="仿宋" w:hint="eastAsia"/>
          <w:sz w:val="28"/>
          <w:lang w:eastAsia="zh-CN"/>
        </w:rPr>
      </w:pPr>
      <w:bookmarkStart w:id="11" w:name="_Toc6732"/>
      <w:r>
        <w:rPr>
          <w:rFonts w:ascii="仿宋" w:eastAsia="仿宋" w:hAnsi="仿宋" w:cs="仿宋" w:hint="eastAsia"/>
          <w:sz w:val="28"/>
          <w:lang w:eastAsia="zh-CN"/>
        </w:rPr>
        <w:t>三、风险应对评估</w:t>
      </w:r>
      <w:bookmarkEnd w:id="11"/>
    </w:p>
    <w:p>
      <w:pPr>
        <w:pStyle w:val="Heading2"/>
        <w:rPr>
          <w:rFonts w:ascii="仿宋" w:eastAsia="仿宋" w:hAnsi="仿宋" w:cs="仿宋" w:hint="eastAsia"/>
          <w:lang w:eastAsia="zh-CN"/>
        </w:rPr>
      </w:pPr>
      <w:bookmarkStart w:id="12" w:name="_Toc2782"/>
      <w:r>
        <w:rPr>
          <w:rFonts w:ascii="仿宋" w:eastAsia="仿宋" w:hAnsi="仿宋" w:cs="仿宋" w:hint="eastAsia"/>
          <w:lang w:eastAsia="zh-CN"/>
        </w:rPr>
        <w:t>(一)、政策风险分析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国家免疫规划用疫苗项目实施过程中，政策因素可能对国家免疫规划用疫苗项目产生一定的影响。为了应对潜在的政策风险，我们将密切关注国家和地方相关政策的变化。与相关政府部门建立良好的沟通渠道，及时获取政策信息，确保国家免疫规划用疫苗项目能够顺利推进。同时，制定灵活的应对方案，以适应政策环境的变化。</w:t>
      </w:r>
    </w:p>
    <w:p>
      <w:pPr>
        <w:pStyle w:val="Heading2"/>
        <w:ind w:firstLine="560" w:firstLineChars="200"/>
        <w:rPr>
          <w:rFonts w:ascii="仿宋" w:eastAsia="仿宋" w:hAnsi="仿宋" w:cs="仿宋" w:hint="eastAsia"/>
          <w:sz w:val="28"/>
          <w:lang w:eastAsia="zh-CN"/>
        </w:rPr>
      </w:pPr>
      <w:bookmarkStart w:id="13" w:name="_Toc2166"/>
      <w:r>
        <w:rPr>
          <w:rFonts w:ascii="仿宋" w:eastAsia="仿宋" w:hAnsi="仿宋" w:cs="仿宋" w:hint="eastAsia"/>
          <w:sz w:val="28"/>
          <w:lang w:eastAsia="zh-CN"/>
        </w:rPr>
        <w:t>(二)、社会风险分析</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社会风险主要包括社会舆论、公共关系等方面的风险。我们将建立健全的社会风险监测机制，定期评估社会反馈和舆情动态。通过积极参与社会责任活动，维护公司良好形象，减轻社会风险的影响。</w:t>
      </w:r>
    </w:p>
    <w:p>
      <w:pPr>
        <w:pStyle w:val="Heading2"/>
        <w:ind w:firstLine="560" w:firstLineChars="200"/>
        <w:rPr>
          <w:rFonts w:ascii="仿宋" w:eastAsia="仿宋" w:hAnsi="仿宋" w:cs="仿宋" w:hint="eastAsia"/>
          <w:sz w:val="28"/>
          <w:lang w:eastAsia="zh-CN"/>
        </w:rPr>
      </w:pPr>
      <w:bookmarkStart w:id="14" w:name="_Toc28339"/>
      <w:r>
        <w:rPr>
          <w:rFonts w:ascii="仿宋" w:eastAsia="仿宋" w:hAnsi="仿宋" w:cs="仿宋" w:hint="eastAsia"/>
          <w:sz w:val="28"/>
          <w:lang w:eastAsia="zh-CN"/>
        </w:rPr>
        <w:t>(三)、市场风险分析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国家免疫规划用疫苗项目面临的重要挑战之一。我们将进行全面的市场调研，了解目标市场的需求和竞争格局。同时，制定灵活的市场推广策略，以适应市场变化。建立多层次、多元化的市场渠道，降低单一市场对国家免疫规划用疫苗项目的风险影响。</w:t>
      </w:r>
    </w:p>
    <w:p>
      <w:pPr>
        <w:pStyle w:val="Heading2"/>
        <w:ind w:firstLine="560" w:firstLineChars="200"/>
        <w:rPr>
          <w:rFonts w:ascii="仿宋" w:eastAsia="仿宋" w:hAnsi="仿宋" w:cs="仿宋" w:hint="eastAsia"/>
          <w:sz w:val="28"/>
          <w:lang w:eastAsia="zh-CN"/>
        </w:rPr>
      </w:pPr>
      <w:bookmarkStart w:id="15" w:name="_Toc30751"/>
      <w:r>
        <w:rPr>
          <w:rFonts w:ascii="仿宋" w:eastAsia="仿宋" w:hAnsi="仿宋" w:cs="仿宋" w:hint="eastAsia"/>
          <w:sz w:val="28"/>
          <w:lang w:eastAsia="zh-CN"/>
        </w:rPr>
        <w:t>(四)、资金风险分析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资金风险是国家免疫规划用疫苗项目成功实施的基础。我们将建立健全的资金管理制度，定期进行资金流量分析，确保国家免疫规划用疫苗项目运营资金的充足。与金融机构建立良好的合作关系，提前制定应对资金紧张的预案，以确保国家免疫规划用疫苗项目的资金安全。</w:t>
      </w:r>
    </w:p>
    <w:p>
      <w:pPr>
        <w:pStyle w:val="Heading2"/>
        <w:ind w:firstLine="560" w:firstLineChars="200"/>
        <w:rPr>
          <w:rFonts w:ascii="仿宋" w:eastAsia="仿宋" w:hAnsi="仿宋" w:cs="仿宋" w:hint="eastAsia"/>
          <w:sz w:val="28"/>
          <w:lang w:eastAsia="zh-CN"/>
        </w:rPr>
      </w:pPr>
      <w:bookmarkStart w:id="16" w:name="_Toc23522"/>
      <w:r>
        <w:rPr>
          <w:rFonts w:ascii="仿宋" w:eastAsia="仿宋" w:hAnsi="仿宋" w:cs="仿宋" w:hint="eastAsia"/>
          <w:sz w:val="28"/>
          <w:lang w:eastAsia="zh-CN"/>
        </w:rPr>
        <w:t>(五)、技术风险分析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技术风险是国家免疫规划用疫苗项目实施中不可避免的挑战。我们将进行全面的技术评估，确保所采用的技术方案是成熟、可行的。与专业技术团队建立良好的合作关系，及时解决技术难题，确保国家免疫规划用疫苗项目按计划进行。</w:t>
      </w:r>
    </w:p>
    <w:p>
      <w:pPr>
        <w:pStyle w:val="Heading2"/>
        <w:ind w:firstLine="560" w:firstLineChars="200"/>
        <w:rPr>
          <w:rFonts w:ascii="仿宋" w:eastAsia="仿宋" w:hAnsi="仿宋" w:cs="仿宋" w:hint="eastAsia"/>
          <w:sz w:val="28"/>
          <w:lang w:eastAsia="zh-CN"/>
        </w:rPr>
      </w:pPr>
      <w:bookmarkStart w:id="17" w:name="_Toc21295"/>
      <w:r>
        <w:rPr>
          <w:rFonts w:ascii="仿宋" w:eastAsia="仿宋" w:hAnsi="仿宋" w:cs="仿宋" w:hint="eastAsia"/>
          <w:sz w:val="28"/>
          <w:lang w:eastAsia="zh-CN"/>
        </w:rPr>
        <w:t>(六)、财务风险分析</w:t>
      </w:r>
      <w:bookmarkEnd w:id="17"/>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财务风险是国家免疫规划用疫苗项目运营中需要高度重视的方面。我们将建立健全的财务管理体系，严格执行财务制度。通过多元化投资，降低财务风险集中度。及时调整财务战略，确保国家免疫规划用疫苗项目财务运作的健康发展。</w:t>
      </w:r>
    </w:p>
    <w:p>
      <w:pPr>
        <w:pStyle w:val="Heading2"/>
        <w:ind w:firstLine="560" w:firstLineChars="200"/>
        <w:rPr>
          <w:rFonts w:ascii="仿宋" w:eastAsia="仿宋" w:hAnsi="仿宋" w:cs="仿宋" w:hint="eastAsia"/>
          <w:sz w:val="28"/>
          <w:lang w:eastAsia="zh-CN"/>
        </w:rPr>
      </w:pPr>
      <w:bookmarkStart w:id="18" w:name="_Toc23929"/>
      <w:r>
        <w:rPr>
          <w:rFonts w:ascii="仿宋" w:eastAsia="仿宋" w:hAnsi="仿宋" w:cs="仿宋" w:hint="eastAsia"/>
          <w:sz w:val="28"/>
          <w:lang w:eastAsia="zh-CN"/>
        </w:rPr>
        <w:t>(七)、管理风险分析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管理风险主要涉及团队管理、国家免疫规划用疫苗项目进度管理等方面。我们将通过建设高效的管理团队，提升管理水平。建立科学的国家免疫规划用疫苗项目管理体系，确保国家免疫规划用疫苗项目进度的掌控。通过培训和学习，提高团队应对管理风险的能力。</w:t>
      </w:r>
    </w:p>
    <w:p>
      <w:pPr>
        <w:pStyle w:val="Heading2"/>
        <w:ind w:firstLine="560" w:firstLineChars="200"/>
        <w:rPr>
          <w:rFonts w:ascii="仿宋" w:eastAsia="仿宋" w:hAnsi="仿宋" w:cs="仿宋" w:hint="eastAsia"/>
          <w:sz w:val="28"/>
          <w:lang w:eastAsia="zh-CN"/>
        </w:rPr>
      </w:pPr>
      <w:bookmarkStart w:id="19" w:name="_Toc9787"/>
      <w:r>
        <w:rPr>
          <w:rFonts w:ascii="仿宋" w:eastAsia="仿宋" w:hAnsi="仿宋" w:cs="仿宋" w:hint="eastAsia"/>
          <w:sz w:val="28"/>
          <w:lang w:eastAsia="zh-CN"/>
        </w:rPr>
        <w:t>(八)、其它风险分析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国家免疫规划用疫苗项目实施中可能还存在其他各种意外风险，我们将建立综合的风险管理机制，及时评估、响应和应对各类潜在风险。通过建设风险管理团队，提高应对不确定性的能力。灵活调整国家免疫规划用疫苗项目计划，确保国家免疫规划用疫苗项目始终处于可控的状态。</w:t>
      </w:r>
    </w:p>
    <w:p>
      <w:pPr>
        <w:pStyle w:val="Heading1"/>
        <w:ind w:firstLine="560" w:firstLineChars="200"/>
        <w:rPr>
          <w:rFonts w:ascii="仿宋" w:eastAsia="仿宋" w:hAnsi="仿宋" w:cs="仿宋" w:hint="eastAsia"/>
          <w:sz w:val="28"/>
          <w:lang w:eastAsia="zh-CN"/>
        </w:rPr>
      </w:pPr>
      <w:bookmarkStart w:id="20" w:name="_Toc11400"/>
      <w:r>
        <w:rPr>
          <w:rFonts w:ascii="仿宋" w:eastAsia="仿宋" w:hAnsi="仿宋" w:cs="仿宋" w:hint="eastAsia"/>
          <w:sz w:val="28"/>
          <w:lang w:eastAsia="zh-CN"/>
        </w:rPr>
        <w:t>四、工程设计说明</w:t>
      </w:r>
      <w:bookmarkEnd w:id="20"/>
    </w:p>
    <w:p>
      <w:pPr>
        <w:pStyle w:val="Heading2"/>
        <w:rPr>
          <w:rFonts w:ascii="仿宋" w:eastAsia="仿宋" w:hAnsi="仿宋" w:cs="仿宋" w:hint="eastAsia"/>
          <w:lang w:eastAsia="zh-CN"/>
        </w:rPr>
      </w:pPr>
      <w:bookmarkStart w:id="21" w:name="_Toc29080"/>
      <w:r>
        <w:rPr>
          <w:rFonts w:ascii="仿宋" w:eastAsia="仿宋" w:hAnsi="仿宋" w:cs="仿宋" w:hint="eastAsia"/>
          <w:lang w:eastAsia="zh-CN"/>
        </w:rPr>
        <w:t>(一)、建筑工程设计原则</w:t>
      </w:r>
      <w:bookmarkEnd w:id="21"/>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工程设计的核心在于确保建筑结构的稳定性、功能的实用性、美学的合理性以及施工和运维的经济性。在设计过程中，需要综合考虑建筑的用途、环境特征、可持续性等方面，确立科学合理的设计原则。</w:t>
      </w:r>
    </w:p>
    <w:p>
      <w:pPr>
        <w:pStyle w:val="Heading2"/>
        <w:ind w:firstLine="560" w:firstLineChars="200"/>
        <w:rPr>
          <w:rFonts w:ascii="仿宋" w:eastAsia="仿宋" w:hAnsi="仿宋" w:cs="仿宋" w:hint="eastAsia"/>
          <w:sz w:val="28"/>
          <w:lang w:eastAsia="zh-CN"/>
        </w:rPr>
      </w:pPr>
      <w:bookmarkStart w:id="22" w:name="_Toc28016"/>
      <w:r>
        <w:rPr>
          <w:rFonts w:ascii="仿宋" w:eastAsia="仿宋" w:hAnsi="仿宋" w:cs="仿宋" w:hint="eastAsia"/>
          <w:sz w:val="28"/>
          <w:lang w:eastAsia="zh-CN"/>
        </w:rPr>
        <w:t>(二)、国家免疫规划用疫苗项目工程建设标准规范</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国家免疫规划用疫苗项目的建设需要符合国家和地方的相关标准规范，确保施工过程和建成后的设施符合安全、环保、质量等方面的要求。各项建设标准规范将在设计中得到充分考虑和遵循。</w:t>
      </w:r>
    </w:p>
    <w:p>
      <w:pPr>
        <w:pStyle w:val="Heading2"/>
        <w:ind w:firstLine="560" w:firstLineChars="200"/>
        <w:rPr>
          <w:rFonts w:ascii="仿宋" w:eastAsia="仿宋" w:hAnsi="仿宋" w:cs="仿宋" w:hint="eastAsia"/>
          <w:sz w:val="28"/>
          <w:lang w:eastAsia="zh-CN"/>
        </w:rPr>
      </w:pPr>
      <w:bookmarkStart w:id="23" w:name="_Toc24577"/>
      <w:r>
        <w:rPr>
          <w:rFonts w:ascii="仿宋" w:eastAsia="仿宋" w:hAnsi="仿宋" w:cs="仿宋" w:hint="eastAsia"/>
          <w:sz w:val="28"/>
          <w:lang w:eastAsia="zh-CN"/>
        </w:rPr>
        <w:t>(三)、国家免疫规划用疫苗项目总平面设计要求</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国家免疫规划用疫苗项目总平面设计要求将包括对国家免疫规划用疫苗项目用地的科学规划，确保合理的场地利用和各功能区域的合理布局。这涉及到交通流线、景观绿化、建筑分布等方面的综合考虑。</w:t>
      </w:r>
    </w:p>
    <w:p>
      <w:pPr>
        <w:pStyle w:val="Heading2"/>
        <w:ind w:firstLine="560" w:firstLineChars="200"/>
        <w:rPr>
          <w:rFonts w:ascii="仿宋" w:eastAsia="仿宋" w:hAnsi="仿宋" w:cs="仿宋" w:hint="eastAsia"/>
          <w:sz w:val="28"/>
          <w:lang w:eastAsia="zh-CN"/>
        </w:rPr>
      </w:pPr>
      <w:bookmarkStart w:id="24" w:name="_Toc16502"/>
      <w:r>
        <w:rPr>
          <w:rFonts w:ascii="仿宋" w:eastAsia="仿宋" w:hAnsi="仿宋" w:cs="仿宋" w:hint="eastAsia"/>
          <w:sz w:val="28"/>
          <w:lang w:eastAsia="zh-CN"/>
        </w:rPr>
        <w:t>(四)、建筑设计规范和标准</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建筑设计规范和标准将详细规定建筑物的各项技术指标，包括但不限于结构设计、电气设计、给排水设计等，确保建筑的安全性和功能性。</w:t>
      </w:r>
    </w:p>
    <w:p>
      <w:pPr>
        <w:pStyle w:val="Heading2"/>
        <w:ind w:firstLine="560" w:firstLineChars="200"/>
        <w:rPr>
          <w:rFonts w:ascii="仿宋" w:eastAsia="仿宋" w:hAnsi="仿宋" w:cs="仿宋" w:hint="eastAsia"/>
          <w:sz w:val="28"/>
          <w:lang w:eastAsia="zh-CN"/>
        </w:rPr>
      </w:pPr>
      <w:bookmarkStart w:id="25" w:name="_Toc30542"/>
      <w:r>
        <w:rPr>
          <w:rFonts w:ascii="仿宋" w:eastAsia="仿宋" w:hAnsi="仿宋" w:cs="仿宋" w:hint="eastAsia"/>
          <w:sz w:val="28"/>
          <w:lang w:eastAsia="zh-CN"/>
        </w:rPr>
        <w:t>(五)、土建工程设计年限及安全等级</w:t>
      </w:r>
      <w:bookmarkEnd w:id="2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土建工程的设计年限和安全等级将在设计中被准确明确。这涉及到建筑物的使用寿命和抗震等级等方面的规定，以确保建筑的长期稳定运行。</w:t>
      </w:r>
    </w:p>
    <w:p>
      <w:pPr>
        <w:pStyle w:val="Heading2"/>
        <w:ind w:firstLine="560" w:firstLineChars="200"/>
        <w:rPr>
          <w:rFonts w:ascii="仿宋" w:eastAsia="仿宋" w:hAnsi="仿宋" w:cs="仿宋" w:hint="eastAsia"/>
          <w:sz w:val="28"/>
          <w:lang w:eastAsia="zh-CN"/>
        </w:rPr>
      </w:pPr>
      <w:bookmarkStart w:id="26" w:name="_Toc2065"/>
      <w:r>
        <w:rPr>
          <w:rFonts w:ascii="仿宋" w:eastAsia="仿宋" w:hAnsi="仿宋" w:cs="仿宋" w:hint="eastAsia"/>
          <w:sz w:val="28"/>
          <w:lang w:eastAsia="zh-CN"/>
        </w:rPr>
        <w:t>(六)、建筑工程设计总体要求</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建筑工程设计总体要求将对整个设计过程进行概括，包括设计的整体目标、实施步骤、关键节点等，为设计团队提供明确的工作指导。</w:t>
      </w:r>
    </w:p>
    <w:p>
      <w:pPr>
        <w:pStyle w:val="Heading1"/>
        <w:ind w:firstLine="560" w:firstLineChars="200"/>
        <w:rPr>
          <w:rFonts w:ascii="仿宋" w:eastAsia="仿宋" w:hAnsi="仿宋" w:cs="仿宋" w:hint="eastAsia"/>
          <w:sz w:val="28"/>
          <w:lang w:eastAsia="zh-CN"/>
        </w:rPr>
      </w:pPr>
      <w:bookmarkStart w:id="27" w:name="_Toc15381"/>
      <w:r>
        <w:rPr>
          <w:rFonts w:ascii="仿宋" w:eastAsia="仿宋" w:hAnsi="仿宋" w:cs="仿宋" w:hint="eastAsia"/>
          <w:sz w:val="28"/>
          <w:lang w:eastAsia="zh-CN"/>
        </w:rPr>
        <w:t>五、合作伙伴关系管理</w:t>
      </w:r>
      <w:bookmarkEnd w:id="27"/>
    </w:p>
    <w:p>
      <w:pPr>
        <w:pStyle w:val="Heading2"/>
        <w:rPr>
          <w:rFonts w:ascii="仿宋" w:eastAsia="仿宋" w:hAnsi="仿宋" w:cs="仿宋" w:hint="eastAsia"/>
          <w:lang w:eastAsia="zh-CN"/>
        </w:rPr>
      </w:pPr>
      <w:bookmarkStart w:id="28" w:name="_Toc6801"/>
      <w:r>
        <w:rPr>
          <w:rFonts w:ascii="仿宋" w:eastAsia="仿宋" w:hAnsi="仿宋" w:cs="仿宋" w:hint="eastAsia"/>
          <w:lang w:eastAsia="zh-CN"/>
        </w:rPr>
        <w:t>(一)、合作伙伴选择与评估</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在进行合作伙伴选择与评估的过程中，组织需要通过系统而深入的步骤来保障所选合作伙伴与自身业务目标的协同与可持续发展。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深入了解潜在合作伙伴的背景是首要任务。对其公司历史、管理层团队和组织文化进行全面调查，以确保潜在合作伙伴有着稳健的经营基础，并且在价值观上与组织相契合。</w:t>
      </w:r>
    </w:p>
    <w:p>
      <w:pPr>
        <w:ind w:firstLine="560" w:firstLineChars="200"/>
        <w:rPr>
          <w:rFonts w:ascii="仿宋" w:eastAsia="仿宋" w:hAnsi="仿宋" w:cs="仿宋" w:hint="eastAsia"/>
          <w:sz w:val="28"/>
        </w:rPr>
      </w:pPr>
      <w:r>
        <w:rPr>
          <w:rFonts w:ascii="仿宋" w:eastAsia="仿宋" w:hAnsi="仿宋" w:cs="仿宋" w:hint="eastAsia"/>
          <w:sz w:val="28"/>
          <w:lang w:eastAsia="zh-CN"/>
        </w:rPr>
        <w:t>接着，对潜在合作伙伴的信誉和声誉进行全方位评估。透过客户评价、行业口碑、社会反馈等渠道，全面了解其在业界的影响力和商业道德水平，以确保合作伙伴关系的建立有助于提升组织的声誉。</w:t>
      </w:r>
    </w:p>
    <w:p>
      <w:pPr>
        <w:ind w:firstLine="560" w:firstLineChars="200"/>
        <w:rPr>
          <w:rFonts w:ascii="仿宋" w:eastAsia="仿宋" w:hAnsi="仿宋" w:cs="仿宋" w:hint="eastAsia"/>
          <w:sz w:val="28"/>
        </w:rPr>
      </w:pPr>
      <w:r>
        <w:rPr>
          <w:rFonts w:ascii="仿宋" w:eastAsia="仿宋" w:hAnsi="仿宋" w:cs="仿宋" w:hint="eastAsia"/>
          <w:sz w:val="28"/>
          <w:lang w:eastAsia="zh-CN"/>
        </w:rPr>
        <w:t>第三步是对潜在合作伙伴的专业能力进行评估。这包括技术实力、研发水平、创新能力等方面的审查。确保合作伙伴在国家免疫规划用疫苗项目实施中具备提供具有竞争力的专业支持的实力。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同时，需衡量潜在合作伙伴与组织业务目标的契合度。透过对其产品或服务的特性、市场定位和目标客户等方面进行分析，确保合作伙伴的业务理念与组织整体战略方向相一致，实现双方合作的互补性和共赢局面。</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最后，建立一个有效的合作伙伴关系管理机制。明确定义双方的权责，建立合作伙伴关系的畅通沟通渠道和明晰决策流程，以确保在合作的全过程中能够迅速解决问题、灵活调整战略，维护合作的稳健进行。</w:t>
      </w:r>
    </w:p>
    <w:p>
      <w:pPr>
        <w:pStyle w:val="Heading2"/>
        <w:ind w:firstLine="560" w:firstLineChars="200"/>
        <w:rPr>
          <w:rFonts w:ascii="仿宋" w:eastAsia="仿宋" w:hAnsi="仿宋" w:cs="仿宋" w:hint="eastAsia"/>
          <w:sz w:val="28"/>
          <w:lang w:eastAsia="zh-CN"/>
        </w:rPr>
      </w:pPr>
      <w:bookmarkStart w:id="29" w:name="_Toc18224"/>
      <w:r>
        <w:rPr>
          <w:rFonts w:ascii="仿宋" w:eastAsia="仿宋" w:hAnsi="仿宋" w:cs="仿宋" w:hint="eastAsia"/>
          <w:sz w:val="28"/>
          <w:lang w:eastAsia="zh-CN"/>
        </w:rPr>
        <w:t>(二)、合作伙伴协议与合同管理</w:t>
      </w:r>
      <w:bookmarkEnd w:id="29"/>
    </w:p>
    <w:p>
      <w:pPr>
        <w:ind w:firstLine="560" w:firstLineChars="200"/>
        <w:rPr>
          <w:rFonts w:ascii="仿宋" w:eastAsia="仿宋" w:hAnsi="仿宋" w:cs="仿宋" w:hint="eastAsia"/>
          <w:sz w:val="28"/>
        </w:rPr>
      </w:pPr>
      <w:r>
        <w:rPr>
          <w:rFonts w:ascii="仿宋" w:eastAsia="仿宋" w:hAnsi="仿宋" w:cs="仿宋" w:hint="eastAsia"/>
          <w:sz w:val="28"/>
          <w:lang w:eastAsia="zh-CN"/>
        </w:rPr>
        <w:t>确立明晰的合作伙伴协议和有效的合同管理机制是建立稳固合作伙伴关系的不可或缺的步骤。在此过程中，双方需进行详细协商，以确保协议和合同涵盖所有关键方面，为合作提供稳健的法律和商业支持。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合作伙伴协议的重要性首先体现在对双方责任和权利的明确定义。详细规定合作伙伴在合作中的具体职责，明确执行各项任务和义务的方式，确保合作的透明度和可操作性，减少潜在的误解和冲突。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合作伙伴协议还应明确规定合作的期限。明晰合作的起始时间和截止时间，以及合作期限结束后的续签或终止程序，有助于双方规划长期发展，并及时应对可能的变动。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在协议中对知识产权、商业机密等进行详尽规定也是至关重要的。保障双方的知识产权安全，确立明确的机密信息使用、分享和保护规则，有效防范潜在的知识产权纠纷。</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协议和合同同样应包含关于解除合作和纠纷解决的明确规定。规定解除合作的程序和条件，以及在出现纠纷时的仲裁或法律程序，有助于双方在问题出现时迅速、公正地解决争议。</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最后，协议和合同的管理需要建立有效的追踪和更新机制。双方需定期审查合同履行情况，及时更新合作条款以适应业务和市场的变化，保持协议与合作双方期望和需求的一致性。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通过建立清晰的合作伙伴协议和有效的合同管理机制，合作双方能够在法律框架内进行合作，确保双方权益平等有序地得到保护，为合作伙伴关系的稳固发展提供有力支持。</w:t>
      </w:r>
    </w:p>
    <w:p>
      <w:pPr>
        <w:pStyle w:val="Heading2"/>
        <w:ind w:firstLine="560" w:firstLineChars="200"/>
        <w:rPr>
          <w:rFonts w:ascii="仿宋" w:eastAsia="仿宋" w:hAnsi="仿宋" w:cs="仿宋" w:hint="eastAsia"/>
          <w:sz w:val="28"/>
          <w:lang w:eastAsia="zh-CN"/>
        </w:rPr>
      </w:pPr>
      <w:bookmarkStart w:id="30" w:name="_Toc527"/>
      <w:r>
        <w:rPr>
          <w:rFonts w:ascii="仿宋" w:eastAsia="仿宋" w:hAnsi="仿宋" w:cs="仿宋" w:hint="eastAsia"/>
          <w:sz w:val="28"/>
          <w:lang w:eastAsia="zh-CN"/>
        </w:rPr>
        <w:t>(三)、风险共担与利益共享机制</w:t>
      </w:r>
      <w:bookmarkEnd w:id="30"/>
    </w:p>
    <w:p>
      <w:pPr>
        <w:ind w:firstLine="560" w:firstLineChars="200"/>
        <w:rPr>
          <w:rFonts w:ascii="仿宋" w:eastAsia="仿宋" w:hAnsi="仿宋" w:cs="仿宋" w:hint="eastAsia"/>
          <w:sz w:val="28"/>
        </w:rPr>
      </w:pPr>
      <w:r>
        <w:rPr>
          <w:rFonts w:ascii="仿宋" w:eastAsia="仿宋" w:hAnsi="仿宋" w:cs="仿宋" w:hint="eastAsia"/>
          <w:sz w:val="28"/>
          <w:lang w:eastAsia="zh-CN"/>
        </w:rPr>
        <w:t>在风险共担方面，建立了一种长期稳定的机制。通过合理的风险分担，双方能够形成共同应对挑战的共识，增强合作伙伴关系的韧性。这种风险共担模式使得合作伙伴能够在面临困境时共同努力，减轻由于单方面风险而带来的合作不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利益共享机制的建立则激励了合作伙伴在合作中共同追求成功。透过明确的利益分配规则，双方清晰了解各自在合作中的贡献和回报。这建立了一个公平、透明的合作环境，激发了双方的积极性，共同推动了合作国家免疫规划用疫苗项目的达成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共担与利益共享机制的建立需要全面考虑双方的实际情况和期望，以确保制定的规则能够在整个合作的过程中得到有效执行。这需要建立健全的监督机制，通过定期的沟通和回顾，对风险共担与利益共享机制进行调整和优化，以适应合作关系发展中的变化。</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总体而言，风险共担与利益共享机制的建立有助于合作伙伴关系的稳定和共同发展，也有助于构建更加均衡和健康的商业伙伴关系。这样的机制将在整个合作伙伴关系中发挥积极作用，为双方创造共赢的局面。</w:t>
      </w:r>
    </w:p>
    <w:p>
      <w:pPr>
        <w:pStyle w:val="Heading2"/>
        <w:ind w:firstLine="560" w:firstLineChars="200"/>
        <w:rPr>
          <w:rFonts w:ascii="仿宋" w:eastAsia="仿宋" w:hAnsi="仿宋" w:cs="仿宋" w:hint="eastAsia"/>
          <w:sz w:val="28"/>
          <w:lang w:eastAsia="zh-CN"/>
        </w:rPr>
      </w:pPr>
      <w:bookmarkStart w:id="31" w:name="_Toc1136"/>
      <w:r>
        <w:rPr>
          <w:rFonts w:ascii="仿宋" w:eastAsia="仿宋" w:hAnsi="仿宋" w:cs="仿宋" w:hint="eastAsia"/>
          <w:sz w:val="28"/>
          <w:lang w:eastAsia="zh-CN"/>
        </w:rPr>
        <w:t>(四)、定期合作评估与调整</w:t>
      </w:r>
      <w:bookmarkEnd w:id="31"/>
    </w:p>
    <w:p>
      <w:pPr>
        <w:ind w:firstLine="560" w:firstLineChars="200"/>
        <w:rPr>
          <w:rFonts w:ascii="仿宋" w:eastAsia="仿宋" w:hAnsi="仿宋" w:cs="仿宋" w:hint="eastAsia"/>
          <w:sz w:val="28"/>
        </w:rPr>
      </w:pPr>
      <w:r>
        <w:rPr>
          <w:rFonts w:ascii="仿宋" w:eastAsia="仿宋" w:hAnsi="仿宋" w:cs="仿宋" w:hint="eastAsia"/>
          <w:sz w:val="28"/>
          <w:lang w:eastAsia="zh-CN"/>
        </w:rPr>
        <w:t>合作关系维护：</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过去的一年中，我们着重关注了合作伙伴关系的维护。首先，我们通过定期的国家免疫规划用疫苗项目评估会议，对双方的工作表现和国家免疫规划用疫苗项目进展进行了全面审查。通过这个过程，我们深入了解了合作伙伴的团队协作情况、对问题的解决能力以及对客户需求的响应速度。同时，我们也对国家免疫规划用疫苗项目的成本和效益进行了详尽的分析，以确保合作关系对双方都具有经济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我们加强了与合作伙伴的沟通。通过建立定期的沟通机制，我们不仅能够及时解决国家免疫规划用疫苗项目中的问题，还能够分享双方的经验和最佳实践。这不仅促进了团队之间的协作，也提高了整体国家免疫规划用疫苗项目的执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合作关系调整：</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在评估的基础上，我们共同商定了一系列的调整方案，以进一步优化合作关系。首先，我们对国家免疫规划用疫苗项目目标进行了重新审视，根据市场的变化和客户需求的演变，共同调整了国家免疫规划用疫苗项目的战略目标和优先事项。这确保了我们的合作国家免疫规划用疫苗项目始终与市场趋势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我们对团队人员进行了调整。通过共同讨论团队成员的技能和经验，我们对团队的配置进行了一些微调，以确保团队更好地适应国家免疫规划用疫苗项目需求。这不仅提高了国家免疫规划用疫苗项目执行的灵活性，还使得团队更具备应对挑战的能力。</w:t>
      </w:r>
    </w:p>
    <w:p>
      <w:pPr>
        <w:pStyle w:val="Heading1"/>
        <w:ind w:firstLine="560" w:firstLineChars="200"/>
        <w:rPr>
          <w:rFonts w:ascii="仿宋" w:eastAsia="仿宋" w:hAnsi="仿宋" w:cs="仿宋" w:hint="eastAsia"/>
          <w:sz w:val="28"/>
          <w:lang w:eastAsia="zh-CN"/>
        </w:rPr>
      </w:pPr>
      <w:bookmarkStart w:id="32" w:name="_Toc17603"/>
      <w:r>
        <w:rPr>
          <w:rFonts w:ascii="仿宋" w:eastAsia="仿宋" w:hAnsi="仿宋" w:cs="仿宋" w:hint="eastAsia"/>
          <w:sz w:val="28"/>
          <w:lang w:eastAsia="zh-CN"/>
        </w:rPr>
        <w:t>六、国家免疫规划用疫苗项目收尾与总结</w:t>
      </w:r>
      <w:bookmarkEnd w:id="32"/>
    </w:p>
    <w:p>
      <w:pPr>
        <w:pStyle w:val="Heading2"/>
        <w:rPr>
          <w:rFonts w:ascii="仿宋" w:eastAsia="仿宋" w:hAnsi="仿宋" w:cs="仿宋" w:hint="eastAsia"/>
          <w:lang w:eastAsia="zh-CN"/>
        </w:rPr>
      </w:pPr>
      <w:bookmarkStart w:id="33" w:name="_Toc19475"/>
      <w:r>
        <w:rPr>
          <w:rFonts w:ascii="仿宋" w:eastAsia="仿宋" w:hAnsi="仿宋" w:cs="仿宋" w:hint="eastAsia"/>
          <w:lang w:eastAsia="zh-CN"/>
        </w:rPr>
        <w:t>(一)、国家免疫规划用疫苗项目总结与经验分享</w:t>
      </w:r>
      <w:bookmarkEnd w:id="33"/>
    </w:p>
    <w:p>
      <w:pPr>
        <w:ind w:firstLine="560" w:firstLineChars="200"/>
        <w:rPr>
          <w:rFonts w:ascii="仿宋" w:eastAsia="仿宋" w:hAnsi="仿宋" w:cs="仿宋" w:hint="eastAsia"/>
          <w:sz w:val="28"/>
        </w:rPr>
      </w:pPr>
      <w:r>
        <w:rPr>
          <w:rFonts w:ascii="仿宋" w:eastAsia="仿宋" w:hAnsi="仿宋" w:cs="仿宋" w:hint="eastAsia"/>
          <w:sz w:val="28"/>
          <w:lang w:eastAsia="zh-CN"/>
        </w:rPr>
        <w:t>在国家免疫规划用疫苗项目总结与经验分享的关键阶段，团队的聚焦点在于全面审视国家免疫规划用疫苗项目的全过程，深度剖析成功与不足。这一过程是对已走过的道路的深刻反思，也是为未来的探索提供经验积累的宝贵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国家免疫规划用疫苗项目目标与成果评估：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一路走来，我们始终围绕着国家免疫规划用疫苗项目设定的目标努力奋斗。在这一环节，我们对国家免疫规划用疫苗项目的目标进行了严格的评估。首先，我们评估了国家免疫规划用疫苗项目是否实现了最初设定的目标。这包括对国家免疫规划用疫苗项目中各国家免疫规划用疫苗项目标的量化达成程度的仔细分析，以及对国家免疫规划用疫苗项目对公司整体业务战略目标的实际贡献的审视。通过这一过程，我们全面了解了国家免疫规划用疫苗项目的成功之处。</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2" w:history="1">
        <w:r>
          <w:rPr>
            <w:rFonts w:ascii="SimSun" w:eastAsia="SimSun" w:hAnsi="SimSun" w:cs="SimSun"/>
            <w:b/>
            <w:bCs/>
            <w:color w:val="0000EE"/>
            <w:kern w:val="0"/>
            <w:sz w:val="30"/>
            <w:szCs w:val="30"/>
            <w:u w:val="single" w:color="0000EE"/>
          </w:rPr>
          <w:t>https://d.book118.com/878123062125006040</w:t>
        </w:r>
      </w:hyperlink>
    </w:p>
    <w:p>
      <w:pPr>
        <w:ind w:firstLine="560" w:firstLineChars="200"/>
        <w:rPr>
          <w:rFonts w:ascii="仿宋" w:eastAsia="仿宋" w:hAnsi="仿宋" w:cs="仿宋" w:hint="eastAsia"/>
          <w:sz w:val="28"/>
        </w:rPr>
      </w:pPr>
    </w:p>
    <w:sectPr>
      <w:headerReference w:type="default" r:id="rId43"/>
      <w:footerReference w:type="default" r:id="rId44"/>
      <w:type w:val="nextPage"/>
      <w:pgSz w:w="11906" w:h="16838"/>
      <w:pgMar w:top="1440" w:right="1800" w:bottom="1440" w:left="1800" w:header="851" w:footer="992" w:gutter="0"/>
      <w:pgNumType w:start="2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国家免疫规划用疫苗项目建议书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国家免疫规划用疫苗项目建议书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国家免疫规划用疫苗项目建议书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国家免疫规划用疫苗项目建议书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国家免疫规划用疫苗项目建议书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国家免疫规划用疫苗项目建议书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国家免疫规划用疫苗项目建议书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国家免疫规划用疫苗项目建议书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国家免疫规划用疫苗项目建议书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国家免疫规划用疫苗项目建议书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国家免疫规划用疫苗项目建议书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国家免疫规划用疫苗项目建议书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国家免疫规划用疫苗项目建议书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国家免疫规划用疫苗项目建议书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国家免疫规划用疫苗项目建议书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国家免疫规划用疫苗项目建议书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国家免疫规划用疫苗项目建议书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国家免疫规划用疫苗项目建议书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国家免疫规划用疫苗项目建议书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国家免疫规划用疫苗项目建议书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D73BC9"/>
    <w:rsid w:val="2CCA2C19"/>
    <w:rsid w:val="52D73BC9"/>
    <w:rsid w:val="79F24E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yperlink" Target="https://d.book118.com/878123062125006040" TargetMode="Externa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小丑</dc:creator>
  <cp:lastModifiedBy>小丑</cp:lastModifiedBy>
  <cp:revision>1</cp:revision>
  <dcterms:created xsi:type="dcterms:W3CDTF">2024-02-02T17:07:00Z</dcterms:created>
  <dcterms:modified xsi:type="dcterms:W3CDTF">2024-02-02T17:07:16Z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EB67FF0E1DDE4F03906EACDEB4BE9A92_11</vt:lpwstr>
  </property>
  <property fmtid="{D5CDD505-2E9C-101B-9397-08002B2CF9AE}" pid="3" name="KSOProductBuildVer">
    <vt:lpwstr>2052-12.1.0.16250</vt:lpwstr>
  </property>
</Properties>
</file>