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电视信号传输服务相关行业公司成立方案及可行性研究报告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_Toc13897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_Toc28703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_Toc6024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(一)、电视信号传输服务项目选址原则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_Toc18757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(五)、电视信号传输服务项目选址综合评价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_Toc15093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4" w:history="1">
        <w:r>
          <w:rPr>
            <w:rFonts w:ascii="仿宋" w:eastAsia="仿宋" w:hAnsi="仿宋" w:cs="仿宋" w:hint="eastAsia"/>
            <w:lang w:eastAsia="zh-CN"/>
          </w:rPr>
          <w:t>五、电视信号传输服务筹建公司基本信息</w:t>
        </w:r>
        <w:r>
          <w:tab/>
        </w:r>
        <w:r>
          <w:fldChar w:fldCharType="begin"/>
        </w:r>
        <w:r>
          <w:instrText xml:space="preserve"> PAGEREF _Toc19724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_Toc13332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_Toc10321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_Toc12637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(一)、电视信号传输服务项目进度安排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(二)、电视信号传输服务项目实施保障措施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_Toc27152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_Toc18149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_Toc32672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_Toc17504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_Toc18142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十、电视信号传输服务项目经济效益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(三)、电视信号传输服务项目盈利能力分析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_Toc15066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_Toc12902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_Toc6292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3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89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51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https://d.book118.com/885032100141011043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503210014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2024-01-17T02:43:00Z</dcterms:created>
  <dcterms:modified xsi:type="dcterms:W3CDTF">2024-01-17T02:43:15Z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48A44A62452640B4A0055BF54A722ABF_11</vt:lpwstr>
  </property>
  <property fmtid="{D5CDD505-2E9C-101B-9397-08002B2CF9AE}" pid="3" name="KSOProductBuildVer">
    <vt:lpwstr>2052-12.1.0.16120</vt:lpwstr>
  </property>
</Properties>
</file>